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CDCD98" w14:textId="77777777" w:rsidR="00A565F4" w:rsidRPr="00C6024C" w:rsidRDefault="00A565F4" w:rsidP="00A565F4">
      <w:pPr>
        <w:spacing w:line="360" w:lineRule="auto"/>
        <w:jc w:val="both"/>
        <w:rPr>
          <w:rFonts w:ascii="Arial" w:hAnsi="Arial" w:cs="Arial"/>
          <w:b/>
          <w:bCs/>
          <w:sz w:val="22"/>
          <w:szCs w:val="22"/>
        </w:rPr>
      </w:pPr>
    </w:p>
    <w:p w14:paraId="41053DBB" w14:textId="77777777" w:rsidR="00930DAD" w:rsidRPr="00C6024C" w:rsidRDefault="00930DAD" w:rsidP="00930DAD">
      <w:pPr>
        <w:spacing w:before="240" w:line="360" w:lineRule="auto"/>
        <w:jc w:val="both"/>
        <w:rPr>
          <w:rFonts w:ascii="Arial" w:hAnsi="Arial" w:cs="Arial"/>
          <w:color w:val="000000" w:themeColor="text1"/>
          <w:sz w:val="22"/>
          <w:szCs w:val="22"/>
        </w:rPr>
      </w:pPr>
    </w:p>
    <w:p w14:paraId="011E18D0" w14:textId="77777777" w:rsidR="00930DAD" w:rsidRPr="00C6024C" w:rsidRDefault="00930DAD" w:rsidP="00930DAD">
      <w:pPr>
        <w:spacing w:before="240" w:line="360" w:lineRule="auto"/>
        <w:jc w:val="both"/>
        <w:rPr>
          <w:rFonts w:ascii="Arial" w:hAnsi="Arial" w:cs="Arial"/>
          <w:color w:val="000000" w:themeColor="text1"/>
          <w:sz w:val="22"/>
          <w:szCs w:val="22"/>
        </w:rPr>
      </w:pPr>
      <w:r w:rsidRPr="00C6024C">
        <w:rPr>
          <w:rFonts w:ascii="Arial" w:hAnsi="Arial" w:cs="Arial"/>
          <w:noProof/>
          <w:color w:val="000000" w:themeColor="text1"/>
          <w:sz w:val="22"/>
          <w:szCs w:val="22"/>
          <w:lang w:val="en-IN"/>
        </w:rPr>
        <w:drawing>
          <wp:inline distT="0" distB="0" distL="85723" distR="85723" wp14:anchorId="5CAE51BB" wp14:editId="268264D4">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7AAA89EC" w14:textId="77777777" w:rsidR="00930DAD" w:rsidRPr="00C6024C" w:rsidRDefault="00930DAD" w:rsidP="00930DAD">
      <w:pPr>
        <w:spacing w:before="240" w:line="360" w:lineRule="auto"/>
        <w:jc w:val="both"/>
        <w:rPr>
          <w:rFonts w:ascii="Arial" w:hAnsi="Arial" w:cs="Arial"/>
          <w:color w:val="000000" w:themeColor="text1"/>
          <w:sz w:val="22"/>
          <w:szCs w:val="22"/>
        </w:rPr>
      </w:pPr>
    </w:p>
    <w:p w14:paraId="7B7A22EF" w14:textId="77777777" w:rsidR="00930DAD" w:rsidRPr="00C6024C" w:rsidRDefault="00930DAD" w:rsidP="00930DAD">
      <w:pPr>
        <w:spacing w:before="240" w:line="360" w:lineRule="auto"/>
        <w:jc w:val="both"/>
        <w:rPr>
          <w:rFonts w:ascii="Arial" w:hAnsi="Arial" w:cs="Arial"/>
          <w:color w:val="000000" w:themeColor="text1"/>
          <w:sz w:val="22"/>
          <w:szCs w:val="22"/>
        </w:rPr>
      </w:pPr>
    </w:p>
    <w:p w14:paraId="179B2E7A" w14:textId="77777777" w:rsidR="00930DAD" w:rsidRPr="00C6024C" w:rsidRDefault="00930DAD" w:rsidP="00930DAD">
      <w:pPr>
        <w:spacing w:before="240" w:line="360" w:lineRule="auto"/>
        <w:jc w:val="both"/>
        <w:rPr>
          <w:rFonts w:ascii="Arial" w:hAnsi="Arial" w:cs="Arial"/>
          <w:color w:val="000000" w:themeColor="text1"/>
          <w:sz w:val="22"/>
          <w:szCs w:val="22"/>
        </w:rPr>
      </w:pPr>
    </w:p>
    <w:p w14:paraId="3752B757" w14:textId="77777777" w:rsidR="00930DAD" w:rsidRPr="00C6024C" w:rsidRDefault="00930DAD" w:rsidP="00930DAD">
      <w:pPr>
        <w:spacing w:before="240" w:line="360" w:lineRule="auto"/>
        <w:jc w:val="both"/>
        <w:rPr>
          <w:rFonts w:ascii="Arial" w:hAnsi="Arial" w:cs="Arial"/>
          <w:color w:val="000000" w:themeColor="text1"/>
          <w:sz w:val="22"/>
          <w:szCs w:val="22"/>
        </w:rPr>
      </w:pPr>
    </w:p>
    <w:p w14:paraId="7B506735" w14:textId="77777777" w:rsidR="00930DAD" w:rsidRPr="00C6024C" w:rsidRDefault="00930DAD" w:rsidP="00930DAD">
      <w:pPr>
        <w:spacing w:before="240" w:line="360" w:lineRule="auto"/>
        <w:jc w:val="center"/>
        <w:rPr>
          <w:rFonts w:ascii="Arial" w:hAnsi="Arial" w:cs="Arial"/>
          <w:b/>
          <w:bCs/>
          <w:color w:val="000000" w:themeColor="text1"/>
          <w:sz w:val="22"/>
          <w:szCs w:val="22"/>
        </w:rPr>
      </w:pPr>
      <w:r w:rsidRPr="00C6024C">
        <w:rPr>
          <w:rFonts w:ascii="Arial" w:hAnsi="Arial" w:cs="Arial"/>
          <w:b/>
          <w:bCs/>
          <w:color w:val="000000" w:themeColor="text1"/>
          <w:sz w:val="22"/>
          <w:szCs w:val="22"/>
        </w:rPr>
        <w:t>SOCIAL EPIDEMIOLOGY AND PUBLIC HEALTH DEVELOPMENT</w:t>
      </w:r>
    </w:p>
    <w:p w14:paraId="14E543AB" w14:textId="77777777" w:rsidR="00930DAD" w:rsidRPr="00C6024C" w:rsidRDefault="00930DAD" w:rsidP="00930DAD">
      <w:pPr>
        <w:spacing w:before="240" w:line="360" w:lineRule="auto"/>
        <w:jc w:val="both"/>
        <w:rPr>
          <w:rFonts w:ascii="Arial" w:hAnsi="Arial" w:cs="Arial"/>
          <w:color w:val="000000" w:themeColor="text1"/>
          <w:sz w:val="22"/>
          <w:szCs w:val="22"/>
        </w:rPr>
      </w:pPr>
    </w:p>
    <w:p w14:paraId="3A61AB6C" w14:textId="77777777" w:rsidR="00930DAD" w:rsidRPr="00C6024C" w:rsidRDefault="00930DAD" w:rsidP="00930DAD">
      <w:pPr>
        <w:spacing w:before="240" w:line="360" w:lineRule="auto"/>
        <w:jc w:val="both"/>
        <w:rPr>
          <w:rFonts w:ascii="Arial" w:hAnsi="Arial" w:cs="Arial"/>
          <w:color w:val="000000" w:themeColor="text1"/>
          <w:sz w:val="22"/>
          <w:szCs w:val="22"/>
        </w:rPr>
      </w:pPr>
    </w:p>
    <w:p w14:paraId="4FFA1FD5" w14:textId="77777777" w:rsidR="00930DAD" w:rsidRPr="00C6024C" w:rsidRDefault="00930DAD" w:rsidP="00930DAD">
      <w:pPr>
        <w:spacing w:before="240" w:line="360" w:lineRule="auto"/>
        <w:jc w:val="both"/>
        <w:rPr>
          <w:rFonts w:ascii="Arial" w:hAnsi="Arial" w:cs="Arial"/>
          <w:color w:val="000000" w:themeColor="text1"/>
          <w:sz w:val="22"/>
          <w:szCs w:val="22"/>
        </w:rPr>
      </w:pPr>
    </w:p>
    <w:p w14:paraId="49A400CD" w14:textId="77777777" w:rsidR="00930DAD" w:rsidRPr="00C6024C" w:rsidRDefault="00930DAD" w:rsidP="00930DAD">
      <w:pPr>
        <w:spacing w:before="240" w:line="360" w:lineRule="auto"/>
        <w:jc w:val="both"/>
        <w:rPr>
          <w:rFonts w:ascii="Arial" w:hAnsi="Arial" w:cs="Arial"/>
          <w:color w:val="000000" w:themeColor="text1"/>
          <w:sz w:val="22"/>
          <w:szCs w:val="22"/>
        </w:rPr>
      </w:pPr>
    </w:p>
    <w:p w14:paraId="33BF8AD2" w14:textId="77777777" w:rsidR="00930DAD" w:rsidRPr="00C6024C" w:rsidRDefault="00930DAD" w:rsidP="00930DAD">
      <w:pPr>
        <w:spacing w:before="240" w:after="240" w:line="360" w:lineRule="auto"/>
        <w:jc w:val="both"/>
        <w:rPr>
          <w:rFonts w:ascii="Arial" w:hAnsi="Arial" w:cs="Arial"/>
          <w:color w:val="000000" w:themeColor="text1"/>
          <w:sz w:val="22"/>
          <w:szCs w:val="22"/>
        </w:rPr>
      </w:pPr>
      <w:r w:rsidRPr="00C6024C">
        <w:rPr>
          <w:rFonts w:ascii="Arial" w:hAnsi="Arial" w:cs="Arial"/>
          <w:color w:val="000000" w:themeColor="text1"/>
          <w:sz w:val="22"/>
          <w:szCs w:val="22"/>
        </w:rPr>
        <w:t>Programme: MSc Public Health and Social Care in Practice</w:t>
      </w:r>
    </w:p>
    <w:p w14:paraId="563D65AA" w14:textId="77777777" w:rsidR="00930DAD" w:rsidRPr="00C6024C" w:rsidRDefault="00930DAD" w:rsidP="00930DAD">
      <w:pPr>
        <w:spacing w:before="240" w:after="240" w:line="360" w:lineRule="auto"/>
        <w:jc w:val="both"/>
        <w:rPr>
          <w:rFonts w:ascii="Arial" w:hAnsi="Arial" w:cs="Arial"/>
          <w:color w:val="000000" w:themeColor="text1"/>
          <w:sz w:val="22"/>
          <w:szCs w:val="22"/>
        </w:rPr>
      </w:pPr>
      <w:r w:rsidRPr="00C6024C">
        <w:rPr>
          <w:rFonts w:ascii="Arial" w:hAnsi="Arial" w:cs="Arial"/>
          <w:color w:val="000000" w:themeColor="text1"/>
          <w:sz w:val="22"/>
          <w:szCs w:val="22"/>
        </w:rPr>
        <w:t>Module Name: Social Epidemiology and Public Health Development</w:t>
      </w:r>
    </w:p>
    <w:p w14:paraId="0C7220A0" w14:textId="6077A005" w:rsidR="00930DAD" w:rsidRPr="00C6024C" w:rsidRDefault="00930DAD" w:rsidP="00930DAD">
      <w:pPr>
        <w:spacing w:before="240" w:after="240" w:line="360" w:lineRule="auto"/>
        <w:jc w:val="both"/>
        <w:rPr>
          <w:rFonts w:ascii="Arial" w:hAnsi="Arial" w:cs="Arial"/>
          <w:color w:val="000000" w:themeColor="text1"/>
          <w:sz w:val="22"/>
          <w:szCs w:val="22"/>
        </w:rPr>
      </w:pPr>
      <w:r w:rsidRPr="00C6024C">
        <w:rPr>
          <w:rFonts w:ascii="Arial" w:hAnsi="Arial" w:cs="Arial"/>
          <w:color w:val="000000" w:themeColor="text1"/>
          <w:sz w:val="22"/>
          <w:szCs w:val="22"/>
        </w:rPr>
        <w:t xml:space="preserve">Module code: </w:t>
      </w:r>
      <w:r w:rsidR="00C6024C" w:rsidRPr="00C6024C">
        <w:rPr>
          <w:rFonts w:ascii="Arial" w:hAnsi="Arial" w:cs="Arial"/>
          <w:color w:val="000000" w:themeColor="text1"/>
          <w:sz w:val="22"/>
          <w:szCs w:val="22"/>
        </w:rPr>
        <w:t>LCHS7000</w:t>
      </w:r>
    </w:p>
    <w:p w14:paraId="115A42E4" w14:textId="7E39D517" w:rsidR="00930DAD" w:rsidRPr="00C6024C" w:rsidRDefault="00930DAD" w:rsidP="00930DAD">
      <w:pPr>
        <w:spacing w:before="240" w:after="240" w:line="360" w:lineRule="auto"/>
        <w:jc w:val="both"/>
        <w:rPr>
          <w:rFonts w:ascii="Arial" w:hAnsi="Arial" w:cs="Arial"/>
          <w:color w:val="000000" w:themeColor="text1"/>
          <w:sz w:val="22"/>
          <w:szCs w:val="22"/>
        </w:rPr>
      </w:pPr>
      <w:r w:rsidRPr="00C6024C">
        <w:rPr>
          <w:rFonts w:ascii="Arial" w:hAnsi="Arial" w:cs="Arial"/>
          <w:color w:val="000000" w:themeColor="text1"/>
          <w:sz w:val="22"/>
          <w:szCs w:val="22"/>
        </w:rPr>
        <w:t xml:space="preserve">Student name: </w:t>
      </w:r>
      <w:r w:rsidR="00C6024C" w:rsidRPr="00C6024C">
        <w:rPr>
          <w:rFonts w:ascii="Arial" w:hAnsi="Arial" w:cs="Arial"/>
          <w:color w:val="000000" w:themeColor="text1"/>
          <w:sz w:val="22"/>
          <w:szCs w:val="22"/>
        </w:rPr>
        <w:t>Kashish Bhagat</w:t>
      </w:r>
    </w:p>
    <w:p w14:paraId="4EC4D11C" w14:textId="223E129D" w:rsidR="00930DAD" w:rsidRPr="00C6024C" w:rsidRDefault="00930DAD" w:rsidP="00930DAD">
      <w:pPr>
        <w:spacing w:before="240" w:after="240" w:line="360" w:lineRule="auto"/>
        <w:jc w:val="both"/>
        <w:rPr>
          <w:rFonts w:ascii="Arial" w:hAnsi="Arial" w:cs="Arial"/>
          <w:color w:val="000000" w:themeColor="text1"/>
          <w:sz w:val="22"/>
          <w:szCs w:val="22"/>
        </w:rPr>
      </w:pPr>
      <w:r w:rsidRPr="00C6024C">
        <w:rPr>
          <w:rFonts w:ascii="Arial" w:hAnsi="Arial" w:cs="Arial"/>
          <w:color w:val="000000" w:themeColor="text1"/>
          <w:sz w:val="22"/>
          <w:szCs w:val="22"/>
        </w:rPr>
        <w:t xml:space="preserve">Student ID: </w:t>
      </w:r>
      <w:r w:rsidR="00C6024C" w:rsidRPr="00C6024C">
        <w:rPr>
          <w:rFonts w:ascii="Arial" w:hAnsi="Arial" w:cs="Arial"/>
          <w:color w:val="000000" w:themeColor="text1"/>
          <w:sz w:val="22"/>
          <w:szCs w:val="22"/>
        </w:rPr>
        <w:t>2438646</w:t>
      </w:r>
    </w:p>
    <w:p w14:paraId="6F97066C" w14:textId="2A0B3660" w:rsidR="00930DAD" w:rsidRPr="00C6024C" w:rsidRDefault="00930DAD" w:rsidP="00930DAD">
      <w:pPr>
        <w:spacing w:line="360" w:lineRule="auto"/>
        <w:jc w:val="both"/>
        <w:rPr>
          <w:rFonts w:ascii="Arial" w:hAnsi="Arial" w:cs="Arial"/>
          <w:sz w:val="22"/>
          <w:szCs w:val="22"/>
        </w:rPr>
      </w:pPr>
      <w:r w:rsidRPr="00C6024C">
        <w:rPr>
          <w:rFonts w:ascii="Arial" w:hAnsi="Arial" w:cs="Arial"/>
          <w:sz w:val="22"/>
          <w:szCs w:val="22"/>
        </w:rPr>
        <w:t xml:space="preserve">Lecturer: </w:t>
      </w:r>
      <w:r w:rsidR="00C6024C" w:rsidRPr="00C6024C">
        <w:rPr>
          <w:rFonts w:ascii="Arial" w:hAnsi="Arial" w:cs="Arial"/>
          <w:sz w:val="22"/>
          <w:szCs w:val="22"/>
        </w:rPr>
        <w:t>Jolly Nwankwo</w:t>
      </w:r>
    </w:p>
    <w:p w14:paraId="0FDE429E" w14:textId="77777777" w:rsidR="00930DAD" w:rsidRPr="00C6024C" w:rsidRDefault="00930DAD" w:rsidP="00930DAD">
      <w:pPr>
        <w:spacing w:line="360" w:lineRule="auto"/>
        <w:jc w:val="both"/>
        <w:rPr>
          <w:rFonts w:ascii="Arial" w:hAnsi="Arial" w:cs="Arial"/>
          <w:sz w:val="22"/>
          <w:szCs w:val="22"/>
        </w:rPr>
      </w:pPr>
    </w:p>
    <w:p w14:paraId="4E3079FF" w14:textId="77777777" w:rsidR="00A565F4" w:rsidRPr="00C6024C" w:rsidRDefault="00A565F4" w:rsidP="00A565F4">
      <w:pPr>
        <w:spacing w:line="360" w:lineRule="auto"/>
        <w:jc w:val="both"/>
        <w:rPr>
          <w:rFonts w:ascii="Arial" w:hAnsi="Arial" w:cs="Arial"/>
          <w:b/>
          <w:bCs/>
          <w:sz w:val="22"/>
          <w:szCs w:val="22"/>
        </w:rPr>
      </w:pPr>
    </w:p>
    <w:p w14:paraId="552215D7" w14:textId="77777777" w:rsidR="00930DAD" w:rsidRPr="00C6024C" w:rsidRDefault="00930DAD" w:rsidP="00A565F4">
      <w:pPr>
        <w:spacing w:line="360" w:lineRule="auto"/>
        <w:jc w:val="both"/>
        <w:rPr>
          <w:rFonts w:ascii="Arial" w:hAnsi="Arial" w:cs="Arial"/>
          <w:b/>
          <w:bCs/>
          <w:sz w:val="22"/>
          <w:szCs w:val="22"/>
        </w:rPr>
      </w:pPr>
    </w:p>
    <w:p w14:paraId="5964E80C" w14:textId="77777777" w:rsidR="00930DAD" w:rsidRPr="00C6024C" w:rsidRDefault="00930DAD" w:rsidP="00A565F4">
      <w:pPr>
        <w:spacing w:line="360" w:lineRule="auto"/>
        <w:jc w:val="both"/>
        <w:rPr>
          <w:rFonts w:ascii="Arial" w:hAnsi="Arial" w:cs="Arial"/>
          <w:b/>
          <w:bCs/>
          <w:sz w:val="22"/>
          <w:szCs w:val="22"/>
        </w:rPr>
      </w:pPr>
    </w:p>
    <w:sdt>
      <w:sdtPr>
        <w:rPr>
          <w:rFonts w:ascii="Arial" w:eastAsiaTheme="minorHAnsi" w:hAnsi="Arial" w:cs="Arial"/>
          <w:color w:val="auto"/>
          <w:kern w:val="2"/>
          <w:sz w:val="22"/>
          <w:szCs w:val="22"/>
          <w:lang w:eastAsia="en-US"/>
          <w14:ligatures w14:val="standardContextual"/>
        </w:rPr>
        <w:id w:val="-9308230"/>
        <w:docPartObj>
          <w:docPartGallery w:val="Table of Contents"/>
          <w:docPartUnique/>
        </w:docPartObj>
      </w:sdtPr>
      <w:sdtEndPr>
        <w:rPr>
          <w:b/>
          <w:bCs/>
        </w:rPr>
      </w:sdtEndPr>
      <w:sdtContent>
        <w:p w14:paraId="2053AB63" w14:textId="6C613D09" w:rsidR="008C0415" w:rsidRPr="00C6024C" w:rsidRDefault="008C0415">
          <w:pPr>
            <w:pStyle w:val="TOCHeading"/>
            <w:rPr>
              <w:rFonts w:ascii="Arial" w:hAnsi="Arial" w:cs="Arial"/>
              <w:sz w:val="22"/>
              <w:szCs w:val="22"/>
            </w:rPr>
          </w:pPr>
          <w:r w:rsidRPr="00C6024C">
            <w:rPr>
              <w:rFonts w:ascii="Arial" w:hAnsi="Arial" w:cs="Arial"/>
              <w:sz w:val="22"/>
              <w:szCs w:val="22"/>
            </w:rPr>
            <w:t>Table of Contents</w:t>
          </w:r>
        </w:p>
        <w:p w14:paraId="40751BBF" w14:textId="7524918D" w:rsidR="008C0415" w:rsidRPr="00C6024C" w:rsidRDefault="008C0415">
          <w:pPr>
            <w:pStyle w:val="TOC1"/>
            <w:tabs>
              <w:tab w:val="right" w:leader="dot" w:pos="9016"/>
            </w:tabs>
            <w:rPr>
              <w:rFonts w:ascii="Arial" w:hAnsi="Arial" w:cs="Arial"/>
              <w:noProof/>
              <w:sz w:val="22"/>
              <w:szCs w:val="22"/>
            </w:rPr>
          </w:pPr>
          <w:r w:rsidRPr="00C6024C">
            <w:rPr>
              <w:rFonts w:ascii="Arial" w:hAnsi="Arial" w:cs="Arial"/>
              <w:sz w:val="22"/>
              <w:szCs w:val="22"/>
            </w:rPr>
            <w:fldChar w:fldCharType="begin"/>
          </w:r>
          <w:r w:rsidRPr="00C6024C">
            <w:rPr>
              <w:rFonts w:ascii="Arial" w:hAnsi="Arial" w:cs="Arial"/>
              <w:sz w:val="22"/>
              <w:szCs w:val="22"/>
            </w:rPr>
            <w:instrText xml:space="preserve"> TOC \o "1-3" \h \z \u </w:instrText>
          </w:r>
          <w:r w:rsidRPr="00C6024C">
            <w:rPr>
              <w:rFonts w:ascii="Arial" w:hAnsi="Arial" w:cs="Arial"/>
              <w:sz w:val="22"/>
              <w:szCs w:val="22"/>
            </w:rPr>
            <w:fldChar w:fldCharType="separate"/>
          </w:r>
          <w:hyperlink w:anchor="_Toc216957238" w:history="1">
            <w:r w:rsidRPr="00C6024C">
              <w:rPr>
                <w:rStyle w:val="Hyperlink"/>
                <w:rFonts w:ascii="Arial" w:hAnsi="Arial" w:cs="Arial"/>
                <w:noProof/>
                <w:sz w:val="22"/>
                <w:szCs w:val="22"/>
              </w:rPr>
              <w:t>TASK:1</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_Toc216957238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3</w:t>
            </w:r>
            <w:r w:rsidRPr="00C6024C">
              <w:rPr>
                <w:rFonts w:ascii="Arial" w:hAnsi="Arial" w:cs="Arial"/>
                <w:noProof/>
                <w:webHidden/>
                <w:sz w:val="22"/>
                <w:szCs w:val="22"/>
              </w:rPr>
              <w:fldChar w:fldCharType="end"/>
            </w:r>
          </w:hyperlink>
        </w:p>
        <w:p w14:paraId="67B63830" w14:textId="2CC7B8F8" w:rsidR="008C0415" w:rsidRPr="00C6024C" w:rsidRDefault="008C0415">
          <w:pPr>
            <w:pStyle w:val="TOC2"/>
            <w:tabs>
              <w:tab w:val="right" w:leader="dot" w:pos="9016"/>
            </w:tabs>
            <w:rPr>
              <w:rFonts w:ascii="Arial" w:hAnsi="Arial" w:cs="Arial"/>
              <w:noProof/>
              <w:sz w:val="22"/>
              <w:szCs w:val="22"/>
            </w:rPr>
          </w:pPr>
          <w:hyperlink w:anchor="_Toc216957239" w:history="1">
            <w:r w:rsidRPr="00C6024C">
              <w:rPr>
                <w:rStyle w:val="Hyperlink"/>
                <w:rFonts w:ascii="Arial" w:hAnsi="Arial" w:cs="Arial"/>
                <w:noProof/>
                <w:sz w:val="22"/>
                <w:szCs w:val="22"/>
              </w:rPr>
              <w:t>Introduction</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_Toc216957239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4</w:t>
            </w:r>
            <w:r w:rsidRPr="00C6024C">
              <w:rPr>
                <w:rFonts w:ascii="Arial" w:hAnsi="Arial" w:cs="Arial"/>
                <w:noProof/>
                <w:webHidden/>
                <w:sz w:val="22"/>
                <w:szCs w:val="22"/>
              </w:rPr>
              <w:fldChar w:fldCharType="end"/>
            </w:r>
          </w:hyperlink>
        </w:p>
        <w:p w14:paraId="5496866B" w14:textId="480B8452" w:rsidR="008C0415" w:rsidRPr="00C6024C" w:rsidRDefault="008C0415">
          <w:pPr>
            <w:pStyle w:val="TOC2"/>
            <w:tabs>
              <w:tab w:val="right" w:leader="dot" w:pos="9016"/>
            </w:tabs>
            <w:rPr>
              <w:rFonts w:ascii="Arial" w:hAnsi="Arial" w:cs="Arial"/>
              <w:noProof/>
              <w:sz w:val="22"/>
              <w:szCs w:val="22"/>
            </w:rPr>
          </w:pPr>
          <w:hyperlink w:anchor="_Toc216957240" w:history="1">
            <w:r w:rsidRPr="00C6024C">
              <w:rPr>
                <w:rStyle w:val="Hyperlink"/>
                <w:rFonts w:ascii="Arial" w:hAnsi="Arial" w:cs="Arial"/>
                <w:noProof/>
                <w:sz w:val="22"/>
                <w:szCs w:val="22"/>
              </w:rPr>
              <w:t>Contextual Background and Underlying Factors</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_Toc216957240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4</w:t>
            </w:r>
            <w:r w:rsidRPr="00C6024C">
              <w:rPr>
                <w:rFonts w:ascii="Arial" w:hAnsi="Arial" w:cs="Arial"/>
                <w:noProof/>
                <w:webHidden/>
                <w:sz w:val="22"/>
                <w:szCs w:val="22"/>
              </w:rPr>
              <w:fldChar w:fldCharType="end"/>
            </w:r>
          </w:hyperlink>
        </w:p>
        <w:p w14:paraId="2DAF8FD0" w14:textId="3D251F95" w:rsidR="008C0415" w:rsidRPr="00C6024C" w:rsidRDefault="008C0415">
          <w:pPr>
            <w:pStyle w:val="TOC3"/>
            <w:tabs>
              <w:tab w:val="right" w:leader="dot" w:pos="9016"/>
            </w:tabs>
            <w:rPr>
              <w:rFonts w:ascii="Arial" w:hAnsi="Arial" w:cs="Arial"/>
              <w:noProof/>
              <w:sz w:val="22"/>
              <w:szCs w:val="22"/>
            </w:rPr>
          </w:pPr>
          <w:hyperlink w:anchor="_Toc216957241" w:history="1">
            <w:r w:rsidRPr="00C6024C">
              <w:rPr>
                <w:rStyle w:val="Hyperlink"/>
                <w:rFonts w:ascii="Arial" w:hAnsi="Arial" w:cs="Arial"/>
                <w:noProof/>
                <w:sz w:val="22"/>
                <w:szCs w:val="22"/>
              </w:rPr>
              <w:t>Disease and Illness Rates</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_Toc216957241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4</w:t>
            </w:r>
            <w:r w:rsidRPr="00C6024C">
              <w:rPr>
                <w:rFonts w:ascii="Arial" w:hAnsi="Arial" w:cs="Arial"/>
                <w:noProof/>
                <w:webHidden/>
                <w:sz w:val="22"/>
                <w:szCs w:val="22"/>
              </w:rPr>
              <w:fldChar w:fldCharType="end"/>
            </w:r>
          </w:hyperlink>
        </w:p>
        <w:p w14:paraId="432CE957" w14:textId="39063EE8" w:rsidR="008C0415" w:rsidRPr="00C6024C" w:rsidRDefault="008C0415">
          <w:pPr>
            <w:pStyle w:val="TOC3"/>
            <w:tabs>
              <w:tab w:val="right" w:leader="dot" w:pos="9016"/>
            </w:tabs>
            <w:rPr>
              <w:rFonts w:ascii="Arial" w:hAnsi="Arial" w:cs="Arial"/>
              <w:noProof/>
              <w:sz w:val="22"/>
              <w:szCs w:val="22"/>
            </w:rPr>
          </w:pPr>
          <w:hyperlink w:anchor="_Toc216957242" w:history="1">
            <w:r w:rsidRPr="00C6024C">
              <w:rPr>
                <w:rStyle w:val="Hyperlink"/>
                <w:rFonts w:ascii="Arial" w:hAnsi="Arial" w:cs="Arial"/>
                <w:noProof/>
                <w:sz w:val="22"/>
                <w:szCs w:val="22"/>
              </w:rPr>
              <w:t>Social Issues Affecting Disabled People</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_Toc216957242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5</w:t>
            </w:r>
            <w:r w:rsidRPr="00C6024C">
              <w:rPr>
                <w:rFonts w:ascii="Arial" w:hAnsi="Arial" w:cs="Arial"/>
                <w:noProof/>
                <w:webHidden/>
                <w:sz w:val="22"/>
                <w:szCs w:val="22"/>
              </w:rPr>
              <w:fldChar w:fldCharType="end"/>
            </w:r>
          </w:hyperlink>
        </w:p>
        <w:p w14:paraId="2D009316" w14:textId="2FD7D270" w:rsidR="008C0415" w:rsidRPr="00C6024C" w:rsidRDefault="008C0415">
          <w:pPr>
            <w:pStyle w:val="TOC2"/>
            <w:tabs>
              <w:tab w:val="right" w:leader="dot" w:pos="9016"/>
            </w:tabs>
            <w:rPr>
              <w:rFonts w:ascii="Arial" w:hAnsi="Arial" w:cs="Arial"/>
              <w:noProof/>
              <w:sz w:val="22"/>
              <w:szCs w:val="22"/>
            </w:rPr>
          </w:pPr>
          <w:hyperlink w:anchor="_Toc216957243" w:history="1">
            <w:r w:rsidRPr="00C6024C">
              <w:rPr>
                <w:rStyle w:val="Hyperlink"/>
                <w:rFonts w:ascii="Arial" w:hAnsi="Arial" w:cs="Arial"/>
                <w:noProof/>
                <w:sz w:val="22"/>
                <w:szCs w:val="22"/>
              </w:rPr>
              <w:t>National Response to Reduce Health Inequalities</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_Toc216957243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6</w:t>
            </w:r>
            <w:r w:rsidRPr="00C6024C">
              <w:rPr>
                <w:rFonts w:ascii="Arial" w:hAnsi="Arial" w:cs="Arial"/>
                <w:noProof/>
                <w:webHidden/>
                <w:sz w:val="22"/>
                <w:szCs w:val="22"/>
              </w:rPr>
              <w:fldChar w:fldCharType="end"/>
            </w:r>
          </w:hyperlink>
        </w:p>
        <w:p w14:paraId="0A177CBA" w14:textId="6AF0FC71" w:rsidR="008C0415" w:rsidRPr="00C6024C" w:rsidRDefault="008C0415">
          <w:pPr>
            <w:pStyle w:val="TOC2"/>
            <w:tabs>
              <w:tab w:val="right" w:leader="dot" w:pos="9016"/>
            </w:tabs>
            <w:rPr>
              <w:rFonts w:ascii="Arial" w:hAnsi="Arial" w:cs="Arial"/>
              <w:noProof/>
              <w:sz w:val="22"/>
              <w:szCs w:val="22"/>
            </w:rPr>
          </w:pPr>
          <w:hyperlink w:anchor="_Toc216957244" w:history="1">
            <w:r w:rsidRPr="00C6024C">
              <w:rPr>
                <w:rStyle w:val="Hyperlink"/>
                <w:rFonts w:ascii="Arial" w:hAnsi="Arial" w:cs="Arial"/>
                <w:noProof/>
                <w:sz w:val="22"/>
                <w:szCs w:val="22"/>
              </w:rPr>
              <w:t>Organisation Supporting Disabled People</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_Toc216957244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6</w:t>
            </w:r>
            <w:r w:rsidRPr="00C6024C">
              <w:rPr>
                <w:rFonts w:ascii="Arial" w:hAnsi="Arial" w:cs="Arial"/>
                <w:noProof/>
                <w:webHidden/>
                <w:sz w:val="22"/>
                <w:szCs w:val="22"/>
              </w:rPr>
              <w:fldChar w:fldCharType="end"/>
            </w:r>
          </w:hyperlink>
        </w:p>
        <w:p w14:paraId="421894DB" w14:textId="4B730134" w:rsidR="008C0415" w:rsidRPr="00C6024C" w:rsidRDefault="008C0415">
          <w:pPr>
            <w:pStyle w:val="TOC2"/>
            <w:tabs>
              <w:tab w:val="right" w:leader="dot" w:pos="9016"/>
            </w:tabs>
            <w:rPr>
              <w:rFonts w:ascii="Arial" w:hAnsi="Arial" w:cs="Arial"/>
              <w:noProof/>
              <w:sz w:val="22"/>
              <w:szCs w:val="22"/>
            </w:rPr>
          </w:pPr>
          <w:hyperlink w:anchor="_Toc216957245" w:history="1">
            <w:r w:rsidRPr="00C6024C">
              <w:rPr>
                <w:rStyle w:val="Hyperlink"/>
                <w:rFonts w:ascii="Arial" w:hAnsi="Arial" w:cs="Arial"/>
                <w:noProof/>
                <w:sz w:val="22"/>
                <w:szCs w:val="22"/>
              </w:rPr>
              <w:t>Conclusion</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_Toc216957245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7</w:t>
            </w:r>
            <w:r w:rsidRPr="00C6024C">
              <w:rPr>
                <w:rFonts w:ascii="Arial" w:hAnsi="Arial" w:cs="Arial"/>
                <w:noProof/>
                <w:webHidden/>
                <w:sz w:val="22"/>
                <w:szCs w:val="22"/>
              </w:rPr>
              <w:fldChar w:fldCharType="end"/>
            </w:r>
          </w:hyperlink>
        </w:p>
        <w:p w14:paraId="4413729F" w14:textId="6919F14C" w:rsidR="008C0415" w:rsidRPr="00C6024C" w:rsidRDefault="008C0415">
          <w:pPr>
            <w:pStyle w:val="TOC1"/>
            <w:tabs>
              <w:tab w:val="right" w:leader="dot" w:pos="9016"/>
            </w:tabs>
            <w:rPr>
              <w:rFonts w:ascii="Arial" w:hAnsi="Arial" w:cs="Arial"/>
              <w:noProof/>
              <w:sz w:val="22"/>
              <w:szCs w:val="22"/>
            </w:rPr>
          </w:pPr>
          <w:hyperlink w:anchor="_Toc216957246" w:history="1">
            <w:r w:rsidRPr="00C6024C">
              <w:rPr>
                <w:rStyle w:val="Hyperlink"/>
                <w:rFonts w:ascii="Arial" w:hAnsi="Arial" w:cs="Arial"/>
                <w:noProof/>
                <w:sz w:val="22"/>
                <w:szCs w:val="22"/>
              </w:rPr>
              <w:t>TASK: 2</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_Toc216957246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8</w:t>
            </w:r>
            <w:r w:rsidRPr="00C6024C">
              <w:rPr>
                <w:rFonts w:ascii="Arial" w:hAnsi="Arial" w:cs="Arial"/>
                <w:noProof/>
                <w:webHidden/>
                <w:sz w:val="22"/>
                <w:szCs w:val="22"/>
              </w:rPr>
              <w:fldChar w:fldCharType="end"/>
            </w:r>
          </w:hyperlink>
        </w:p>
        <w:p w14:paraId="3921082B" w14:textId="0B13E39C" w:rsidR="008C0415" w:rsidRPr="00C6024C" w:rsidRDefault="008C0415">
          <w:pPr>
            <w:pStyle w:val="TOC2"/>
            <w:tabs>
              <w:tab w:val="right" w:leader="dot" w:pos="9016"/>
            </w:tabs>
            <w:rPr>
              <w:rFonts w:ascii="Arial" w:hAnsi="Arial" w:cs="Arial"/>
              <w:noProof/>
              <w:sz w:val="22"/>
              <w:szCs w:val="22"/>
            </w:rPr>
          </w:pPr>
          <w:hyperlink w:anchor="_Toc216957247" w:history="1">
            <w:r w:rsidRPr="00C6024C">
              <w:rPr>
                <w:rStyle w:val="Hyperlink"/>
                <w:rFonts w:ascii="Arial" w:eastAsiaTheme="majorEastAsia" w:hAnsi="Arial" w:cs="Arial"/>
                <w:noProof/>
                <w:sz w:val="22"/>
                <w:szCs w:val="22"/>
              </w:rPr>
              <w:t>Introduction</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_Toc216957247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9</w:t>
            </w:r>
            <w:r w:rsidRPr="00C6024C">
              <w:rPr>
                <w:rFonts w:ascii="Arial" w:hAnsi="Arial" w:cs="Arial"/>
                <w:noProof/>
                <w:webHidden/>
                <w:sz w:val="22"/>
                <w:szCs w:val="22"/>
              </w:rPr>
              <w:fldChar w:fldCharType="end"/>
            </w:r>
          </w:hyperlink>
        </w:p>
        <w:p w14:paraId="43431B42" w14:textId="13A43C96" w:rsidR="008C0415" w:rsidRPr="00C6024C" w:rsidRDefault="008C0415">
          <w:pPr>
            <w:pStyle w:val="TOC2"/>
            <w:tabs>
              <w:tab w:val="right" w:leader="dot" w:pos="9016"/>
            </w:tabs>
            <w:rPr>
              <w:rFonts w:ascii="Arial" w:hAnsi="Arial" w:cs="Arial"/>
              <w:noProof/>
              <w:sz w:val="22"/>
              <w:szCs w:val="22"/>
            </w:rPr>
          </w:pPr>
          <w:hyperlink w:anchor="_Toc216957248" w:history="1">
            <w:r w:rsidRPr="00C6024C">
              <w:rPr>
                <w:rStyle w:val="Hyperlink"/>
                <w:rFonts w:ascii="Arial" w:eastAsiaTheme="majorEastAsia" w:hAnsi="Arial" w:cs="Arial"/>
                <w:noProof/>
                <w:sz w:val="22"/>
                <w:szCs w:val="22"/>
              </w:rPr>
              <w:t>Global Prevalence of Hypertension</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_Toc216957248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9</w:t>
            </w:r>
            <w:r w:rsidRPr="00C6024C">
              <w:rPr>
                <w:rFonts w:ascii="Arial" w:hAnsi="Arial" w:cs="Arial"/>
                <w:noProof/>
                <w:webHidden/>
                <w:sz w:val="22"/>
                <w:szCs w:val="22"/>
              </w:rPr>
              <w:fldChar w:fldCharType="end"/>
            </w:r>
          </w:hyperlink>
        </w:p>
        <w:p w14:paraId="00799151" w14:textId="22DA6EC1" w:rsidR="008C0415" w:rsidRPr="00C6024C" w:rsidRDefault="008C0415">
          <w:pPr>
            <w:pStyle w:val="TOC2"/>
            <w:tabs>
              <w:tab w:val="right" w:leader="dot" w:pos="9016"/>
            </w:tabs>
            <w:rPr>
              <w:rFonts w:ascii="Arial" w:hAnsi="Arial" w:cs="Arial"/>
              <w:noProof/>
              <w:sz w:val="22"/>
              <w:szCs w:val="22"/>
            </w:rPr>
          </w:pPr>
          <w:hyperlink w:anchor="_Toc216957249" w:history="1">
            <w:r w:rsidRPr="00C6024C">
              <w:rPr>
                <w:rStyle w:val="Hyperlink"/>
                <w:rFonts w:ascii="Arial" w:eastAsiaTheme="majorEastAsia" w:hAnsi="Arial" w:cs="Arial"/>
                <w:noProof/>
                <w:sz w:val="22"/>
                <w:szCs w:val="22"/>
              </w:rPr>
              <w:t>UK Prevalence of Hypertension</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_Toc216957249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9</w:t>
            </w:r>
            <w:r w:rsidRPr="00C6024C">
              <w:rPr>
                <w:rFonts w:ascii="Arial" w:hAnsi="Arial" w:cs="Arial"/>
                <w:noProof/>
                <w:webHidden/>
                <w:sz w:val="22"/>
                <w:szCs w:val="22"/>
              </w:rPr>
              <w:fldChar w:fldCharType="end"/>
            </w:r>
          </w:hyperlink>
        </w:p>
        <w:p w14:paraId="52C877D6" w14:textId="5DCE42C5" w:rsidR="008C0415" w:rsidRPr="00C6024C" w:rsidRDefault="008C0415">
          <w:pPr>
            <w:pStyle w:val="TOC2"/>
            <w:tabs>
              <w:tab w:val="right" w:leader="dot" w:pos="9016"/>
            </w:tabs>
            <w:rPr>
              <w:rFonts w:ascii="Arial" w:hAnsi="Arial" w:cs="Arial"/>
              <w:noProof/>
              <w:sz w:val="22"/>
              <w:szCs w:val="22"/>
            </w:rPr>
          </w:pPr>
          <w:hyperlink w:anchor="_Toc216957250" w:history="1">
            <w:r w:rsidRPr="00C6024C">
              <w:rPr>
                <w:rStyle w:val="Hyperlink"/>
                <w:rFonts w:ascii="Arial" w:hAnsi="Arial" w:cs="Arial"/>
                <w:noProof/>
                <w:sz w:val="22"/>
                <w:szCs w:val="22"/>
              </w:rPr>
              <w:t>Public Health Measures and the 3 P’s</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_Toc216957250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9</w:t>
            </w:r>
            <w:r w:rsidRPr="00C6024C">
              <w:rPr>
                <w:rFonts w:ascii="Arial" w:hAnsi="Arial" w:cs="Arial"/>
                <w:noProof/>
                <w:webHidden/>
                <w:sz w:val="22"/>
                <w:szCs w:val="22"/>
              </w:rPr>
              <w:fldChar w:fldCharType="end"/>
            </w:r>
          </w:hyperlink>
        </w:p>
        <w:p w14:paraId="6FAA3B69" w14:textId="72183BFD" w:rsidR="008C0415" w:rsidRPr="00C6024C" w:rsidRDefault="008C0415">
          <w:pPr>
            <w:pStyle w:val="TOC2"/>
            <w:tabs>
              <w:tab w:val="right" w:leader="dot" w:pos="9016"/>
            </w:tabs>
            <w:rPr>
              <w:rFonts w:ascii="Arial" w:hAnsi="Arial" w:cs="Arial"/>
              <w:noProof/>
              <w:sz w:val="22"/>
              <w:szCs w:val="22"/>
            </w:rPr>
          </w:pPr>
          <w:hyperlink w:anchor="_Toc216957251" w:history="1">
            <w:r w:rsidRPr="00C6024C">
              <w:rPr>
                <w:rStyle w:val="Hyperlink"/>
                <w:rFonts w:ascii="Arial" w:eastAsiaTheme="majorEastAsia" w:hAnsi="Arial" w:cs="Arial"/>
                <w:noProof/>
                <w:sz w:val="22"/>
                <w:szCs w:val="22"/>
              </w:rPr>
              <w:t>Key Determinants and Risk Factors of Hypertension</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_Toc216957251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10</w:t>
            </w:r>
            <w:r w:rsidRPr="00C6024C">
              <w:rPr>
                <w:rFonts w:ascii="Arial" w:hAnsi="Arial" w:cs="Arial"/>
                <w:noProof/>
                <w:webHidden/>
                <w:sz w:val="22"/>
                <w:szCs w:val="22"/>
              </w:rPr>
              <w:fldChar w:fldCharType="end"/>
            </w:r>
          </w:hyperlink>
        </w:p>
        <w:p w14:paraId="70B61B4F" w14:textId="0906DD88" w:rsidR="008C0415" w:rsidRPr="00C6024C" w:rsidRDefault="008C0415">
          <w:pPr>
            <w:pStyle w:val="TOC2"/>
            <w:tabs>
              <w:tab w:val="right" w:leader="dot" w:pos="9016"/>
            </w:tabs>
            <w:rPr>
              <w:rFonts w:ascii="Arial" w:hAnsi="Arial" w:cs="Arial"/>
              <w:noProof/>
              <w:sz w:val="22"/>
              <w:szCs w:val="22"/>
            </w:rPr>
          </w:pPr>
          <w:hyperlink w:anchor="_Toc216957252" w:history="1">
            <w:r w:rsidRPr="00C6024C">
              <w:rPr>
                <w:rStyle w:val="Hyperlink"/>
                <w:rFonts w:ascii="Arial" w:hAnsi="Arial" w:cs="Arial"/>
                <w:noProof/>
                <w:sz w:val="22"/>
                <w:szCs w:val="22"/>
              </w:rPr>
              <w:t>Epidemiological Studies and Health Needs Assessment</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_Toc216957252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11</w:t>
            </w:r>
            <w:r w:rsidRPr="00C6024C">
              <w:rPr>
                <w:rFonts w:ascii="Arial" w:hAnsi="Arial" w:cs="Arial"/>
                <w:noProof/>
                <w:webHidden/>
                <w:sz w:val="22"/>
                <w:szCs w:val="22"/>
              </w:rPr>
              <w:fldChar w:fldCharType="end"/>
            </w:r>
          </w:hyperlink>
        </w:p>
        <w:p w14:paraId="1542A2C2" w14:textId="675EB3CD" w:rsidR="008C0415" w:rsidRPr="00C6024C" w:rsidRDefault="008C0415">
          <w:pPr>
            <w:pStyle w:val="TOC2"/>
            <w:tabs>
              <w:tab w:val="right" w:leader="dot" w:pos="9016"/>
            </w:tabs>
            <w:rPr>
              <w:rFonts w:ascii="Arial" w:hAnsi="Arial" w:cs="Arial"/>
              <w:noProof/>
              <w:sz w:val="22"/>
              <w:szCs w:val="22"/>
            </w:rPr>
          </w:pPr>
          <w:hyperlink w:anchor="_Toc216957253" w:history="1">
            <w:r w:rsidRPr="00C6024C">
              <w:rPr>
                <w:rStyle w:val="Hyperlink"/>
                <w:rFonts w:ascii="Arial" w:eastAsiaTheme="majorEastAsia" w:hAnsi="Arial" w:cs="Arial"/>
                <w:noProof/>
                <w:sz w:val="22"/>
                <w:szCs w:val="22"/>
              </w:rPr>
              <w:t>Monitoring and Surveillance Systems</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_Toc216957253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11</w:t>
            </w:r>
            <w:r w:rsidRPr="00C6024C">
              <w:rPr>
                <w:rFonts w:ascii="Arial" w:hAnsi="Arial" w:cs="Arial"/>
                <w:noProof/>
                <w:webHidden/>
                <w:sz w:val="22"/>
                <w:szCs w:val="22"/>
              </w:rPr>
              <w:fldChar w:fldCharType="end"/>
            </w:r>
          </w:hyperlink>
        </w:p>
        <w:p w14:paraId="386AA619" w14:textId="14A126A4" w:rsidR="008C0415" w:rsidRPr="00C6024C" w:rsidRDefault="008C0415">
          <w:pPr>
            <w:pStyle w:val="TOC2"/>
            <w:tabs>
              <w:tab w:val="right" w:leader="dot" w:pos="9016"/>
            </w:tabs>
            <w:rPr>
              <w:rFonts w:ascii="Arial" w:hAnsi="Arial" w:cs="Arial"/>
              <w:noProof/>
              <w:sz w:val="22"/>
              <w:szCs w:val="22"/>
            </w:rPr>
          </w:pPr>
          <w:hyperlink w:anchor="_Toc216957254" w:history="1">
            <w:r w:rsidRPr="00C6024C">
              <w:rPr>
                <w:rStyle w:val="Hyperlink"/>
                <w:rFonts w:ascii="Arial" w:eastAsiaTheme="majorEastAsia" w:hAnsi="Arial" w:cs="Arial"/>
                <w:noProof/>
                <w:sz w:val="22"/>
                <w:szCs w:val="22"/>
              </w:rPr>
              <w:t>Planning and Assessing Public Health Impact of Hypertension</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_Toc216957254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12</w:t>
            </w:r>
            <w:r w:rsidRPr="00C6024C">
              <w:rPr>
                <w:rFonts w:ascii="Arial" w:hAnsi="Arial" w:cs="Arial"/>
                <w:noProof/>
                <w:webHidden/>
                <w:sz w:val="22"/>
                <w:szCs w:val="22"/>
              </w:rPr>
              <w:fldChar w:fldCharType="end"/>
            </w:r>
          </w:hyperlink>
        </w:p>
        <w:p w14:paraId="6E72DAB5" w14:textId="04AD37CA" w:rsidR="008C0415" w:rsidRPr="00C6024C" w:rsidRDefault="008C0415">
          <w:pPr>
            <w:pStyle w:val="TOC2"/>
            <w:tabs>
              <w:tab w:val="right" w:leader="dot" w:pos="9016"/>
            </w:tabs>
            <w:rPr>
              <w:rFonts w:ascii="Arial" w:hAnsi="Arial" w:cs="Arial"/>
              <w:noProof/>
              <w:sz w:val="22"/>
              <w:szCs w:val="22"/>
            </w:rPr>
          </w:pPr>
          <w:hyperlink w:anchor="_Toc216957255" w:history="1">
            <w:r w:rsidRPr="00C6024C">
              <w:rPr>
                <w:rStyle w:val="Hyperlink"/>
                <w:rFonts w:ascii="Arial" w:hAnsi="Arial" w:cs="Arial"/>
                <w:noProof/>
                <w:sz w:val="22"/>
                <w:szCs w:val="22"/>
              </w:rPr>
              <w:t>Designing a Health Intervention Programme</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_Toc216957255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12</w:t>
            </w:r>
            <w:r w:rsidRPr="00C6024C">
              <w:rPr>
                <w:rFonts w:ascii="Arial" w:hAnsi="Arial" w:cs="Arial"/>
                <w:noProof/>
                <w:webHidden/>
                <w:sz w:val="22"/>
                <w:szCs w:val="22"/>
              </w:rPr>
              <w:fldChar w:fldCharType="end"/>
            </w:r>
          </w:hyperlink>
        </w:p>
        <w:p w14:paraId="473D327C" w14:textId="71157203" w:rsidR="008C0415" w:rsidRPr="00C6024C" w:rsidRDefault="008C0415">
          <w:pPr>
            <w:pStyle w:val="TOC2"/>
            <w:tabs>
              <w:tab w:val="right" w:leader="dot" w:pos="9016"/>
            </w:tabs>
            <w:rPr>
              <w:rFonts w:ascii="Arial" w:hAnsi="Arial" w:cs="Arial"/>
              <w:noProof/>
              <w:sz w:val="22"/>
              <w:szCs w:val="22"/>
            </w:rPr>
          </w:pPr>
          <w:hyperlink w:anchor="_Toc216957256" w:history="1">
            <w:r w:rsidRPr="00C6024C">
              <w:rPr>
                <w:rStyle w:val="Hyperlink"/>
                <w:rFonts w:ascii="Arial" w:hAnsi="Arial" w:cs="Arial"/>
                <w:noProof/>
                <w:sz w:val="22"/>
                <w:szCs w:val="22"/>
              </w:rPr>
              <w:t>Strengths and Weaknesses of the Epidemiological Approach</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_Toc216957256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13</w:t>
            </w:r>
            <w:r w:rsidRPr="00C6024C">
              <w:rPr>
                <w:rFonts w:ascii="Arial" w:hAnsi="Arial" w:cs="Arial"/>
                <w:noProof/>
                <w:webHidden/>
                <w:sz w:val="22"/>
                <w:szCs w:val="22"/>
              </w:rPr>
              <w:fldChar w:fldCharType="end"/>
            </w:r>
          </w:hyperlink>
        </w:p>
        <w:p w14:paraId="11C6AC12" w14:textId="1C076CD2" w:rsidR="008C0415" w:rsidRPr="00C6024C" w:rsidRDefault="008C0415">
          <w:pPr>
            <w:pStyle w:val="TOC2"/>
            <w:tabs>
              <w:tab w:val="right" w:leader="dot" w:pos="9016"/>
            </w:tabs>
            <w:rPr>
              <w:rFonts w:ascii="Arial" w:hAnsi="Arial" w:cs="Arial"/>
              <w:noProof/>
              <w:sz w:val="22"/>
              <w:szCs w:val="22"/>
            </w:rPr>
          </w:pPr>
          <w:hyperlink w:anchor="_Toc216957257" w:history="1">
            <w:r w:rsidRPr="00C6024C">
              <w:rPr>
                <w:rStyle w:val="Hyperlink"/>
                <w:rFonts w:ascii="Arial" w:hAnsi="Arial" w:cs="Arial"/>
                <w:noProof/>
                <w:sz w:val="22"/>
                <w:szCs w:val="22"/>
              </w:rPr>
              <w:t>Conclusion</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_Toc216957257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13</w:t>
            </w:r>
            <w:r w:rsidRPr="00C6024C">
              <w:rPr>
                <w:rFonts w:ascii="Arial" w:hAnsi="Arial" w:cs="Arial"/>
                <w:noProof/>
                <w:webHidden/>
                <w:sz w:val="22"/>
                <w:szCs w:val="22"/>
              </w:rPr>
              <w:fldChar w:fldCharType="end"/>
            </w:r>
          </w:hyperlink>
        </w:p>
        <w:p w14:paraId="0DC3ED08" w14:textId="19303B7D" w:rsidR="008C0415" w:rsidRPr="00C6024C" w:rsidRDefault="008C0415">
          <w:pPr>
            <w:pStyle w:val="TOC1"/>
            <w:tabs>
              <w:tab w:val="right" w:leader="dot" w:pos="9016"/>
            </w:tabs>
            <w:rPr>
              <w:rFonts w:ascii="Arial" w:hAnsi="Arial" w:cs="Arial"/>
              <w:noProof/>
              <w:sz w:val="22"/>
              <w:szCs w:val="22"/>
            </w:rPr>
          </w:pPr>
          <w:hyperlink w:anchor="_Toc216957258" w:history="1">
            <w:r w:rsidRPr="00C6024C">
              <w:rPr>
                <w:rStyle w:val="Hyperlink"/>
                <w:rFonts w:ascii="Arial" w:hAnsi="Arial" w:cs="Arial"/>
                <w:noProof/>
                <w:sz w:val="22"/>
                <w:szCs w:val="22"/>
              </w:rPr>
              <w:t>References</w:t>
            </w:r>
            <w:r w:rsidRPr="00C6024C">
              <w:rPr>
                <w:rFonts w:ascii="Arial" w:hAnsi="Arial" w:cs="Arial"/>
                <w:noProof/>
                <w:webHidden/>
                <w:sz w:val="22"/>
                <w:szCs w:val="22"/>
              </w:rPr>
              <w:tab/>
            </w:r>
            <w:r w:rsidRPr="00C6024C">
              <w:rPr>
                <w:rFonts w:ascii="Arial" w:hAnsi="Arial" w:cs="Arial"/>
                <w:noProof/>
                <w:webHidden/>
                <w:sz w:val="22"/>
                <w:szCs w:val="22"/>
              </w:rPr>
              <w:fldChar w:fldCharType="begin"/>
            </w:r>
            <w:r w:rsidRPr="00C6024C">
              <w:rPr>
                <w:rFonts w:ascii="Arial" w:hAnsi="Arial" w:cs="Arial"/>
                <w:noProof/>
                <w:webHidden/>
                <w:sz w:val="22"/>
                <w:szCs w:val="22"/>
              </w:rPr>
              <w:instrText xml:space="preserve"> PAGEREF _Toc216957258 \h </w:instrText>
            </w:r>
            <w:r w:rsidRPr="00C6024C">
              <w:rPr>
                <w:rFonts w:ascii="Arial" w:hAnsi="Arial" w:cs="Arial"/>
                <w:noProof/>
                <w:webHidden/>
                <w:sz w:val="22"/>
                <w:szCs w:val="22"/>
              </w:rPr>
            </w:r>
            <w:r w:rsidRPr="00C6024C">
              <w:rPr>
                <w:rFonts w:ascii="Arial" w:hAnsi="Arial" w:cs="Arial"/>
                <w:noProof/>
                <w:webHidden/>
                <w:sz w:val="22"/>
                <w:szCs w:val="22"/>
              </w:rPr>
              <w:fldChar w:fldCharType="separate"/>
            </w:r>
            <w:r w:rsidR="00904640" w:rsidRPr="00C6024C">
              <w:rPr>
                <w:rFonts w:ascii="Arial" w:hAnsi="Arial" w:cs="Arial"/>
                <w:noProof/>
                <w:webHidden/>
                <w:sz w:val="22"/>
                <w:szCs w:val="22"/>
              </w:rPr>
              <w:t>14</w:t>
            </w:r>
            <w:r w:rsidRPr="00C6024C">
              <w:rPr>
                <w:rFonts w:ascii="Arial" w:hAnsi="Arial" w:cs="Arial"/>
                <w:noProof/>
                <w:webHidden/>
                <w:sz w:val="22"/>
                <w:szCs w:val="22"/>
              </w:rPr>
              <w:fldChar w:fldCharType="end"/>
            </w:r>
          </w:hyperlink>
        </w:p>
        <w:p w14:paraId="44E2C5D0" w14:textId="346D9E5E" w:rsidR="008C0415" w:rsidRPr="00C6024C" w:rsidRDefault="008C0415">
          <w:pPr>
            <w:rPr>
              <w:rFonts w:ascii="Arial" w:hAnsi="Arial" w:cs="Arial"/>
              <w:sz w:val="22"/>
              <w:szCs w:val="22"/>
            </w:rPr>
          </w:pPr>
          <w:r w:rsidRPr="00C6024C">
            <w:rPr>
              <w:rFonts w:ascii="Arial" w:hAnsi="Arial" w:cs="Arial"/>
              <w:b/>
              <w:bCs/>
              <w:sz w:val="22"/>
              <w:szCs w:val="22"/>
            </w:rPr>
            <w:fldChar w:fldCharType="end"/>
          </w:r>
        </w:p>
      </w:sdtContent>
    </w:sdt>
    <w:p w14:paraId="6610CF3A" w14:textId="77777777" w:rsidR="00930DAD" w:rsidRPr="00C6024C" w:rsidRDefault="00930DAD" w:rsidP="00A565F4">
      <w:pPr>
        <w:spacing w:line="360" w:lineRule="auto"/>
        <w:jc w:val="both"/>
        <w:rPr>
          <w:rFonts w:ascii="Arial" w:hAnsi="Arial" w:cs="Arial"/>
          <w:b/>
          <w:bCs/>
          <w:sz w:val="22"/>
          <w:szCs w:val="22"/>
        </w:rPr>
      </w:pPr>
    </w:p>
    <w:p w14:paraId="2820C3EB" w14:textId="77777777" w:rsidR="008C0415" w:rsidRPr="00C6024C" w:rsidRDefault="008C0415" w:rsidP="00A565F4">
      <w:pPr>
        <w:spacing w:line="360" w:lineRule="auto"/>
        <w:jc w:val="both"/>
        <w:rPr>
          <w:rFonts w:ascii="Arial" w:hAnsi="Arial" w:cs="Arial"/>
          <w:b/>
          <w:bCs/>
          <w:sz w:val="22"/>
          <w:szCs w:val="22"/>
        </w:rPr>
      </w:pPr>
    </w:p>
    <w:p w14:paraId="4C3CF73D" w14:textId="77777777" w:rsidR="008C0415" w:rsidRPr="00C6024C" w:rsidRDefault="008C0415" w:rsidP="00A565F4">
      <w:pPr>
        <w:spacing w:line="360" w:lineRule="auto"/>
        <w:jc w:val="both"/>
        <w:rPr>
          <w:rFonts w:ascii="Arial" w:hAnsi="Arial" w:cs="Arial"/>
          <w:b/>
          <w:bCs/>
          <w:sz w:val="22"/>
          <w:szCs w:val="22"/>
        </w:rPr>
      </w:pPr>
    </w:p>
    <w:p w14:paraId="5C8F8B53" w14:textId="77777777" w:rsidR="008C0415" w:rsidRPr="00C6024C" w:rsidRDefault="008C0415" w:rsidP="00A565F4">
      <w:pPr>
        <w:spacing w:line="360" w:lineRule="auto"/>
        <w:jc w:val="both"/>
        <w:rPr>
          <w:rFonts w:ascii="Arial" w:hAnsi="Arial" w:cs="Arial"/>
          <w:b/>
          <w:bCs/>
          <w:sz w:val="22"/>
          <w:szCs w:val="22"/>
        </w:rPr>
      </w:pPr>
    </w:p>
    <w:p w14:paraId="1476914E" w14:textId="77777777" w:rsidR="008C0415" w:rsidRPr="00C6024C" w:rsidRDefault="008C0415" w:rsidP="00A565F4">
      <w:pPr>
        <w:spacing w:line="360" w:lineRule="auto"/>
        <w:jc w:val="both"/>
        <w:rPr>
          <w:rFonts w:ascii="Arial" w:hAnsi="Arial" w:cs="Arial"/>
          <w:b/>
          <w:bCs/>
          <w:sz w:val="22"/>
          <w:szCs w:val="22"/>
        </w:rPr>
      </w:pPr>
    </w:p>
    <w:p w14:paraId="5A82D15F" w14:textId="77777777" w:rsidR="008C0415" w:rsidRPr="00C6024C" w:rsidRDefault="008C0415" w:rsidP="00A565F4">
      <w:pPr>
        <w:spacing w:line="360" w:lineRule="auto"/>
        <w:jc w:val="both"/>
        <w:rPr>
          <w:rFonts w:ascii="Arial" w:hAnsi="Arial" w:cs="Arial"/>
          <w:b/>
          <w:bCs/>
          <w:sz w:val="22"/>
          <w:szCs w:val="22"/>
        </w:rPr>
      </w:pPr>
    </w:p>
    <w:p w14:paraId="0FAB092D" w14:textId="77777777" w:rsidR="008C0415" w:rsidRPr="00C6024C" w:rsidRDefault="008C0415" w:rsidP="00A565F4">
      <w:pPr>
        <w:spacing w:line="360" w:lineRule="auto"/>
        <w:jc w:val="both"/>
        <w:rPr>
          <w:rFonts w:ascii="Arial" w:hAnsi="Arial" w:cs="Arial"/>
          <w:b/>
          <w:bCs/>
          <w:sz w:val="22"/>
          <w:szCs w:val="22"/>
        </w:rPr>
      </w:pPr>
    </w:p>
    <w:p w14:paraId="2138E890" w14:textId="77777777" w:rsidR="008C0415" w:rsidRPr="00C6024C" w:rsidRDefault="008C0415" w:rsidP="00A565F4">
      <w:pPr>
        <w:spacing w:line="360" w:lineRule="auto"/>
        <w:jc w:val="both"/>
        <w:rPr>
          <w:rFonts w:ascii="Arial" w:hAnsi="Arial" w:cs="Arial"/>
          <w:b/>
          <w:bCs/>
          <w:sz w:val="22"/>
          <w:szCs w:val="22"/>
        </w:rPr>
      </w:pPr>
    </w:p>
    <w:p w14:paraId="41B120EE" w14:textId="77777777" w:rsidR="008C0415" w:rsidRPr="00C6024C" w:rsidRDefault="008C0415" w:rsidP="00A565F4">
      <w:pPr>
        <w:spacing w:line="360" w:lineRule="auto"/>
        <w:jc w:val="both"/>
        <w:rPr>
          <w:rFonts w:ascii="Arial" w:hAnsi="Arial" w:cs="Arial"/>
          <w:b/>
          <w:bCs/>
          <w:sz w:val="22"/>
          <w:szCs w:val="22"/>
        </w:rPr>
      </w:pPr>
    </w:p>
    <w:p w14:paraId="67057B06" w14:textId="77777777" w:rsidR="008C0415" w:rsidRPr="00C6024C" w:rsidRDefault="008C0415" w:rsidP="00A565F4">
      <w:pPr>
        <w:spacing w:line="360" w:lineRule="auto"/>
        <w:jc w:val="both"/>
        <w:rPr>
          <w:rFonts w:ascii="Arial" w:hAnsi="Arial" w:cs="Arial"/>
          <w:b/>
          <w:bCs/>
          <w:sz w:val="22"/>
          <w:szCs w:val="22"/>
        </w:rPr>
      </w:pPr>
    </w:p>
    <w:p w14:paraId="30328743" w14:textId="77777777" w:rsidR="008C0415" w:rsidRPr="00C6024C" w:rsidRDefault="008C0415" w:rsidP="00A565F4">
      <w:pPr>
        <w:spacing w:line="360" w:lineRule="auto"/>
        <w:jc w:val="both"/>
        <w:rPr>
          <w:rFonts w:ascii="Arial" w:hAnsi="Arial" w:cs="Arial"/>
          <w:b/>
          <w:bCs/>
          <w:sz w:val="22"/>
          <w:szCs w:val="22"/>
        </w:rPr>
      </w:pPr>
    </w:p>
    <w:p w14:paraId="34EA1C86" w14:textId="77777777" w:rsidR="008C0415" w:rsidRPr="00C6024C" w:rsidRDefault="008C0415" w:rsidP="00A565F4">
      <w:pPr>
        <w:spacing w:line="360" w:lineRule="auto"/>
        <w:jc w:val="both"/>
        <w:rPr>
          <w:rFonts w:ascii="Arial" w:hAnsi="Arial" w:cs="Arial"/>
          <w:b/>
          <w:bCs/>
          <w:sz w:val="22"/>
          <w:szCs w:val="22"/>
        </w:rPr>
      </w:pPr>
    </w:p>
    <w:p w14:paraId="26D6E805" w14:textId="77777777" w:rsidR="00930DAD" w:rsidRPr="00C6024C" w:rsidRDefault="00930DAD" w:rsidP="00A565F4">
      <w:pPr>
        <w:spacing w:line="360" w:lineRule="auto"/>
        <w:jc w:val="both"/>
        <w:rPr>
          <w:rFonts w:ascii="Arial" w:hAnsi="Arial" w:cs="Arial"/>
          <w:b/>
          <w:bCs/>
          <w:sz w:val="22"/>
          <w:szCs w:val="22"/>
        </w:rPr>
      </w:pPr>
    </w:p>
    <w:p w14:paraId="2E787943" w14:textId="77777777" w:rsidR="00930DAD" w:rsidRPr="00C6024C" w:rsidRDefault="00930DAD" w:rsidP="00A565F4">
      <w:pPr>
        <w:spacing w:line="360" w:lineRule="auto"/>
        <w:jc w:val="both"/>
        <w:rPr>
          <w:rFonts w:ascii="Arial" w:hAnsi="Arial" w:cs="Arial"/>
          <w:b/>
          <w:bCs/>
          <w:sz w:val="22"/>
          <w:szCs w:val="22"/>
        </w:rPr>
      </w:pPr>
    </w:p>
    <w:p w14:paraId="0DDAC35E" w14:textId="77777777" w:rsidR="00930DAD" w:rsidRPr="00C6024C" w:rsidRDefault="00930DAD" w:rsidP="00A565F4">
      <w:pPr>
        <w:spacing w:line="360" w:lineRule="auto"/>
        <w:jc w:val="both"/>
        <w:rPr>
          <w:rFonts w:ascii="Arial" w:hAnsi="Arial" w:cs="Arial"/>
          <w:b/>
          <w:bCs/>
          <w:sz w:val="22"/>
          <w:szCs w:val="22"/>
        </w:rPr>
      </w:pPr>
    </w:p>
    <w:p w14:paraId="7CC6B189" w14:textId="1C85AD37" w:rsidR="00930DAD" w:rsidRPr="00C6024C" w:rsidRDefault="00930DAD" w:rsidP="00930DAD">
      <w:pPr>
        <w:pStyle w:val="Heading1"/>
        <w:jc w:val="center"/>
        <w:rPr>
          <w:rFonts w:cs="Arial"/>
          <w:sz w:val="22"/>
          <w:szCs w:val="22"/>
        </w:rPr>
      </w:pPr>
      <w:bookmarkStart w:id="0" w:name="_Toc216957238"/>
      <w:r w:rsidRPr="00C6024C">
        <w:rPr>
          <w:rFonts w:cs="Arial"/>
          <w:sz w:val="22"/>
          <w:szCs w:val="22"/>
        </w:rPr>
        <w:t>TASK:1</w:t>
      </w:r>
      <w:bookmarkEnd w:id="0"/>
    </w:p>
    <w:p w14:paraId="0246F2D9" w14:textId="01217D0B" w:rsidR="000232B3" w:rsidRPr="00C6024C" w:rsidRDefault="009D3DE7" w:rsidP="00930DAD">
      <w:pPr>
        <w:jc w:val="center"/>
        <w:rPr>
          <w:rFonts w:ascii="Arial" w:hAnsi="Arial" w:cs="Arial"/>
          <w:b/>
          <w:bCs/>
          <w:sz w:val="22"/>
          <w:szCs w:val="22"/>
        </w:rPr>
      </w:pPr>
      <w:r w:rsidRPr="00C6024C">
        <w:rPr>
          <w:rFonts w:ascii="Arial" w:hAnsi="Arial" w:cs="Arial"/>
          <w:b/>
          <w:bCs/>
          <w:sz w:val="22"/>
          <w:szCs w:val="22"/>
        </w:rPr>
        <w:t>Disability and Health Inequality in the UK</w:t>
      </w:r>
    </w:p>
    <w:p w14:paraId="7999F725" w14:textId="77777777" w:rsidR="00930DAD" w:rsidRPr="00C6024C" w:rsidRDefault="00930DAD" w:rsidP="00930DAD">
      <w:pPr>
        <w:jc w:val="center"/>
        <w:rPr>
          <w:rFonts w:ascii="Arial" w:hAnsi="Arial" w:cs="Arial"/>
          <w:b/>
          <w:bCs/>
          <w:sz w:val="22"/>
          <w:szCs w:val="22"/>
          <w:lang w:eastAsia="en-GB"/>
        </w:rPr>
      </w:pPr>
    </w:p>
    <w:p w14:paraId="1E270330" w14:textId="77777777" w:rsidR="00930DAD" w:rsidRPr="00C6024C" w:rsidRDefault="00930DAD" w:rsidP="00930DAD">
      <w:pPr>
        <w:rPr>
          <w:rFonts w:ascii="Arial" w:hAnsi="Arial" w:cs="Arial"/>
          <w:sz w:val="22"/>
          <w:szCs w:val="22"/>
          <w:lang w:eastAsia="en-GB"/>
        </w:rPr>
      </w:pPr>
    </w:p>
    <w:p w14:paraId="1DCC1E27" w14:textId="77777777" w:rsidR="00930DAD" w:rsidRPr="00C6024C" w:rsidRDefault="00930DAD" w:rsidP="00930DAD">
      <w:pPr>
        <w:rPr>
          <w:rFonts w:ascii="Arial" w:hAnsi="Arial" w:cs="Arial"/>
          <w:sz w:val="22"/>
          <w:szCs w:val="22"/>
          <w:lang w:eastAsia="en-GB"/>
        </w:rPr>
      </w:pPr>
    </w:p>
    <w:p w14:paraId="2F5745CA" w14:textId="77777777" w:rsidR="00930DAD" w:rsidRPr="00C6024C" w:rsidRDefault="00930DAD" w:rsidP="00930DAD">
      <w:pPr>
        <w:rPr>
          <w:rFonts w:ascii="Arial" w:hAnsi="Arial" w:cs="Arial"/>
          <w:sz w:val="22"/>
          <w:szCs w:val="22"/>
          <w:lang w:eastAsia="en-GB"/>
        </w:rPr>
      </w:pPr>
    </w:p>
    <w:p w14:paraId="737F7B82" w14:textId="77777777" w:rsidR="00930DAD" w:rsidRPr="00C6024C" w:rsidRDefault="00930DAD" w:rsidP="00930DAD">
      <w:pPr>
        <w:rPr>
          <w:rFonts w:ascii="Arial" w:hAnsi="Arial" w:cs="Arial"/>
          <w:sz w:val="22"/>
          <w:szCs w:val="22"/>
          <w:lang w:eastAsia="en-GB"/>
        </w:rPr>
      </w:pPr>
    </w:p>
    <w:p w14:paraId="57860CFD" w14:textId="77777777" w:rsidR="00930DAD" w:rsidRPr="00C6024C" w:rsidRDefault="00930DAD" w:rsidP="00930DAD">
      <w:pPr>
        <w:rPr>
          <w:rFonts w:ascii="Arial" w:hAnsi="Arial" w:cs="Arial"/>
          <w:sz w:val="22"/>
          <w:szCs w:val="22"/>
          <w:lang w:eastAsia="en-GB"/>
        </w:rPr>
      </w:pPr>
    </w:p>
    <w:p w14:paraId="2ACFC198" w14:textId="77777777" w:rsidR="00930DAD" w:rsidRPr="00C6024C" w:rsidRDefault="00930DAD" w:rsidP="00930DAD">
      <w:pPr>
        <w:rPr>
          <w:rFonts w:ascii="Arial" w:hAnsi="Arial" w:cs="Arial"/>
          <w:sz w:val="22"/>
          <w:szCs w:val="22"/>
          <w:lang w:eastAsia="en-GB"/>
        </w:rPr>
      </w:pPr>
    </w:p>
    <w:p w14:paraId="3AD90148" w14:textId="77777777" w:rsidR="00930DAD" w:rsidRPr="00C6024C" w:rsidRDefault="00930DAD" w:rsidP="00930DAD">
      <w:pPr>
        <w:rPr>
          <w:rFonts w:ascii="Arial" w:hAnsi="Arial" w:cs="Arial"/>
          <w:sz w:val="22"/>
          <w:szCs w:val="22"/>
          <w:lang w:eastAsia="en-GB"/>
        </w:rPr>
      </w:pPr>
    </w:p>
    <w:p w14:paraId="1E2587CB" w14:textId="77777777" w:rsidR="00930DAD" w:rsidRPr="00C6024C" w:rsidRDefault="00930DAD" w:rsidP="00930DAD">
      <w:pPr>
        <w:rPr>
          <w:rFonts w:ascii="Arial" w:hAnsi="Arial" w:cs="Arial"/>
          <w:sz w:val="22"/>
          <w:szCs w:val="22"/>
          <w:lang w:eastAsia="en-GB"/>
        </w:rPr>
      </w:pPr>
    </w:p>
    <w:p w14:paraId="7CB1B963" w14:textId="77777777" w:rsidR="00930DAD" w:rsidRPr="00C6024C" w:rsidRDefault="00930DAD" w:rsidP="00930DAD">
      <w:pPr>
        <w:rPr>
          <w:rFonts w:ascii="Arial" w:hAnsi="Arial" w:cs="Arial"/>
          <w:sz w:val="22"/>
          <w:szCs w:val="22"/>
          <w:lang w:eastAsia="en-GB"/>
        </w:rPr>
      </w:pPr>
    </w:p>
    <w:p w14:paraId="3B9A30C8" w14:textId="77777777" w:rsidR="00930DAD" w:rsidRPr="00C6024C" w:rsidRDefault="00930DAD" w:rsidP="00930DAD">
      <w:pPr>
        <w:rPr>
          <w:rFonts w:ascii="Arial" w:hAnsi="Arial" w:cs="Arial"/>
          <w:sz w:val="22"/>
          <w:szCs w:val="22"/>
          <w:lang w:eastAsia="en-GB"/>
        </w:rPr>
      </w:pPr>
    </w:p>
    <w:p w14:paraId="43D310E8" w14:textId="77777777" w:rsidR="00930DAD" w:rsidRPr="00C6024C" w:rsidRDefault="00930DAD" w:rsidP="00930DAD">
      <w:pPr>
        <w:rPr>
          <w:rFonts w:ascii="Arial" w:hAnsi="Arial" w:cs="Arial"/>
          <w:sz w:val="22"/>
          <w:szCs w:val="22"/>
          <w:lang w:eastAsia="en-GB"/>
        </w:rPr>
      </w:pPr>
    </w:p>
    <w:p w14:paraId="11424276" w14:textId="77777777" w:rsidR="00930DAD" w:rsidRPr="00C6024C" w:rsidRDefault="00930DAD" w:rsidP="00930DAD">
      <w:pPr>
        <w:rPr>
          <w:rFonts w:ascii="Arial" w:hAnsi="Arial" w:cs="Arial"/>
          <w:sz w:val="22"/>
          <w:szCs w:val="22"/>
          <w:lang w:eastAsia="en-GB"/>
        </w:rPr>
      </w:pPr>
    </w:p>
    <w:p w14:paraId="6F7F2AFF" w14:textId="77777777" w:rsidR="00930DAD" w:rsidRPr="00C6024C" w:rsidRDefault="00930DAD" w:rsidP="00930DAD">
      <w:pPr>
        <w:rPr>
          <w:rFonts w:ascii="Arial" w:hAnsi="Arial" w:cs="Arial"/>
          <w:sz w:val="22"/>
          <w:szCs w:val="22"/>
          <w:lang w:eastAsia="en-GB"/>
        </w:rPr>
      </w:pPr>
    </w:p>
    <w:p w14:paraId="1EA169BA" w14:textId="77777777" w:rsidR="009D3DE7" w:rsidRPr="00C6024C" w:rsidRDefault="009D3DE7" w:rsidP="00A565F4">
      <w:pPr>
        <w:pStyle w:val="Heading2"/>
        <w:rPr>
          <w:rFonts w:cs="Arial"/>
          <w:sz w:val="22"/>
          <w:szCs w:val="22"/>
        </w:rPr>
      </w:pPr>
      <w:bookmarkStart w:id="1" w:name="_Toc216957239"/>
      <w:r w:rsidRPr="00C6024C">
        <w:rPr>
          <w:rFonts w:cs="Arial"/>
          <w:sz w:val="22"/>
          <w:szCs w:val="22"/>
        </w:rPr>
        <w:t>Introduction</w:t>
      </w:r>
      <w:bookmarkEnd w:id="1"/>
    </w:p>
    <w:p w14:paraId="4D15903C" w14:textId="2131A97C" w:rsidR="009D3DE7" w:rsidRPr="00C6024C" w:rsidRDefault="009D3DE7" w:rsidP="00A565F4">
      <w:pPr>
        <w:spacing w:line="360" w:lineRule="auto"/>
        <w:jc w:val="both"/>
        <w:rPr>
          <w:rFonts w:ascii="Arial" w:hAnsi="Arial" w:cs="Arial"/>
          <w:sz w:val="22"/>
          <w:szCs w:val="22"/>
        </w:rPr>
      </w:pPr>
      <w:r w:rsidRPr="00C6024C">
        <w:rPr>
          <w:rFonts w:ascii="Arial" w:hAnsi="Arial" w:cs="Arial"/>
          <w:sz w:val="22"/>
          <w:szCs w:val="22"/>
        </w:rPr>
        <w:t>Disabled people in the UK experience significant health inequality due to social, economic and structural barriers. They are more likely to have long-term physical conditions, poor mental health and lower life expectancy compared to non-disabled people</w:t>
      </w:r>
      <w:r w:rsidR="006F2CDC" w:rsidRPr="00C6024C">
        <w:rPr>
          <w:rFonts w:ascii="Arial" w:hAnsi="Arial" w:cs="Arial"/>
          <w:sz w:val="22"/>
          <w:szCs w:val="22"/>
        </w:rPr>
        <w:t xml:space="preserve"> (Aitken et al, 2022)</w:t>
      </w:r>
      <w:r w:rsidRPr="00C6024C">
        <w:rPr>
          <w:rFonts w:ascii="Arial" w:hAnsi="Arial" w:cs="Arial"/>
          <w:sz w:val="22"/>
          <w:szCs w:val="22"/>
        </w:rPr>
        <w:t>. These inequalities are often caused by limited access to healthcare, poverty, unemployment and discrimination. Social isolation and lack of reasonable adjustments further worsen health outcomes</w:t>
      </w:r>
      <w:r w:rsidR="008A0A0D" w:rsidRPr="00C6024C">
        <w:rPr>
          <w:rFonts w:ascii="Arial" w:hAnsi="Arial" w:cs="Arial"/>
          <w:sz w:val="22"/>
          <w:szCs w:val="22"/>
        </w:rPr>
        <w:t xml:space="preserve"> (Aitken et al, 2022)</w:t>
      </w:r>
      <w:r w:rsidRPr="00C6024C">
        <w:rPr>
          <w:rFonts w:ascii="Arial" w:hAnsi="Arial" w:cs="Arial"/>
          <w:sz w:val="22"/>
          <w:szCs w:val="22"/>
        </w:rPr>
        <w:t xml:space="preserve">. Although national policies such as the Equality Act 2010 aim to </w:t>
      </w:r>
      <w:r w:rsidRPr="00C6024C">
        <w:rPr>
          <w:rFonts w:ascii="Arial" w:hAnsi="Arial" w:cs="Arial"/>
          <w:sz w:val="22"/>
          <w:szCs w:val="22"/>
        </w:rPr>
        <w:lastRenderedPageBreak/>
        <w:t>reduce inequality, many disabled people continue to face unfair and avoidable differences in health and wellbeing.</w:t>
      </w:r>
    </w:p>
    <w:p w14:paraId="01B5E0E1" w14:textId="77777777" w:rsidR="009D3DE7" w:rsidRPr="00C6024C" w:rsidRDefault="009D3DE7" w:rsidP="00A565F4">
      <w:pPr>
        <w:pStyle w:val="Heading2"/>
        <w:rPr>
          <w:rFonts w:cs="Arial"/>
          <w:sz w:val="22"/>
          <w:szCs w:val="22"/>
        </w:rPr>
      </w:pPr>
      <w:bookmarkStart w:id="2" w:name="_Toc216957240"/>
      <w:r w:rsidRPr="00C6024C">
        <w:rPr>
          <w:rFonts w:cs="Arial"/>
          <w:sz w:val="22"/>
          <w:szCs w:val="22"/>
        </w:rPr>
        <w:t>Contextual Background and Underlying Factors</w:t>
      </w:r>
      <w:bookmarkEnd w:id="2"/>
    </w:p>
    <w:p w14:paraId="3980CF7C" w14:textId="77777777" w:rsidR="009D3DE7" w:rsidRPr="00C6024C" w:rsidRDefault="009D3DE7" w:rsidP="00A565F4">
      <w:pPr>
        <w:pStyle w:val="Heading3"/>
        <w:rPr>
          <w:rFonts w:cs="Arial"/>
          <w:sz w:val="22"/>
          <w:szCs w:val="22"/>
        </w:rPr>
      </w:pPr>
      <w:bookmarkStart w:id="3" w:name="_Toc216957241"/>
      <w:r w:rsidRPr="00C6024C">
        <w:rPr>
          <w:rFonts w:cs="Arial"/>
          <w:sz w:val="22"/>
          <w:szCs w:val="22"/>
        </w:rPr>
        <w:t>Disease and Illness Rates</w:t>
      </w:r>
      <w:bookmarkEnd w:id="3"/>
    </w:p>
    <w:p w14:paraId="1DA4A749" w14:textId="77777777" w:rsidR="009D3DE7" w:rsidRPr="00C6024C" w:rsidRDefault="009D3DE7" w:rsidP="00A565F4">
      <w:pPr>
        <w:spacing w:line="360" w:lineRule="auto"/>
        <w:jc w:val="both"/>
        <w:rPr>
          <w:rFonts w:ascii="Arial" w:hAnsi="Arial" w:cs="Arial"/>
          <w:b/>
          <w:bCs/>
          <w:sz w:val="22"/>
          <w:szCs w:val="22"/>
        </w:rPr>
      </w:pPr>
      <w:r w:rsidRPr="00C6024C">
        <w:rPr>
          <w:rFonts w:ascii="Arial" w:hAnsi="Arial" w:cs="Arial"/>
          <w:b/>
          <w:bCs/>
          <w:sz w:val="22"/>
          <w:szCs w:val="22"/>
        </w:rPr>
        <w:t>1. Higher Rates of Mental Health Problems</w:t>
      </w:r>
    </w:p>
    <w:p w14:paraId="18F170F6" w14:textId="5EA370D5" w:rsidR="000F137D" w:rsidRPr="00C6024C" w:rsidRDefault="000F137D" w:rsidP="000F137D">
      <w:pPr>
        <w:spacing w:line="360" w:lineRule="auto"/>
        <w:jc w:val="both"/>
        <w:rPr>
          <w:rFonts w:ascii="Arial" w:hAnsi="Arial" w:cs="Arial"/>
          <w:sz w:val="22"/>
          <w:szCs w:val="22"/>
        </w:rPr>
      </w:pPr>
      <w:r w:rsidRPr="00C6024C">
        <w:rPr>
          <w:rFonts w:ascii="Arial" w:hAnsi="Arial" w:cs="Arial"/>
          <w:sz w:val="22"/>
          <w:szCs w:val="22"/>
        </w:rPr>
        <w:t>Disabled people are significantly more likely to experience mental health problems than non-disabled people. UK data shows that around 36% of disabled adults report symptoms of depression or anxiety, compared to less than 15% of non-disabled adults</w:t>
      </w:r>
      <w:r w:rsidR="007B510A" w:rsidRPr="00C6024C">
        <w:rPr>
          <w:rFonts w:ascii="Arial" w:hAnsi="Arial" w:cs="Arial"/>
          <w:sz w:val="22"/>
          <w:szCs w:val="22"/>
        </w:rPr>
        <w:t xml:space="preserve"> (UK Parliament, 2025)</w:t>
      </w:r>
      <w:r w:rsidRPr="00C6024C">
        <w:rPr>
          <w:rFonts w:ascii="Arial" w:hAnsi="Arial" w:cs="Arial"/>
          <w:sz w:val="22"/>
          <w:szCs w:val="22"/>
        </w:rPr>
        <w:t>. This increased risk is linked to social isolation, discrimination, financial stress and lack of accessible mental health services</w:t>
      </w:r>
      <w:r w:rsidR="0022280C" w:rsidRPr="00C6024C">
        <w:rPr>
          <w:rFonts w:ascii="Arial" w:hAnsi="Arial" w:cs="Arial"/>
          <w:sz w:val="22"/>
          <w:szCs w:val="22"/>
        </w:rPr>
        <w:t xml:space="preserve"> (Dunn et al, 2020)</w:t>
      </w:r>
      <w:r w:rsidRPr="00C6024C">
        <w:rPr>
          <w:rFonts w:ascii="Arial" w:hAnsi="Arial" w:cs="Arial"/>
          <w:sz w:val="22"/>
          <w:szCs w:val="22"/>
        </w:rPr>
        <w:t>. Many services are not fully adapted to meet the needs of people with learning disabilities or physical impairments, leading to delayed diagnosis and treatment. Inclusive mental health services, including reasonable adjustments and specialist support, are essential to reduce this inequality</w:t>
      </w:r>
      <w:r w:rsidR="00801D69" w:rsidRPr="00C6024C">
        <w:rPr>
          <w:rFonts w:ascii="Arial" w:hAnsi="Arial" w:cs="Arial"/>
          <w:sz w:val="22"/>
          <w:szCs w:val="22"/>
        </w:rPr>
        <w:t xml:space="preserve"> (Dunn et al, 2020)</w:t>
      </w:r>
      <w:r w:rsidRPr="00C6024C">
        <w:rPr>
          <w:rFonts w:ascii="Arial" w:hAnsi="Arial" w:cs="Arial"/>
          <w:sz w:val="22"/>
          <w:szCs w:val="22"/>
        </w:rPr>
        <w:t>.</w:t>
      </w:r>
    </w:p>
    <w:p w14:paraId="46DE4811" w14:textId="77777777" w:rsidR="009D3DE7" w:rsidRPr="00C6024C" w:rsidRDefault="009D3DE7" w:rsidP="00A565F4">
      <w:pPr>
        <w:spacing w:line="360" w:lineRule="auto"/>
        <w:jc w:val="both"/>
        <w:rPr>
          <w:rFonts w:ascii="Arial" w:hAnsi="Arial" w:cs="Arial"/>
          <w:b/>
          <w:bCs/>
          <w:sz w:val="22"/>
          <w:szCs w:val="22"/>
        </w:rPr>
      </w:pPr>
      <w:r w:rsidRPr="00C6024C">
        <w:rPr>
          <w:rFonts w:ascii="Arial" w:hAnsi="Arial" w:cs="Arial"/>
          <w:b/>
          <w:bCs/>
          <w:sz w:val="22"/>
          <w:szCs w:val="22"/>
        </w:rPr>
        <w:t>2. Higher Rates of Long-Term Physical Conditions</w:t>
      </w:r>
    </w:p>
    <w:p w14:paraId="5180F308" w14:textId="00EECDCA" w:rsidR="000F137D" w:rsidRPr="00C6024C" w:rsidRDefault="000F137D" w:rsidP="000F137D">
      <w:pPr>
        <w:spacing w:line="360" w:lineRule="auto"/>
        <w:jc w:val="both"/>
        <w:rPr>
          <w:rFonts w:ascii="Arial" w:hAnsi="Arial" w:cs="Arial"/>
          <w:sz w:val="22"/>
          <w:szCs w:val="22"/>
        </w:rPr>
      </w:pPr>
      <w:r w:rsidRPr="00C6024C">
        <w:rPr>
          <w:rFonts w:ascii="Arial" w:hAnsi="Arial" w:cs="Arial"/>
          <w:sz w:val="22"/>
          <w:szCs w:val="22"/>
        </w:rPr>
        <w:t>Disabled people are more likely to experience additional long-term health conditions such as diabetes, heart disease and respiratory illness. Research indicates that people with learning disabilities are twice as likely to be obese compared to the general population</w:t>
      </w:r>
      <w:r w:rsidR="00281122" w:rsidRPr="00C6024C">
        <w:rPr>
          <w:rFonts w:ascii="Arial" w:hAnsi="Arial" w:cs="Arial"/>
          <w:sz w:val="22"/>
          <w:szCs w:val="22"/>
        </w:rPr>
        <w:t xml:space="preserve"> (Lourida et al, 2022)</w:t>
      </w:r>
      <w:r w:rsidRPr="00C6024C">
        <w:rPr>
          <w:rFonts w:ascii="Arial" w:hAnsi="Arial" w:cs="Arial"/>
          <w:sz w:val="22"/>
          <w:szCs w:val="22"/>
        </w:rPr>
        <w:t xml:space="preserve">. They also have higher rates of preventable conditions due to lower access to screening and health promotion services. Barriers include inaccessible GP surgeries and </w:t>
      </w:r>
      <w:r w:rsidR="00281122" w:rsidRPr="00C6024C">
        <w:rPr>
          <w:rFonts w:ascii="Arial" w:hAnsi="Arial" w:cs="Arial"/>
          <w:sz w:val="22"/>
          <w:szCs w:val="22"/>
        </w:rPr>
        <w:t xml:space="preserve">a </w:t>
      </w:r>
      <w:r w:rsidRPr="00C6024C">
        <w:rPr>
          <w:rFonts w:ascii="Arial" w:hAnsi="Arial" w:cs="Arial"/>
          <w:sz w:val="22"/>
          <w:szCs w:val="22"/>
        </w:rPr>
        <w:t>lack of tailored health information. Increasing targeted health checks, such as the NHS Learning Disability Annual Health Check, can help reduce these inequalities</w:t>
      </w:r>
      <w:r w:rsidR="002F76D4" w:rsidRPr="00C6024C">
        <w:rPr>
          <w:rFonts w:ascii="Arial" w:hAnsi="Arial" w:cs="Arial"/>
          <w:sz w:val="22"/>
          <w:szCs w:val="22"/>
        </w:rPr>
        <w:t xml:space="preserve"> (Lourida et al, 2022). </w:t>
      </w:r>
    </w:p>
    <w:p w14:paraId="43D68ED0" w14:textId="77777777" w:rsidR="009D3DE7" w:rsidRPr="00C6024C" w:rsidRDefault="009D3DE7" w:rsidP="00A565F4">
      <w:pPr>
        <w:spacing w:line="360" w:lineRule="auto"/>
        <w:jc w:val="both"/>
        <w:rPr>
          <w:rFonts w:ascii="Arial" w:hAnsi="Arial" w:cs="Arial"/>
          <w:b/>
          <w:bCs/>
          <w:sz w:val="22"/>
          <w:szCs w:val="22"/>
        </w:rPr>
      </w:pPr>
      <w:r w:rsidRPr="00C6024C">
        <w:rPr>
          <w:rFonts w:ascii="Arial" w:hAnsi="Arial" w:cs="Arial"/>
          <w:b/>
          <w:bCs/>
          <w:sz w:val="22"/>
          <w:szCs w:val="22"/>
        </w:rPr>
        <w:t>3. Increased Mortality Rates</w:t>
      </w:r>
    </w:p>
    <w:p w14:paraId="1E041D06" w14:textId="2AA0140B" w:rsidR="009D3DE7" w:rsidRPr="00C6024C" w:rsidRDefault="000F137D" w:rsidP="00A565F4">
      <w:pPr>
        <w:spacing w:line="360" w:lineRule="auto"/>
        <w:jc w:val="both"/>
        <w:rPr>
          <w:rFonts w:ascii="Arial" w:hAnsi="Arial" w:cs="Arial"/>
          <w:sz w:val="22"/>
          <w:szCs w:val="22"/>
        </w:rPr>
      </w:pPr>
      <w:r w:rsidRPr="00C6024C">
        <w:rPr>
          <w:rFonts w:ascii="Arial" w:hAnsi="Arial" w:cs="Arial"/>
          <w:sz w:val="22"/>
          <w:szCs w:val="22"/>
        </w:rPr>
        <w:t>People with learning disabilities have a significantly lower life expectancy than the general population. On average, men with learning disabilities die around 20 years earlier and women around 15 years earlier than those without learning disabilities</w:t>
      </w:r>
      <w:r w:rsidR="00550039" w:rsidRPr="00C6024C">
        <w:rPr>
          <w:rFonts w:ascii="Arial" w:hAnsi="Arial" w:cs="Arial"/>
          <w:sz w:val="22"/>
          <w:szCs w:val="22"/>
        </w:rPr>
        <w:t xml:space="preserve"> (Tyrer et al, 2022)</w:t>
      </w:r>
      <w:r w:rsidRPr="00C6024C">
        <w:rPr>
          <w:rFonts w:ascii="Arial" w:hAnsi="Arial" w:cs="Arial"/>
          <w:sz w:val="22"/>
          <w:szCs w:val="22"/>
        </w:rPr>
        <w:t>. Reviews such as the Learning Disabilities Mortality Review (LeDeR) suggest that over 40% of these deaths are potentially avoidable</w:t>
      </w:r>
      <w:r w:rsidR="00DE49F1" w:rsidRPr="00C6024C">
        <w:rPr>
          <w:rFonts w:ascii="Arial" w:hAnsi="Arial" w:cs="Arial"/>
          <w:sz w:val="22"/>
          <w:szCs w:val="22"/>
        </w:rPr>
        <w:t xml:space="preserve"> </w:t>
      </w:r>
      <w:r w:rsidR="006861D8" w:rsidRPr="00C6024C">
        <w:rPr>
          <w:rFonts w:ascii="Arial" w:hAnsi="Arial" w:cs="Arial"/>
          <w:sz w:val="22"/>
          <w:szCs w:val="22"/>
        </w:rPr>
        <w:t>(O'Nions et al, 2024)</w:t>
      </w:r>
      <w:r w:rsidRPr="00C6024C">
        <w:rPr>
          <w:rFonts w:ascii="Arial" w:hAnsi="Arial" w:cs="Arial"/>
          <w:sz w:val="22"/>
          <w:szCs w:val="22"/>
        </w:rPr>
        <w:t>. Causes include delayed diagnosis, poor-quality care and failure to make reasonable adjustments. Improved training and stronger enforcement of equality legislation are required to address this inequality</w:t>
      </w:r>
      <w:r w:rsidR="00DE49F1" w:rsidRPr="00C6024C">
        <w:rPr>
          <w:rFonts w:ascii="Arial" w:hAnsi="Arial" w:cs="Arial"/>
          <w:sz w:val="22"/>
          <w:szCs w:val="22"/>
        </w:rPr>
        <w:t xml:space="preserve"> (O'Nions et al, 2024)</w:t>
      </w:r>
      <w:r w:rsidRPr="00C6024C">
        <w:rPr>
          <w:rFonts w:ascii="Arial" w:hAnsi="Arial" w:cs="Arial"/>
          <w:sz w:val="22"/>
          <w:szCs w:val="22"/>
        </w:rPr>
        <w:t>.</w:t>
      </w:r>
    </w:p>
    <w:p w14:paraId="1EDA3EAE" w14:textId="77777777" w:rsidR="009D3DE7" w:rsidRPr="00C6024C" w:rsidRDefault="009D3DE7" w:rsidP="00A565F4">
      <w:pPr>
        <w:pStyle w:val="Heading3"/>
        <w:rPr>
          <w:rFonts w:cs="Arial"/>
          <w:sz w:val="22"/>
          <w:szCs w:val="22"/>
        </w:rPr>
      </w:pPr>
      <w:bookmarkStart w:id="4" w:name="_Toc216957242"/>
      <w:r w:rsidRPr="00C6024C">
        <w:rPr>
          <w:rFonts w:cs="Arial"/>
          <w:sz w:val="22"/>
          <w:szCs w:val="22"/>
        </w:rPr>
        <w:t>Social Issues Affecting Disabled People</w:t>
      </w:r>
      <w:bookmarkEnd w:id="4"/>
    </w:p>
    <w:p w14:paraId="35A36856" w14:textId="77777777" w:rsidR="009D3DE7" w:rsidRPr="00C6024C" w:rsidRDefault="009D3DE7" w:rsidP="00A565F4">
      <w:pPr>
        <w:spacing w:line="360" w:lineRule="auto"/>
        <w:jc w:val="both"/>
        <w:rPr>
          <w:rFonts w:ascii="Arial" w:hAnsi="Arial" w:cs="Arial"/>
          <w:b/>
          <w:bCs/>
          <w:sz w:val="22"/>
          <w:szCs w:val="22"/>
        </w:rPr>
      </w:pPr>
      <w:r w:rsidRPr="00C6024C">
        <w:rPr>
          <w:rFonts w:ascii="Arial" w:hAnsi="Arial" w:cs="Arial"/>
          <w:b/>
          <w:bCs/>
          <w:sz w:val="22"/>
          <w:szCs w:val="22"/>
        </w:rPr>
        <w:t>4. Poverty and Low Income</w:t>
      </w:r>
    </w:p>
    <w:p w14:paraId="1D7854B8" w14:textId="0061B3E2" w:rsidR="009D3DE7" w:rsidRPr="00C6024C" w:rsidRDefault="000F137D" w:rsidP="00A565F4">
      <w:pPr>
        <w:spacing w:line="360" w:lineRule="auto"/>
        <w:jc w:val="both"/>
        <w:rPr>
          <w:rFonts w:ascii="Arial" w:hAnsi="Arial" w:cs="Arial"/>
          <w:sz w:val="22"/>
          <w:szCs w:val="22"/>
        </w:rPr>
      </w:pPr>
      <w:r w:rsidRPr="00C6024C">
        <w:rPr>
          <w:rFonts w:ascii="Arial" w:hAnsi="Arial" w:cs="Arial"/>
          <w:sz w:val="22"/>
          <w:szCs w:val="22"/>
        </w:rPr>
        <w:t>Disabled people are more likely to live in poverty than non-disabled people. In the UK, around 33% of disabled adults live in poverty, compared to approximately 20% of non-disabled adults</w:t>
      </w:r>
      <w:r w:rsidR="00F6671B" w:rsidRPr="00C6024C">
        <w:rPr>
          <w:rFonts w:ascii="Arial" w:hAnsi="Arial" w:cs="Arial"/>
          <w:sz w:val="22"/>
          <w:szCs w:val="22"/>
        </w:rPr>
        <w:t xml:space="preserve"> </w:t>
      </w:r>
      <w:r w:rsidR="00F6671B" w:rsidRPr="00C6024C">
        <w:rPr>
          <w:rFonts w:ascii="Arial" w:hAnsi="Arial" w:cs="Arial"/>
          <w:sz w:val="22"/>
          <w:szCs w:val="22"/>
        </w:rPr>
        <w:lastRenderedPageBreak/>
        <w:t>(Disability Rights UK, 2020)</w:t>
      </w:r>
      <w:r w:rsidRPr="00C6024C">
        <w:rPr>
          <w:rFonts w:ascii="Arial" w:hAnsi="Arial" w:cs="Arial"/>
          <w:sz w:val="22"/>
          <w:szCs w:val="22"/>
        </w:rPr>
        <w:t>. Disability-related costs, such as specialist equipment and transport, place additional financial strain on households. Poverty negatively affects health by limiting access to nutritious food, safe housing and social activities. Improving disability benefits, reducing delays and increasing access to fair employment are key solutions</w:t>
      </w:r>
      <w:r w:rsidR="00DB1C66" w:rsidRPr="00C6024C">
        <w:rPr>
          <w:rFonts w:ascii="Arial" w:hAnsi="Arial" w:cs="Arial"/>
          <w:sz w:val="22"/>
          <w:szCs w:val="22"/>
        </w:rPr>
        <w:t xml:space="preserve"> (Nicoriciu and </w:t>
      </w:r>
      <w:r w:rsidR="007C165F" w:rsidRPr="00C6024C">
        <w:rPr>
          <w:rFonts w:ascii="Arial" w:hAnsi="Arial" w:cs="Arial"/>
          <w:sz w:val="22"/>
          <w:szCs w:val="22"/>
        </w:rPr>
        <w:t>Elliot, 2023)</w:t>
      </w:r>
      <w:r w:rsidRPr="00C6024C">
        <w:rPr>
          <w:rFonts w:ascii="Arial" w:hAnsi="Arial" w:cs="Arial"/>
          <w:sz w:val="22"/>
          <w:szCs w:val="22"/>
        </w:rPr>
        <w:t>.</w:t>
      </w:r>
    </w:p>
    <w:p w14:paraId="2C56D5DC" w14:textId="77777777" w:rsidR="009D3DE7" w:rsidRPr="00C6024C" w:rsidRDefault="009D3DE7" w:rsidP="00A565F4">
      <w:pPr>
        <w:spacing w:line="360" w:lineRule="auto"/>
        <w:jc w:val="both"/>
        <w:rPr>
          <w:rFonts w:ascii="Arial" w:hAnsi="Arial" w:cs="Arial"/>
          <w:b/>
          <w:bCs/>
          <w:sz w:val="22"/>
          <w:szCs w:val="22"/>
        </w:rPr>
      </w:pPr>
      <w:r w:rsidRPr="00C6024C">
        <w:rPr>
          <w:rFonts w:ascii="Arial" w:hAnsi="Arial" w:cs="Arial"/>
          <w:b/>
          <w:bCs/>
          <w:sz w:val="22"/>
          <w:szCs w:val="22"/>
        </w:rPr>
        <w:t>5. Social Isolation and Loneliness</w:t>
      </w:r>
    </w:p>
    <w:p w14:paraId="1CE1A46C" w14:textId="236610E2" w:rsidR="009D3DE7" w:rsidRPr="00C6024C" w:rsidRDefault="000F137D" w:rsidP="00A565F4">
      <w:pPr>
        <w:spacing w:line="360" w:lineRule="auto"/>
        <w:jc w:val="both"/>
        <w:rPr>
          <w:rFonts w:ascii="Arial" w:hAnsi="Arial" w:cs="Arial"/>
          <w:sz w:val="22"/>
          <w:szCs w:val="22"/>
        </w:rPr>
      </w:pPr>
      <w:r w:rsidRPr="00C6024C">
        <w:rPr>
          <w:rFonts w:ascii="Arial" w:hAnsi="Arial" w:cs="Arial"/>
          <w:sz w:val="22"/>
          <w:szCs w:val="22"/>
        </w:rPr>
        <w:t>Disabled people experience higher levels of social isolation and loneliness. Evidence shows that disabled adults are twice as likely to report feeling lonely compared to non-disabled adults</w:t>
      </w:r>
      <w:r w:rsidR="00D54000" w:rsidRPr="00C6024C">
        <w:rPr>
          <w:rFonts w:ascii="Arial" w:hAnsi="Arial" w:cs="Arial"/>
          <w:sz w:val="22"/>
          <w:szCs w:val="22"/>
        </w:rPr>
        <w:t xml:space="preserve"> (Emerson et al, 2023)</w:t>
      </w:r>
      <w:r w:rsidRPr="00C6024C">
        <w:rPr>
          <w:rFonts w:ascii="Arial" w:hAnsi="Arial" w:cs="Arial"/>
          <w:sz w:val="22"/>
          <w:szCs w:val="22"/>
        </w:rPr>
        <w:t>. Barriers such as poor transport, mobility limitations and stigma reduce opportunities for social participation. Loneliness is associated with increased risks of depression, anxiety and poor physical health</w:t>
      </w:r>
      <w:r w:rsidR="00AE697E" w:rsidRPr="00C6024C">
        <w:rPr>
          <w:rFonts w:ascii="Arial" w:hAnsi="Arial" w:cs="Arial"/>
          <w:sz w:val="22"/>
          <w:szCs w:val="22"/>
        </w:rPr>
        <w:t xml:space="preserve"> (Emerson et al, 2023)</w:t>
      </w:r>
      <w:r w:rsidRPr="00C6024C">
        <w:rPr>
          <w:rFonts w:ascii="Arial" w:hAnsi="Arial" w:cs="Arial"/>
          <w:sz w:val="22"/>
          <w:szCs w:val="22"/>
        </w:rPr>
        <w:t>. Community-based support groups, inclusive activities and accessible transport can significantly improve social connection and wellbeing</w:t>
      </w:r>
      <w:r w:rsidR="00AE697E" w:rsidRPr="00C6024C">
        <w:rPr>
          <w:rFonts w:ascii="Arial" w:hAnsi="Arial" w:cs="Arial"/>
          <w:sz w:val="22"/>
          <w:szCs w:val="22"/>
        </w:rPr>
        <w:t xml:space="preserve"> (Emerson et al, 2023)</w:t>
      </w:r>
      <w:r w:rsidRPr="00C6024C">
        <w:rPr>
          <w:rFonts w:ascii="Arial" w:hAnsi="Arial" w:cs="Arial"/>
          <w:sz w:val="22"/>
          <w:szCs w:val="22"/>
        </w:rPr>
        <w:t>.</w:t>
      </w:r>
    </w:p>
    <w:p w14:paraId="176D7E6E" w14:textId="77777777" w:rsidR="009D3DE7" w:rsidRPr="00C6024C" w:rsidRDefault="009D3DE7" w:rsidP="00A565F4">
      <w:pPr>
        <w:spacing w:line="360" w:lineRule="auto"/>
        <w:jc w:val="both"/>
        <w:rPr>
          <w:rFonts w:ascii="Arial" w:hAnsi="Arial" w:cs="Arial"/>
          <w:b/>
          <w:bCs/>
          <w:sz w:val="22"/>
          <w:szCs w:val="22"/>
        </w:rPr>
      </w:pPr>
      <w:r w:rsidRPr="00C6024C">
        <w:rPr>
          <w:rFonts w:ascii="Arial" w:hAnsi="Arial" w:cs="Arial"/>
          <w:b/>
          <w:bCs/>
          <w:sz w:val="22"/>
          <w:szCs w:val="22"/>
        </w:rPr>
        <w:t>6. Barriers to Employment and Education</w:t>
      </w:r>
    </w:p>
    <w:p w14:paraId="0989BA84" w14:textId="36CC20B9" w:rsidR="009D3DE7" w:rsidRPr="00C6024C" w:rsidRDefault="001C3150" w:rsidP="00A565F4">
      <w:pPr>
        <w:spacing w:line="360" w:lineRule="auto"/>
        <w:jc w:val="both"/>
        <w:rPr>
          <w:rFonts w:ascii="Arial" w:hAnsi="Arial" w:cs="Arial"/>
          <w:sz w:val="22"/>
          <w:szCs w:val="22"/>
        </w:rPr>
      </w:pPr>
      <w:r w:rsidRPr="00C6024C">
        <w:rPr>
          <w:rFonts w:ascii="Arial" w:hAnsi="Arial" w:cs="Arial"/>
          <w:sz w:val="22"/>
          <w:szCs w:val="22"/>
        </w:rPr>
        <w:t xml:space="preserve">Disabled people face significant barriers to employment and education. In the UK, the disability employment gap is approximately </w:t>
      </w:r>
      <w:r w:rsidR="00DB0023" w:rsidRPr="00C6024C">
        <w:rPr>
          <w:rFonts w:ascii="Arial" w:hAnsi="Arial" w:cs="Arial"/>
          <w:sz w:val="22"/>
          <w:szCs w:val="22"/>
        </w:rPr>
        <w:t>28.6</w:t>
      </w:r>
      <w:r w:rsidRPr="00C6024C">
        <w:rPr>
          <w:rFonts w:ascii="Arial" w:hAnsi="Arial" w:cs="Arial"/>
          <w:sz w:val="22"/>
          <w:szCs w:val="22"/>
        </w:rPr>
        <w:t xml:space="preserve"> percentage points, meaning disabled people are far less likely to be employed than non-disabled people</w:t>
      </w:r>
      <w:r w:rsidR="00DB0023" w:rsidRPr="00C6024C">
        <w:rPr>
          <w:rFonts w:ascii="Arial" w:hAnsi="Arial" w:cs="Arial"/>
          <w:sz w:val="22"/>
          <w:szCs w:val="22"/>
        </w:rPr>
        <w:t xml:space="preserve"> (ONS, 2019)</w:t>
      </w:r>
      <w:r w:rsidRPr="00C6024C">
        <w:rPr>
          <w:rFonts w:ascii="Arial" w:hAnsi="Arial" w:cs="Arial"/>
          <w:sz w:val="22"/>
          <w:szCs w:val="22"/>
        </w:rPr>
        <w:t>. Unemployment increases the risk of poverty, poor mental health and social exclusion. Barriers include discrimination, lack of workplace adjustments and limited access to education. Stronger enforcement of equality laws and support schemes such as Access to Work are vital in reducing this inequality</w:t>
      </w:r>
      <w:r w:rsidR="00E736A9" w:rsidRPr="00C6024C">
        <w:rPr>
          <w:rFonts w:ascii="Arial" w:hAnsi="Arial" w:cs="Arial"/>
          <w:sz w:val="22"/>
          <w:szCs w:val="22"/>
        </w:rPr>
        <w:t xml:space="preserve"> (Goodall et al, 2022)</w:t>
      </w:r>
      <w:r w:rsidRPr="00C6024C">
        <w:rPr>
          <w:rFonts w:ascii="Arial" w:hAnsi="Arial" w:cs="Arial"/>
          <w:sz w:val="22"/>
          <w:szCs w:val="22"/>
        </w:rPr>
        <w:t>.</w:t>
      </w:r>
    </w:p>
    <w:p w14:paraId="6052C422" w14:textId="77777777" w:rsidR="009D3DE7" w:rsidRPr="00C6024C" w:rsidRDefault="009D3DE7" w:rsidP="00A565F4">
      <w:pPr>
        <w:pStyle w:val="Heading2"/>
        <w:rPr>
          <w:rFonts w:cs="Arial"/>
          <w:sz w:val="22"/>
          <w:szCs w:val="22"/>
        </w:rPr>
      </w:pPr>
      <w:bookmarkStart w:id="5" w:name="_Toc216957243"/>
      <w:r w:rsidRPr="00C6024C">
        <w:rPr>
          <w:rFonts w:cs="Arial"/>
          <w:sz w:val="22"/>
          <w:szCs w:val="22"/>
        </w:rPr>
        <w:t>National Response to Reduce Health Inequalities</w:t>
      </w:r>
      <w:bookmarkEnd w:id="5"/>
    </w:p>
    <w:p w14:paraId="1D3FA1EB" w14:textId="03E732A0"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 xml:space="preserve">One key national response to reducing health inequalities for </w:t>
      </w:r>
      <w:r w:rsidR="007C2225" w:rsidRPr="00C6024C">
        <w:rPr>
          <w:rFonts w:ascii="Arial" w:hAnsi="Arial" w:cs="Arial"/>
          <w:sz w:val="22"/>
          <w:szCs w:val="22"/>
        </w:rPr>
        <w:t>people with disabilities</w:t>
      </w:r>
      <w:r w:rsidRPr="00C6024C">
        <w:rPr>
          <w:rFonts w:ascii="Arial" w:hAnsi="Arial" w:cs="Arial"/>
          <w:sz w:val="22"/>
          <w:szCs w:val="22"/>
        </w:rPr>
        <w:t xml:space="preserve"> is the Equality Act 2010. This legislation makes it illegal to discriminate against disabled people and places a legal duty on employers, public services and healthcare providers, including the NHS, to make reasonable adjustments</w:t>
      </w:r>
      <w:r w:rsidR="007C2225" w:rsidRPr="00C6024C">
        <w:rPr>
          <w:rFonts w:ascii="Arial" w:hAnsi="Arial" w:cs="Arial"/>
          <w:sz w:val="22"/>
          <w:szCs w:val="22"/>
        </w:rPr>
        <w:t xml:space="preserve"> (Wolbring and Deloria, 2024)</w:t>
      </w:r>
      <w:r w:rsidRPr="00C6024C">
        <w:rPr>
          <w:rFonts w:ascii="Arial" w:hAnsi="Arial" w:cs="Arial"/>
          <w:sz w:val="22"/>
          <w:szCs w:val="22"/>
        </w:rPr>
        <w:t>. These adjustments may include providing accessible buildings, communication support or longer appointment times</w:t>
      </w:r>
      <w:r w:rsidR="006C2696" w:rsidRPr="00C6024C">
        <w:rPr>
          <w:rFonts w:ascii="Arial" w:hAnsi="Arial" w:cs="Arial"/>
          <w:sz w:val="22"/>
          <w:szCs w:val="22"/>
        </w:rPr>
        <w:t xml:space="preserve"> (Wolbring and Deloria, 2024). </w:t>
      </w:r>
      <w:r w:rsidRPr="00C6024C">
        <w:rPr>
          <w:rFonts w:ascii="Arial" w:hAnsi="Arial" w:cs="Arial"/>
          <w:sz w:val="22"/>
          <w:szCs w:val="22"/>
        </w:rPr>
        <w:t xml:space="preserve">The Act aims to remove barriers that prevent </w:t>
      </w:r>
      <w:r w:rsidR="007C2225" w:rsidRPr="00C6024C">
        <w:rPr>
          <w:rFonts w:ascii="Arial" w:hAnsi="Arial" w:cs="Arial"/>
          <w:sz w:val="22"/>
          <w:szCs w:val="22"/>
        </w:rPr>
        <w:t xml:space="preserve">people with disabilities from accessing healthcare and other essential services, thereby </w:t>
      </w:r>
      <w:r w:rsidRPr="00C6024C">
        <w:rPr>
          <w:rFonts w:ascii="Arial" w:hAnsi="Arial" w:cs="Arial"/>
          <w:sz w:val="22"/>
          <w:szCs w:val="22"/>
        </w:rPr>
        <w:t>helping to reduce unequal treatment and improve overall health outcomes</w:t>
      </w:r>
      <w:r w:rsidR="006C2696" w:rsidRPr="00C6024C">
        <w:rPr>
          <w:rFonts w:ascii="Arial" w:hAnsi="Arial" w:cs="Arial"/>
          <w:sz w:val="22"/>
          <w:szCs w:val="22"/>
        </w:rPr>
        <w:t xml:space="preserve"> (Wolbring and Deloria, 2024)</w:t>
      </w:r>
      <w:r w:rsidRPr="00C6024C">
        <w:rPr>
          <w:rFonts w:ascii="Arial" w:hAnsi="Arial" w:cs="Arial"/>
          <w:sz w:val="22"/>
          <w:szCs w:val="22"/>
        </w:rPr>
        <w:t>.</w:t>
      </w:r>
    </w:p>
    <w:p w14:paraId="2D3386A5" w14:textId="3857EBF0"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Another important national initiative is the NHS Long Term Plan, which focuses on improving care for people with learning disabilities and autism</w:t>
      </w:r>
      <w:r w:rsidR="00AA25D3" w:rsidRPr="00C6024C">
        <w:rPr>
          <w:rFonts w:ascii="Arial" w:hAnsi="Arial" w:cs="Arial"/>
          <w:sz w:val="22"/>
          <w:szCs w:val="22"/>
        </w:rPr>
        <w:t xml:space="preserve"> (Wee et al, 2021)</w:t>
      </w:r>
      <w:r w:rsidRPr="00C6024C">
        <w:rPr>
          <w:rFonts w:ascii="Arial" w:hAnsi="Arial" w:cs="Arial"/>
          <w:sz w:val="22"/>
          <w:szCs w:val="22"/>
        </w:rPr>
        <w:t>. The plan includes measures such as annual health checks, improved access to mental health services and better training for healthcare professionals</w:t>
      </w:r>
      <w:r w:rsidR="00BF6994" w:rsidRPr="00C6024C">
        <w:rPr>
          <w:rFonts w:ascii="Arial" w:hAnsi="Arial" w:cs="Arial"/>
          <w:sz w:val="22"/>
          <w:szCs w:val="22"/>
        </w:rPr>
        <w:t xml:space="preserve"> (Wee et al, 2021)</w:t>
      </w:r>
      <w:r w:rsidRPr="00C6024C">
        <w:rPr>
          <w:rFonts w:ascii="Arial" w:hAnsi="Arial" w:cs="Arial"/>
          <w:sz w:val="22"/>
          <w:szCs w:val="22"/>
        </w:rPr>
        <w:t xml:space="preserve">. Programmes like the Learning </w:t>
      </w:r>
      <w:r w:rsidRPr="00C6024C">
        <w:rPr>
          <w:rFonts w:ascii="Arial" w:hAnsi="Arial" w:cs="Arial"/>
          <w:sz w:val="22"/>
          <w:szCs w:val="22"/>
        </w:rPr>
        <w:lastRenderedPageBreak/>
        <w:t>Disabilities Mortality Review (LeDeR) investigate premature deaths to identify failings in care and recommend improvements. Together, these initiatives aim to reduce avoidable deaths and tackle long-standing health inequalities</w:t>
      </w:r>
      <w:r w:rsidR="008E5C60" w:rsidRPr="00C6024C">
        <w:rPr>
          <w:rFonts w:ascii="Arial" w:hAnsi="Arial" w:cs="Arial"/>
          <w:sz w:val="22"/>
          <w:szCs w:val="22"/>
        </w:rPr>
        <w:t xml:space="preserve"> (Wee et al, 2021)</w:t>
      </w:r>
      <w:r w:rsidRPr="00C6024C">
        <w:rPr>
          <w:rFonts w:ascii="Arial" w:hAnsi="Arial" w:cs="Arial"/>
          <w:sz w:val="22"/>
          <w:szCs w:val="22"/>
        </w:rPr>
        <w:t>.</w:t>
      </w:r>
    </w:p>
    <w:p w14:paraId="31CC4D85" w14:textId="77777777" w:rsidR="009D3DE7" w:rsidRPr="00C6024C" w:rsidRDefault="009D3DE7" w:rsidP="00A565F4">
      <w:pPr>
        <w:pStyle w:val="Heading2"/>
        <w:rPr>
          <w:rFonts w:cs="Arial"/>
          <w:sz w:val="22"/>
          <w:szCs w:val="22"/>
        </w:rPr>
      </w:pPr>
      <w:bookmarkStart w:id="6" w:name="_Toc216957244"/>
      <w:r w:rsidRPr="00C6024C">
        <w:rPr>
          <w:rFonts w:cs="Arial"/>
          <w:sz w:val="22"/>
          <w:szCs w:val="22"/>
        </w:rPr>
        <w:t>Organisation Supporting Disabled People</w:t>
      </w:r>
      <w:bookmarkEnd w:id="6"/>
    </w:p>
    <w:p w14:paraId="05C6B5B2" w14:textId="77777777" w:rsidR="009D3DE7" w:rsidRPr="00C6024C" w:rsidRDefault="009D3DE7" w:rsidP="00A565F4">
      <w:pPr>
        <w:spacing w:line="360" w:lineRule="auto"/>
        <w:jc w:val="both"/>
        <w:rPr>
          <w:rFonts w:ascii="Arial" w:hAnsi="Arial" w:cs="Arial"/>
          <w:b/>
          <w:bCs/>
          <w:sz w:val="22"/>
          <w:szCs w:val="22"/>
        </w:rPr>
      </w:pPr>
      <w:r w:rsidRPr="00C6024C">
        <w:rPr>
          <w:rFonts w:ascii="Arial" w:hAnsi="Arial" w:cs="Arial"/>
          <w:b/>
          <w:bCs/>
          <w:sz w:val="22"/>
          <w:szCs w:val="22"/>
        </w:rPr>
        <w:t>Scope</w:t>
      </w:r>
    </w:p>
    <w:p w14:paraId="183F7403" w14:textId="21FA28D4" w:rsidR="009D3DE7" w:rsidRPr="00C6024C" w:rsidRDefault="009D3DE7" w:rsidP="00A565F4">
      <w:pPr>
        <w:spacing w:line="360" w:lineRule="auto"/>
        <w:jc w:val="both"/>
        <w:rPr>
          <w:rFonts w:ascii="Arial" w:hAnsi="Arial" w:cs="Arial"/>
          <w:sz w:val="22"/>
          <w:szCs w:val="22"/>
        </w:rPr>
      </w:pPr>
      <w:r w:rsidRPr="00C6024C">
        <w:rPr>
          <w:rFonts w:ascii="Arial" w:hAnsi="Arial" w:cs="Arial"/>
          <w:sz w:val="22"/>
          <w:szCs w:val="22"/>
        </w:rPr>
        <w:t>Scope is a leading UK disability charity that works to achieve equality for disabled people. Its wider role includes raising awareness of health inequalities, influencing government policy and challenging negative attitudes towards disability</w:t>
      </w:r>
      <w:r w:rsidR="00593C1C" w:rsidRPr="00C6024C">
        <w:rPr>
          <w:rFonts w:ascii="Arial" w:hAnsi="Arial" w:cs="Arial"/>
          <w:sz w:val="22"/>
          <w:szCs w:val="22"/>
        </w:rPr>
        <w:t xml:space="preserve"> (Priestley, 2022)</w:t>
      </w:r>
      <w:r w:rsidRPr="00C6024C">
        <w:rPr>
          <w:rFonts w:ascii="Arial" w:hAnsi="Arial" w:cs="Arial"/>
          <w:sz w:val="22"/>
          <w:szCs w:val="22"/>
        </w:rPr>
        <w:t xml:space="preserve">. Scope supports disabled people through advice services, employment support and campaigns to improve accessibility and inclusion. The charity also guides </w:t>
      </w:r>
      <w:r w:rsidR="00593C1C" w:rsidRPr="00C6024C">
        <w:rPr>
          <w:rFonts w:ascii="Arial" w:hAnsi="Arial" w:cs="Arial"/>
          <w:sz w:val="22"/>
          <w:szCs w:val="22"/>
        </w:rPr>
        <w:t xml:space="preserve">in </w:t>
      </w:r>
      <w:r w:rsidRPr="00C6024C">
        <w:rPr>
          <w:rFonts w:ascii="Arial" w:hAnsi="Arial" w:cs="Arial"/>
          <w:sz w:val="22"/>
          <w:szCs w:val="22"/>
        </w:rPr>
        <w:t>navigating healthcare systems and accessing benefits</w:t>
      </w:r>
      <w:r w:rsidR="004A2F06" w:rsidRPr="00C6024C">
        <w:rPr>
          <w:rFonts w:ascii="Arial" w:hAnsi="Arial" w:cs="Arial"/>
          <w:sz w:val="22"/>
          <w:szCs w:val="22"/>
        </w:rPr>
        <w:t xml:space="preserve"> (Schuelke et al, 2022)</w:t>
      </w:r>
      <w:r w:rsidRPr="00C6024C">
        <w:rPr>
          <w:rFonts w:ascii="Arial" w:hAnsi="Arial" w:cs="Arial"/>
          <w:sz w:val="22"/>
          <w:szCs w:val="22"/>
        </w:rPr>
        <w:t>.</w:t>
      </w:r>
    </w:p>
    <w:p w14:paraId="5552525B" w14:textId="77777777" w:rsidR="009D3DE7" w:rsidRPr="00C6024C" w:rsidRDefault="009D3DE7" w:rsidP="00A565F4">
      <w:pPr>
        <w:spacing w:line="360" w:lineRule="auto"/>
        <w:jc w:val="both"/>
        <w:rPr>
          <w:rFonts w:ascii="Arial" w:hAnsi="Arial" w:cs="Arial"/>
          <w:b/>
          <w:bCs/>
          <w:sz w:val="22"/>
          <w:szCs w:val="22"/>
        </w:rPr>
      </w:pPr>
      <w:r w:rsidRPr="00C6024C">
        <w:rPr>
          <w:rFonts w:ascii="Arial" w:hAnsi="Arial" w:cs="Arial"/>
          <w:b/>
          <w:bCs/>
          <w:sz w:val="22"/>
          <w:szCs w:val="22"/>
        </w:rPr>
        <w:t>Goals and Work</w:t>
      </w:r>
    </w:p>
    <w:p w14:paraId="522E60E6" w14:textId="4C236A18" w:rsidR="009D3DE7" w:rsidRPr="00C6024C" w:rsidRDefault="009D3DE7" w:rsidP="00A565F4">
      <w:pPr>
        <w:spacing w:line="360" w:lineRule="auto"/>
        <w:jc w:val="both"/>
        <w:rPr>
          <w:rFonts w:ascii="Arial" w:hAnsi="Arial" w:cs="Arial"/>
          <w:sz w:val="22"/>
          <w:szCs w:val="22"/>
        </w:rPr>
      </w:pPr>
      <w:r w:rsidRPr="00C6024C">
        <w:rPr>
          <w:rFonts w:ascii="Arial" w:hAnsi="Arial" w:cs="Arial"/>
          <w:sz w:val="22"/>
          <w:szCs w:val="22"/>
        </w:rPr>
        <w:t>Scope’s main goal is to create a society where disabled people have the same opportunities as everyone else</w:t>
      </w:r>
      <w:r w:rsidR="00C13FCC" w:rsidRPr="00C6024C">
        <w:rPr>
          <w:rFonts w:ascii="Arial" w:hAnsi="Arial" w:cs="Arial"/>
          <w:sz w:val="22"/>
          <w:szCs w:val="22"/>
        </w:rPr>
        <w:t xml:space="preserve"> (Priestley, 2022)</w:t>
      </w:r>
      <w:r w:rsidRPr="00C6024C">
        <w:rPr>
          <w:rFonts w:ascii="Arial" w:hAnsi="Arial" w:cs="Arial"/>
          <w:sz w:val="22"/>
          <w:szCs w:val="22"/>
        </w:rPr>
        <w:t>. The organisation conducts research into disability inequality, highlighting issues such as poverty, employment barriers and poor health outcomes. Scope also campaigns for fairer policies, improved benefits and better public services to reduce health inequalities</w:t>
      </w:r>
      <w:r w:rsidR="00C13FCC" w:rsidRPr="00C6024C">
        <w:rPr>
          <w:rFonts w:ascii="Arial" w:hAnsi="Arial" w:cs="Arial"/>
          <w:sz w:val="22"/>
          <w:szCs w:val="22"/>
        </w:rPr>
        <w:t xml:space="preserve"> (Schuelke et al, 2022)</w:t>
      </w:r>
      <w:r w:rsidRPr="00C6024C">
        <w:rPr>
          <w:rFonts w:ascii="Arial" w:hAnsi="Arial" w:cs="Arial"/>
          <w:sz w:val="22"/>
          <w:szCs w:val="22"/>
        </w:rPr>
        <w:t>.</w:t>
      </w:r>
    </w:p>
    <w:p w14:paraId="58482A59" w14:textId="77777777" w:rsidR="009D3DE7" w:rsidRPr="00C6024C" w:rsidRDefault="009D3DE7" w:rsidP="00A565F4">
      <w:pPr>
        <w:pStyle w:val="Heading2"/>
        <w:rPr>
          <w:rFonts w:cs="Arial"/>
          <w:sz w:val="22"/>
          <w:szCs w:val="22"/>
        </w:rPr>
      </w:pPr>
      <w:bookmarkStart w:id="7" w:name="_Toc216957245"/>
      <w:r w:rsidRPr="00C6024C">
        <w:rPr>
          <w:rFonts w:cs="Arial"/>
          <w:sz w:val="22"/>
          <w:szCs w:val="22"/>
        </w:rPr>
        <w:t>Conclusion</w:t>
      </w:r>
      <w:bookmarkEnd w:id="7"/>
    </w:p>
    <w:p w14:paraId="638D8D85" w14:textId="77777777" w:rsidR="009D3DE7" w:rsidRPr="00C6024C" w:rsidRDefault="009D3DE7" w:rsidP="00A565F4">
      <w:pPr>
        <w:spacing w:line="360" w:lineRule="auto"/>
        <w:jc w:val="both"/>
        <w:rPr>
          <w:rFonts w:ascii="Arial" w:hAnsi="Arial" w:cs="Arial"/>
          <w:sz w:val="22"/>
          <w:szCs w:val="22"/>
        </w:rPr>
      </w:pPr>
      <w:r w:rsidRPr="00C6024C">
        <w:rPr>
          <w:rFonts w:ascii="Arial" w:hAnsi="Arial" w:cs="Arial"/>
          <w:sz w:val="22"/>
          <w:szCs w:val="22"/>
        </w:rPr>
        <w:t>In conclusion, disabled people in the UK experience significant health inequalities due to a combination of higher disease rates and social disadvantages. These include increased mental health problems, long-term physical conditions and lower life expectancy, alongside poverty, social isolation and unemployment. Although national policies such as the Equality Act 2010 and NHS initiatives aim to reduce these inequalities, gaps remain. Charities such as Scope play a vital role in supporting disabled people and raising awareness. Addressing disability health inequalities requires continued policy reform, inclusive healthcare services and a societal commitment to equality and social justice.</w:t>
      </w:r>
    </w:p>
    <w:p w14:paraId="66D27ECF" w14:textId="77777777" w:rsidR="00062109" w:rsidRPr="00C6024C" w:rsidRDefault="00062109" w:rsidP="00A565F4">
      <w:pPr>
        <w:spacing w:line="360" w:lineRule="auto"/>
        <w:jc w:val="both"/>
        <w:rPr>
          <w:rFonts w:ascii="Arial" w:hAnsi="Arial" w:cs="Arial"/>
          <w:sz w:val="22"/>
          <w:szCs w:val="22"/>
        </w:rPr>
      </w:pPr>
    </w:p>
    <w:p w14:paraId="25BBB042" w14:textId="77777777" w:rsidR="00062109" w:rsidRPr="00C6024C" w:rsidRDefault="00062109" w:rsidP="00A565F4">
      <w:pPr>
        <w:spacing w:line="360" w:lineRule="auto"/>
        <w:jc w:val="both"/>
        <w:rPr>
          <w:rFonts w:ascii="Arial" w:hAnsi="Arial" w:cs="Arial"/>
          <w:sz w:val="22"/>
          <w:szCs w:val="22"/>
        </w:rPr>
      </w:pPr>
    </w:p>
    <w:p w14:paraId="506E8344" w14:textId="77777777" w:rsidR="00062109" w:rsidRPr="00C6024C" w:rsidRDefault="00062109" w:rsidP="00A565F4">
      <w:pPr>
        <w:spacing w:line="360" w:lineRule="auto"/>
        <w:jc w:val="both"/>
        <w:rPr>
          <w:rFonts w:ascii="Arial" w:hAnsi="Arial" w:cs="Arial"/>
          <w:sz w:val="22"/>
          <w:szCs w:val="22"/>
        </w:rPr>
      </w:pPr>
    </w:p>
    <w:p w14:paraId="3EF8A07C" w14:textId="77777777" w:rsidR="00A565F4" w:rsidRPr="00C6024C" w:rsidRDefault="00A565F4" w:rsidP="00A565F4">
      <w:pPr>
        <w:spacing w:line="360" w:lineRule="auto"/>
        <w:jc w:val="both"/>
        <w:rPr>
          <w:rFonts w:ascii="Arial" w:hAnsi="Arial" w:cs="Arial"/>
          <w:sz w:val="22"/>
          <w:szCs w:val="22"/>
        </w:rPr>
      </w:pPr>
    </w:p>
    <w:p w14:paraId="7FC4C650" w14:textId="77777777" w:rsidR="00A565F4" w:rsidRPr="00C6024C" w:rsidRDefault="00A565F4" w:rsidP="00A565F4">
      <w:pPr>
        <w:spacing w:line="360" w:lineRule="auto"/>
        <w:jc w:val="both"/>
        <w:rPr>
          <w:rFonts w:ascii="Arial" w:hAnsi="Arial" w:cs="Arial"/>
          <w:sz w:val="22"/>
          <w:szCs w:val="22"/>
        </w:rPr>
      </w:pPr>
    </w:p>
    <w:p w14:paraId="7B49774E" w14:textId="77777777" w:rsidR="00A565F4" w:rsidRPr="00C6024C" w:rsidRDefault="00A565F4" w:rsidP="00A565F4">
      <w:pPr>
        <w:spacing w:line="360" w:lineRule="auto"/>
        <w:jc w:val="both"/>
        <w:rPr>
          <w:rFonts w:ascii="Arial" w:hAnsi="Arial" w:cs="Arial"/>
          <w:sz w:val="22"/>
          <w:szCs w:val="22"/>
        </w:rPr>
      </w:pPr>
    </w:p>
    <w:p w14:paraId="6EFC87E0" w14:textId="77777777" w:rsidR="00A565F4" w:rsidRPr="00C6024C" w:rsidRDefault="00A565F4" w:rsidP="00A565F4">
      <w:pPr>
        <w:spacing w:line="360" w:lineRule="auto"/>
        <w:jc w:val="both"/>
        <w:rPr>
          <w:rFonts w:ascii="Arial" w:hAnsi="Arial" w:cs="Arial"/>
          <w:sz w:val="22"/>
          <w:szCs w:val="22"/>
        </w:rPr>
      </w:pPr>
    </w:p>
    <w:p w14:paraId="3028DB3D" w14:textId="77777777" w:rsidR="00A565F4" w:rsidRPr="00C6024C" w:rsidRDefault="00A565F4" w:rsidP="00A565F4">
      <w:pPr>
        <w:spacing w:line="360" w:lineRule="auto"/>
        <w:jc w:val="both"/>
        <w:rPr>
          <w:rFonts w:ascii="Arial" w:hAnsi="Arial" w:cs="Arial"/>
          <w:sz w:val="22"/>
          <w:szCs w:val="22"/>
        </w:rPr>
      </w:pPr>
    </w:p>
    <w:p w14:paraId="10C3D5BE" w14:textId="77777777" w:rsidR="00A565F4" w:rsidRPr="00C6024C" w:rsidRDefault="00A565F4" w:rsidP="00A565F4">
      <w:pPr>
        <w:spacing w:line="360" w:lineRule="auto"/>
        <w:jc w:val="both"/>
        <w:rPr>
          <w:rFonts w:ascii="Arial" w:hAnsi="Arial" w:cs="Arial"/>
          <w:sz w:val="22"/>
          <w:szCs w:val="22"/>
        </w:rPr>
      </w:pPr>
    </w:p>
    <w:p w14:paraId="3D3EA914" w14:textId="77777777" w:rsidR="00A565F4" w:rsidRPr="00C6024C" w:rsidRDefault="00A565F4" w:rsidP="00A565F4">
      <w:pPr>
        <w:spacing w:line="360" w:lineRule="auto"/>
        <w:jc w:val="both"/>
        <w:rPr>
          <w:rFonts w:ascii="Arial" w:hAnsi="Arial" w:cs="Arial"/>
          <w:sz w:val="22"/>
          <w:szCs w:val="22"/>
        </w:rPr>
      </w:pPr>
    </w:p>
    <w:p w14:paraId="59163C0E" w14:textId="77777777" w:rsidR="00062109" w:rsidRPr="00C6024C" w:rsidRDefault="00062109" w:rsidP="00A565F4">
      <w:pPr>
        <w:spacing w:line="360" w:lineRule="auto"/>
        <w:jc w:val="both"/>
        <w:rPr>
          <w:rFonts w:ascii="Arial" w:hAnsi="Arial" w:cs="Arial"/>
          <w:sz w:val="22"/>
          <w:szCs w:val="22"/>
        </w:rPr>
      </w:pPr>
    </w:p>
    <w:p w14:paraId="034D3427" w14:textId="77777777" w:rsidR="00930DAD" w:rsidRPr="00C6024C" w:rsidRDefault="00930DAD" w:rsidP="00A565F4">
      <w:pPr>
        <w:spacing w:line="360" w:lineRule="auto"/>
        <w:jc w:val="both"/>
        <w:rPr>
          <w:rFonts w:ascii="Arial" w:hAnsi="Arial" w:cs="Arial"/>
          <w:sz w:val="22"/>
          <w:szCs w:val="22"/>
        </w:rPr>
      </w:pPr>
    </w:p>
    <w:p w14:paraId="1374CAE8" w14:textId="77777777" w:rsidR="00930DAD" w:rsidRPr="00C6024C" w:rsidRDefault="00930DAD" w:rsidP="00A565F4">
      <w:pPr>
        <w:spacing w:line="360" w:lineRule="auto"/>
        <w:jc w:val="both"/>
        <w:rPr>
          <w:rFonts w:ascii="Arial" w:hAnsi="Arial" w:cs="Arial"/>
          <w:sz w:val="22"/>
          <w:szCs w:val="22"/>
        </w:rPr>
      </w:pPr>
    </w:p>
    <w:p w14:paraId="3BB606DC" w14:textId="77777777" w:rsidR="00930DAD" w:rsidRPr="00C6024C" w:rsidRDefault="00930DAD" w:rsidP="00A565F4">
      <w:pPr>
        <w:spacing w:line="360" w:lineRule="auto"/>
        <w:jc w:val="both"/>
        <w:rPr>
          <w:rFonts w:ascii="Arial" w:hAnsi="Arial" w:cs="Arial"/>
          <w:sz w:val="22"/>
          <w:szCs w:val="22"/>
        </w:rPr>
      </w:pPr>
    </w:p>
    <w:p w14:paraId="52C8C848" w14:textId="77777777" w:rsidR="00930DAD" w:rsidRPr="00C6024C" w:rsidRDefault="00930DAD" w:rsidP="00A565F4">
      <w:pPr>
        <w:spacing w:line="360" w:lineRule="auto"/>
        <w:jc w:val="both"/>
        <w:rPr>
          <w:rFonts w:ascii="Arial" w:hAnsi="Arial" w:cs="Arial"/>
          <w:sz w:val="22"/>
          <w:szCs w:val="22"/>
        </w:rPr>
      </w:pPr>
    </w:p>
    <w:p w14:paraId="6B0B677E" w14:textId="77777777" w:rsidR="00930DAD" w:rsidRPr="00C6024C" w:rsidRDefault="00930DAD" w:rsidP="00A565F4">
      <w:pPr>
        <w:spacing w:line="360" w:lineRule="auto"/>
        <w:jc w:val="both"/>
        <w:rPr>
          <w:rFonts w:ascii="Arial" w:hAnsi="Arial" w:cs="Arial"/>
          <w:sz w:val="22"/>
          <w:szCs w:val="22"/>
        </w:rPr>
      </w:pPr>
    </w:p>
    <w:p w14:paraId="7EA80188" w14:textId="77777777" w:rsidR="00930DAD" w:rsidRPr="00C6024C" w:rsidRDefault="00930DAD" w:rsidP="00A565F4">
      <w:pPr>
        <w:spacing w:line="360" w:lineRule="auto"/>
        <w:jc w:val="both"/>
        <w:rPr>
          <w:rFonts w:ascii="Arial" w:hAnsi="Arial" w:cs="Arial"/>
          <w:sz w:val="22"/>
          <w:szCs w:val="22"/>
        </w:rPr>
      </w:pPr>
    </w:p>
    <w:p w14:paraId="25A6491B" w14:textId="77777777" w:rsidR="00930DAD" w:rsidRPr="00C6024C" w:rsidRDefault="00930DAD" w:rsidP="00A565F4">
      <w:pPr>
        <w:spacing w:line="360" w:lineRule="auto"/>
        <w:jc w:val="both"/>
        <w:rPr>
          <w:rFonts w:ascii="Arial" w:hAnsi="Arial" w:cs="Arial"/>
          <w:sz w:val="22"/>
          <w:szCs w:val="22"/>
        </w:rPr>
      </w:pPr>
    </w:p>
    <w:p w14:paraId="3A3FF08F" w14:textId="77777777" w:rsidR="00930DAD" w:rsidRPr="00C6024C" w:rsidRDefault="00930DAD" w:rsidP="00A565F4">
      <w:pPr>
        <w:spacing w:line="360" w:lineRule="auto"/>
        <w:jc w:val="both"/>
        <w:rPr>
          <w:rFonts w:ascii="Arial" w:hAnsi="Arial" w:cs="Arial"/>
          <w:sz w:val="22"/>
          <w:szCs w:val="22"/>
        </w:rPr>
      </w:pPr>
    </w:p>
    <w:p w14:paraId="0BFFA3E8" w14:textId="77777777" w:rsidR="00930DAD" w:rsidRPr="00C6024C" w:rsidRDefault="00930DAD" w:rsidP="00A565F4">
      <w:pPr>
        <w:spacing w:line="360" w:lineRule="auto"/>
        <w:jc w:val="both"/>
        <w:rPr>
          <w:rFonts w:ascii="Arial" w:hAnsi="Arial" w:cs="Arial"/>
          <w:sz w:val="22"/>
          <w:szCs w:val="22"/>
        </w:rPr>
      </w:pPr>
    </w:p>
    <w:p w14:paraId="4A0C2690" w14:textId="77777777" w:rsidR="00930DAD" w:rsidRPr="00C6024C" w:rsidRDefault="00930DAD" w:rsidP="00A565F4">
      <w:pPr>
        <w:spacing w:line="360" w:lineRule="auto"/>
        <w:jc w:val="both"/>
        <w:rPr>
          <w:rFonts w:ascii="Arial" w:hAnsi="Arial" w:cs="Arial"/>
          <w:sz w:val="22"/>
          <w:szCs w:val="22"/>
        </w:rPr>
      </w:pPr>
    </w:p>
    <w:p w14:paraId="0A3B21ED" w14:textId="77777777" w:rsidR="00930DAD" w:rsidRPr="00C6024C" w:rsidRDefault="00930DAD" w:rsidP="00A565F4">
      <w:pPr>
        <w:spacing w:line="360" w:lineRule="auto"/>
        <w:jc w:val="both"/>
        <w:rPr>
          <w:rFonts w:ascii="Arial" w:hAnsi="Arial" w:cs="Arial"/>
          <w:sz w:val="22"/>
          <w:szCs w:val="22"/>
        </w:rPr>
      </w:pPr>
    </w:p>
    <w:p w14:paraId="752A1F96" w14:textId="77777777" w:rsidR="00930DAD" w:rsidRPr="00C6024C" w:rsidRDefault="00930DAD" w:rsidP="00A565F4">
      <w:pPr>
        <w:spacing w:line="360" w:lineRule="auto"/>
        <w:jc w:val="both"/>
        <w:rPr>
          <w:rFonts w:ascii="Arial" w:hAnsi="Arial" w:cs="Arial"/>
          <w:sz w:val="22"/>
          <w:szCs w:val="22"/>
        </w:rPr>
      </w:pPr>
    </w:p>
    <w:p w14:paraId="29172C77" w14:textId="77777777" w:rsidR="00930DAD" w:rsidRPr="00C6024C" w:rsidRDefault="00930DAD" w:rsidP="00930DAD">
      <w:pPr>
        <w:pStyle w:val="Heading1"/>
        <w:jc w:val="center"/>
        <w:rPr>
          <w:rFonts w:cs="Arial"/>
          <w:sz w:val="22"/>
          <w:szCs w:val="22"/>
        </w:rPr>
      </w:pPr>
      <w:bookmarkStart w:id="8" w:name="_Toc216957246"/>
      <w:r w:rsidRPr="00C6024C">
        <w:rPr>
          <w:rFonts w:cs="Arial"/>
          <w:sz w:val="22"/>
          <w:szCs w:val="22"/>
        </w:rPr>
        <w:t>TASK: 2</w:t>
      </w:r>
      <w:bookmarkEnd w:id="8"/>
    </w:p>
    <w:p w14:paraId="63C3A0C5" w14:textId="00B133A7" w:rsidR="00062109" w:rsidRPr="00C6024C" w:rsidRDefault="00062109" w:rsidP="00930DAD">
      <w:pPr>
        <w:jc w:val="center"/>
        <w:rPr>
          <w:rFonts w:ascii="Arial" w:hAnsi="Arial" w:cs="Arial"/>
          <w:b/>
          <w:bCs/>
          <w:sz w:val="22"/>
          <w:szCs w:val="22"/>
        </w:rPr>
      </w:pPr>
      <w:r w:rsidRPr="00C6024C">
        <w:rPr>
          <w:rFonts w:ascii="Arial" w:hAnsi="Arial" w:cs="Arial"/>
          <w:b/>
          <w:bCs/>
          <w:sz w:val="22"/>
          <w:szCs w:val="22"/>
        </w:rPr>
        <w:t>Epidemiological Analysis of Hypertension in Adults Aged 30–65 in Birmingham</w:t>
      </w:r>
    </w:p>
    <w:p w14:paraId="0CBD4DF6" w14:textId="77777777" w:rsidR="00930DAD" w:rsidRPr="00C6024C" w:rsidRDefault="00930DAD" w:rsidP="00930DAD">
      <w:pPr>
        <w:jc w:val="center"/>
        <w:rPr>
          <w:rFonts w:ascii="Arial" w:hAnsi="Arial" w:cs="Arial"/>
          <w:b/>
          <w:bCs/>
          <w:sz w:val="22"/>
          <w:szCs w:val="22"/>
        </w:rPr>
      </w:pPr>
    </w:p>
    <w:p w14:paraId="10840D0E" w14:textId="77777777" w:rsidR="00930DAD" w:rsidRPr="00C6024C" w:rsidRDefault="00930DAD" w:rsidP="00930DAD">
      <w:pPr>
        <w:jc w:val="center"/>
        <w:rPr>
          <w:rFonts w:ascii="Arial" w:hAnsi="Arial" w:cs="Arial"/>
          <w:b/>
          <w:bCs/>
          <w:sz w:val="22"/>
          <w:szCs w:val="22"/>
        </w:rPr>
      </w:pPr>
    </w:p>
    <w:p w14:paraId="4845CBAD" w14:textId="77777777" w:rsidR="00930DAD" w:rsidRPr="00C6024C" w:rsidRDefault="00930DAD" w:rsidP="00930DAD">
      <w:pPr>
        <w:jc w:val="center"/>
        <w:rPr>
          <w:rFonts w:ascii="Arial" w:hAnsi="Arial" w:cs="Arial"/>
          <w:b/>
          <w:bCs/>
          <w:sz w:val="22"/>
          <w:szCs w:val="22"/>
        </w:rPr>
      </w:pPr>
    </w:p>
    <w:p w14:paraId="703688C6" w14:textId="77777777" w:rsidR="00930DAD" w:rsidRPr="00C6024C" w:rsidRDefault="00930DAD" w:rsidP="00930DAD">
      <w:pPr>
        <w:jc w:val="center"/>
        <w:rPr>
          <w:rFonts w:ascii="Arial" w:hAnsi="Arial" w:cs="Arial"/>
          <w:b/>
          <w:bCs/>
          <w:sz w:val="22"/>
          <w:szCs w:val="22"/>
        </w:rPr>
      </w:pPr>
    </w:p>
    <w:p w14:paraId="23AC759A" w14:textId="77777777" w:rsidR="00930DAD" w:rsidRPr="00C6024C" w:rsidRDefault="00930DAD" w:rsidP="00930DAD">
      <w:pPr>
        <w:jc w:val="center"/>
        <w:rPr>
          <w:rFonts w:ascii="Arial" w:hAnsi="Arial" w:cs="Arial"/>
          <w:b/>
          <w:bCs/>
          <w:sz w:val="22"/>
          <w:szCs w:val="22"/>
        </w:rPr>
      </w:pPr>
    </w:p>
    <w:p w14:paraId="68BF4E43" w14:textId="77777777" w:rsidR="00930DAD" w:rsidRPr="00C6024C" w:rsidRDefault="00930DAD" w:rsidP="00930DAD">
      <w:pPr>
        <w:jc w:val="center"/>
        <w:rPr>
          <w:rFonts w:ascii="Arial" w:hAnsi="Arial" w:cs="Arial"/>
          <w:b/>
          <w:bCs/>
          <w:sz w:val="22"/>
          <w:szCs w:val="22"/>
        </w:rPr>
      </w:pPr>
    </w:p>
    <w:p w14:paraId="09F78F7C" w14:textId="77777777" w:rsidR="00930DAD" w:rsidRPr="00C6024C" w:rsidRDefault="00930DAD" w:rsidP="00930DAD">
      <w:pPr>
        <w:jc w:val="center"/>
        <w:rPr>
          <w:rFonts w:ascii="Arial" w:hAnsi="Arial" w:cs="Arial"/>
          <w:b/>
          <w:bCs/>
          <w:sz w:val="22"/>
          <w:szCs w:val="22"/>
        </w:rPr>
      </w:pPr>
    </w:p>
    <w:p w14:paraId="618827B7" w14:textId="77777777" w:rsidR="00930DAD" w:rsidRPr="00C6024C" w:rsidRDefault="00930DAD" w:rsidP="00930DAD">
      <w:pPr>
        <w:jc w:val="center"/>
        <w:rPr>
          <w:rFonts w:ascii="Arial" w:hAnsi="Arial" w:cs="Arial"/>
          <w:b/>
          <w:bCs/>
          <w:sz w:val="22"/>
          <w:szCs w:val="22"/>
        </w:rPr>
      </w:pPr>
    </w:p>
    <w:p w14:paraId="2634986D" w14:textId="77777777" w:rsidR="00930DAD" w:rsidRPr="00C6024C" w:rsidRDefault="00930DAD" w:rsidP="00930DAD">
      <w:pPr>
        <w:jc w:val="center"/>
        <w:rPr>
          <w:rFonts w:ascii="Arial" w:hAnsi="Arial" w:cs="Arial"/>
          <w:b/>
          <w:bCs/>
          <w:sz w:val="22"/>
          <w:szCs w:val="22"/>
        </w:rPr>
      </w:pPr>
    </w:p>
    <w:p w14:paraId="754F36F8" w14:textId="77777777" w:rsidR="00930DAD" w:rsidRPr="00C6024C" w:rsidRDefault="00930DAD" w:rsidP="00930DAD">
      <w:pPr>
        <w:jc w:val="center"/>
        <w:rPr>
          <w:rFonts w:ascii="Arial" w:hAnsi="Arial" w:cs="Arial"/>
          <w:b/>
          <w:bCs/>
          <w:sz w:val="22"/>
          <w:szCs w:val="22"/>
        </w:rPr>
      </w:pPr>
    </w:p>
    <w:p w14:paraId="4AB48A5C" w14:textId="77777777" w:rsidR="00930DAD" w:rsidRPr="00C6024C" w:rsidRDefault="00930DAD" w:rsidP="00930DAD">
      <w:pPr>
        <w:jc w:val="center"/>
        <w:rPr>
          <w:rFonts w:ascii="Arial" w:hAnsi="Arial" w:cs="Arial"/>
          <w:b/>
          <w:bCs/>
          <w:sz w:val="22"/>
          <w:szCs w:val="22"/>
        </w:rPr>
      </w:pPr>
    </w:p>
    <w:p w14:paraId="0295EDE7" w14:textId="77777777" w:rsidR="00930DAD" w:rsidRPr="00C6024C" w:rsidRDefault="00930DAD" w:rsidP="00930DAD">
      <w:pPr>
        <w:jc w:val="center"/>
        <w:rPr>
          <w:rFonts w:ascii="Arial" w:hAnsi="Arial" w:cs="Arial"/>
          <w:sz w:val="22"/>
          <w:szCs w:val="22"/>
        </w:rPr>
      </w:pPr>
    </w:p>
    <w:p w14:paraId="74063DCD" w14:textId="77777777" w:rsidR="00062109" w:rsidRPr="00C6024C" w:rsidRDefault="00062109" w:rsidP="00A565F4">
      <w:pPr>
        <w:pStyle w:val="Heading2"/>
        <w:rPr>
          <w:rFonts w:cs="Arial"/>
          <w:sz w:val="22"/>
          <w:szCs w:val="22"/>
        </w:rPr>
      </w:pPr>
      <w:bookmarkStart w:id="9" w:name="_Toc216957247"/>
      <w:r w:rsidRPr="00C6024C">
        <w:rPr>
          <w:rFonts w:eastAsiaTheme="majorEastAsia" w:cs="Arial"/>
          <w:sz w:val="22"/>
          <w:szCs w:val="22"/>
        </w:rPr>
        <w:t>Introduction</w:t>
      </w:r>
      <w:bookmarkEnd w:id="9"/>
    </w:p>
    <w:p w14:paraId="2E7DE520" w14:textId="7734BBC8"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Hypertension, commonly referred to as high blood pressure, is a major non-communicable disease and a leading contributor to cardiovascular disease, stroke, kidney failure and premature death</w:t>
      </w:r>
      <w:r w:rsidR="003A369F" w:rsidRPr="00C6024C">
        <w:rPr>
          <w:rFonts w:ascii="Arial" w:hAnsi="Arial" w:cs="Arial"/>
          <w:sz w:val="22"/>
          <w:szCs w:val="22"/>
        </w:rPr>
        <w:t xml:space="preserve"> (Ouyang et al, 2020)</w:t>
      </w:r>
      <w:r w:rsidRPr="00C6024C">
        <w:rPr>
          <w:rFonts w:ascii="Arial" w:hAnsi="Arial" w:cs="Arial"/>
          <w:sz w:val="22"/>
          <w:szCs w:val="22"/>
        </w:rPr>
        <w:t>. It is diagnosed when blood pressure remains consistently above 140/90 mmHg and is often described as a “silent killer” because many people experience no symptoms until serious complications occur</w:t>
      </w:r>
      <w:r w:rsidR="00F85AB8" w:rsidRPr="00C6024C">
        <w:rPr>
          <w:rFonts w:ascii="Arial" w:hAnsi="Arial" w:cs="Arial"/>
          <w:sz w:val="22"/>
          <w:szCs w:val="22"/>
        </w:rPr>
        <w:t xml:space="preserve"> (Upadhyay, 2022)</w:t>
      </w:r>
      <w:r w:rsidRPr="00C6024C">
        <w:rPr>
          <w:rFonts w:ascii="Arial" w:hAnsi="Arial" w:cs="Arial"/>
          <w:sz w:val="22"/>
          <w:szCs w:val="22"/>
        </w:rPr>
        <w:t>. The condition has significant social and health consequences, including reduced quality of life, increased healthcare costs and long-term disability</w:t>
      </w:r>
      <w:r w:rsidR="000338EC" w:rsidRPr="00C6024C">
        <w:rPr>
          <w:rFonts w:ascii="Arial" w:hAnsi="Arial" w:cs="Arial"/>
          <w:sz w:val="22"/>
          <w:szCs w:val="22"/>
        </w:rPr>
        <w:t xml:space="preserve"> (Ouyang et al, 2020)</w:t>
      </w:r>
      <w:r w:rsidRPr="00C6024C">
        <w:rPr>
          <w:rFonts w:ascii="Arial" w:hAnsi="Arial" w:cs="Arial"/>
          <w:sz w:val="22"/>
          <w:szCs w:val="22"/>
        </w:rPr>
        <w:t>. This report focuses on adults aged 30–65 living in Birmingham, a diverse and deprived UK city where hypertension presents a significant public health concern.</w:t>
      </w:r>
    </w:p>
    <w:p w14:paraId="44E194E4" w14:textId="77777777" w:rsidR="00062109" w:rsidRPr="00C6024C" w:rsidRDefault="00062109" w:rsidP="00A565F4">
      <w:pPr>
        <w:pStyle w:val="Heading2"/>
        <w:rPr>
          <w:rFonts w:cs="Arial"/>
          <w:sz w:val="22"/>
          <w:szCs w:val="22"/>
        </w:rPr>
      </w:pPr>
      <w:bookmarkStart w:id="10" w:name="_Toc216957248"/>
      <w:r w:rsidRPr="00C6024C">
        <w:rPr>
          <w:rFonts w:eastAsiaTheme="majorEastAsia" w:cs="Arial"/>
          <w:sz w:val="22"/>
          <w:szCs w:val="22"/>
        </w:rPr>
        <w:t>Global Prevalence of Hypertension</w:t>
      </w:r>
      <w:bookmarkEnd w:id="10"/>
    </w:p>
    <w:p w14:paraId="1D19CF6A" w14:textId="66D240E4"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Hypertension is a major global public health problem, affecting over 1.</w:t>
      </w:r>
      <w:r w:rsidR="003A1313" w:rsidRPr="00C6024C">
        <w:rPr>
          <w:rFonts w:ascii="Arial" w:hAnsi="Arial" w:cs="Arial"/>
          <w:sz w:val="22"/>
          <w:szCs w:val="22"/>
        </w:rPr>
        <w:t>4</w:t>
      </w:r>
      <w:r w:rsidRPr="00C6024C">
        <w:rPr>
          <w:rFonts w:ascii="Arial" w:hAnsi="Arial" w:cs="Arial"/>
          <w:sz w:val="22"/>
          <w:szCs w:val="22"/>
        </w:rPr>
        <w:t xml:space="preserve"> billion adults worldwide</w:t>
      </w:r>
      <w:r w:rsidR="00DA53C6" w:rsidRPr="00C6024C">
        <w:rPr>
          <w:rFonts w:ascii="Arial" w:hAnsi="Arial" w:cs="Arial"/>
          <w:sz w:val="22"/>
          <w:szCs w:val="22"/>
        </w:rPr>
        <w:t xml:space="preserve"> (WHO, 2025)</w:t>
      </w:r>
      <w:r w:rsidRPr="00C6024C">
        <w:rPr>
          <w:rFonts w:ascii="Arial" w:hAnsi="Arial" w:cs="Arial"/>
          <w:sz w:val="22"/>
          <w:szCs w:val="22"/>
        </w:rPr>
        <w:t>. It is one of the leading risk factors for cardiovascular disease, stroke and premature mortality</w:t>
      </w:r>
      <w:r w:rsidR="005F5461" w:rsidRPr="00C6024C">
        <w:rPr>
          <w:rFonts w:ascii="Arial" w:hAnsi="Arial" w:cs="Arial"/>
          <w:sz w:val="22"/>
          <w:szCs w:val="22"/>
        </w:rPr>
        <w:t xml:space="preserve"> (WHO, 2025)</w:t>
      </w:r>
      <w:r w:rsidRPr="00C6024C">
        <w:rPr>
          <w:rFonts w:ascii="Arial" w:hAnsi="Arial" w:cs="Arial"/>
          <w:sz w:val="22"/>
          <w:szCs w:val="22"/>
        </w:rPr>
        <w:t>. A significant concern is that almost half of those affected are unaware of their condition due to the absence of symptoms and limited access to screening in some regions</w:t>
      </w:r>
      <w:r w:rsidR="005F5461" w:rsidRPr="00C6024C">
        <w:rPr>
          <w:rFonts w:ascii="Arial" w:hAnsi="Arial" w:cs="Arial"/>
          <w:sz w:val="22"/>
          <w:szCs w:val="22"/>
        </w:rPr>
        <w:t xml:space="preserve"> (Upadhyay, 2022)</w:t>
      </w:r>
      <w:r w:rsidRPr="00C6024C">
        <w:rPr>
          <w:rFonts w:ascii="Arial" w:hAnsi="Arial" w:cs="Arial"/>
          <w:sz w:val="22"/>
          <w:szCs w:val="22"/>
        </w:rPr>
        <w:t>. The global burden of hypertension is increasing, particularly in low- and middle-income countries, where urbanisation, unhealthy diets, physical inactivity and ageing populations have contributed to rising prevalence</w:t>
      </w:r>
      <w:r w:rsidR="005F5461" w:rsidRPr="00C6024C">
        <w:rPr>
          <w:rFonts w:ascii="Arial" w:hAnsi="Arial" w:cs="Arial"/>
          <w:sz w:val="22"/>
          <w:szCs w:val="22"/>
        </w:rPr>
        <w:t xml:space="preserve"> (Upadhyay, 2022)</w:t>
      </w:r>
      <w:r w:rsidRPr="00C6024C">
        <w:rPr>
          <w:rFonts w:ascii="Arial" w:hAnsi="Arial" w:cs="Arial"/>
          <w:sz w:val="22"/>
          <w:szCs w:val="22"/>
        </w:rPr>
        <w:t>.</w:t>
      </w:r>
    </w:p>
    <w:p w14:paraId="0236CE28" w14:textId="77777777" w:rsidR="00062109" w:rsidRPr="00C6024C" w:rsidRDefault="00062109" w:rsidP="00A565F4">
      <w:pPr>
        <w:pStyle w:val="Heading2"/>
        <w:rPr>
          <w:rFonts w:cs="Arial"/>
          <w:sz w:val="22"/>
          <w:szCs w:val="22"/>
        </w:rPr>
      </w:pPr>
      <w:bookmarkStart w:id="11" w:name="_Toc216957249"/>
      <w:r w:rsidRPr="00C6024C">
        <w:rPr>
          <w:rFonts w:eastAsiaTheme="majorEastAsia" w:cs="Arial"/>
          <w:sz w:val="22"/>
          <w:szCs w:val="22"/>
        </w:rPr>
        <w:t>UK Prevalence of Hypertension</w:t>
      </w:r>
      <w:bookmarkEnd w:id="11"/>
    </w:p>
    <w:p w14:paraId="47BF8076" w14:textId="3C46F7B4"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In the UK, hypertension affects approximately 31% of the adult population, making it one of the most common long-term health conditions</w:t>
      </w:r>
      <w:r w:rsidR="005F37B7" w:rsidRPr="00C6024C">
        <w:rPr>
          <w:rFonts w:ascii="Arial" w:hAnsi="Arial" w:cs="Arial"/>
          <w:sz w:val="22"/>
          <w:szCs w:val="22"/>
        </w:rPr>
        <w:t xml:space="preserve"> (NHS England Digital, 2023)</w:t>
      </w:r>
      <w:r w:rsidRPr="00C6024C">
        <w:rPr>
          <w:rFonts w:ascii="Arial" w:hAnsi="Arial" w:cs="Arial"/>
          <w:sz w:val="22"/>
          <w:szCs w:val="22"/>
        </w:rPr>
        <w:t>. Prevalence increases with age and is higher among men, people living in deprived areas and certain ethnic minority groups, including South Asian and Black Caribbean communities</w:t>
      </w:r>
      <w:r w:rsidR="005F5461" w:rsidRPr="00C6024C">
        <w:rPr>
          <w:rFonts w:ascii="Arial" w:hAnsi="Arial" w:cs="Arial"/>
          <w:sz w:val="22"/>
          <w:szCs w:val="22"/>
        </w:rPr>
        <w:t xml:space="preserve"> (Pinto et al, 2024)</w:t>
      </w:r>
      <w:r w:rsidRPr="00C6024C">
        <w:rPr>
          <w:rFonts w:ascii="Arial" w:hAnsi="Arial" w:cs="Arial"/>
          <w:sz w:val="22"/>
          <w:szCs w:val="22"/>
        </w:rPr>
        <w:t>. Many individuals remain undiagnosed or poorly controlled, increasing the risk of heart disease and stroke. Urban areas such as Birmingham show higher-than-average prevalence, reflecting socioeconomic and lifestyle influences</w:t>
      </w:r>
      <w:r w:rsidR="005F5461" w:rsidRPr="00C6024C">
        <w:rPr>
          <w:rFonts w:ascii="Arial" w:hAnsi="Arial" w:cs="Arial"/>
          <w:sz w:val="22"/>
          <w:szCs w:val="22"/>
        </w:rPr>
        <w:t xml:space="preserve"> (Pinto et al, 2024)</w:t>
      </w:r>
      <w:r w:rsidRPr="00C6024C">
        <w:rPr>
          <w:rFonts w:ascii="Arial" w:hAnsi="Arial" w:cs="Arial"/>
          <w:sz w:val="22"/>
          <w:szCs w:val="22"/>
        </w:rPr>
        <w:t>.</w:t>
      </w:r>
    </w:p>
    <w:p w14:paraId="189FE24F" w14:textId="77777777" w:rsidR="00062109" w:rsidRPr="00C6024C" w:rsidRDefault="00062109" w:rsidP="00A565F4">
      <w:pPr>
        <w:pStyle w:val="Heading2"/>
        <w:rPr>
          <w:rFonts w:cs="Arial"/>
          <w:sz w:val="22"/>
          <w:szCs w:val="22"/>
        </w:rPr>
      </w:pPr>
      <w:bookmarkStart w:id="12" w:name="_Toc216957250"/>
      <w:r w:rsidRPr="00C6024C">
        <w:rPr>
          <w:rFonts w:cs="Arial"/>
          <w:sz w:val="22"/>
          <w:szCs w:val="22"/>
        </w:rPr>
        <w:t>Public Health Measures and the 3 P’s</w:t>
      </w:r>
      <w:bookmarkEnd w:id="12"/>
    </w:p>
    <w:p w14:paraId="48B9BC27" w14:textId="77777777"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Public health responses to hypertension in Birmingham follow the 3 P’s framework: prevention, protection and promotion.</w:t>
      </w:r>
    </w:p>
    <w:p w14:paraId="1873FAA3" w14:textId="16549747"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 xml:space="preserve">Prevention strategies include NHS Health Checks offered to adults aged 40–74 to identify hypertension early. Primary prevention aims to reduce risk factors such as obesity, smoking </w:t>
      </w:r>
      <w:r w:rsidRPr="00C6024C">
        <w:rPr>
          <w:rFonts w:ascii="Arial" w:hAnsi="Arial" w:cs="Arial"/>
          <w:sz w:val="22"/>
          <w:szCs w:val="22"/>
        </w:rPr>
        <w:lastRenderedPageBreak/>
        <w:t>and poor diet through lifestyle advice. Secondary prevention focuses on early diagnosis and treatment to prevent complications</w:t>
      </w:r>
      <w:r w:rsidR="000142D7" w:rsidRPr="00C6024C">
        <w:rPr>
          <w:rFonts w:ascii="Arial" w:hAnsi="Arial" w:cs="Arial"/>
          <w:sz w:val="22"/>
          <w:szCs w:val="22"/>
        </w:rPr>
        <w:t xml:space="preserve"> (Kotseva et al, 2024)</w:t>
      </w:r>
      <w:r w:rsidRPr="00C6024C">
        <w:rPr>
          <w:rFonts w:ascii="Arial" w:hAnsi="Arial" w:cs="Arial"/>
          <w:sz w:val="22"/>
          <w:szCs w:val="22"/>
        </w:rPr>
        <w:t>.</w:t>
      </w:r>
    </w:p>
    <w:p w14:paraId="34630A38" w14:textId="2B1068EF"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Protection involves clinical management through GP services, including antihypertensive medication, regular blood pressure monitoring and management of co-morbidities</w:t>
      </w:r>
      <w:r w:rsidR="007B0846" w:rsidRPr="00C6024C">
        <w:rPr>
          <w:rFonts w:ascii="Arial" w:hAnsi="Arial" w:cs="Arial"/>
          <w:sz w:val="22"/>
          <w:szCs w:val="22"/>
        </w:rPr>
        <w:t xml:space="preserve"> (Pinto et al, 2024)</w:t>
      </w:r>
      <w:r w:rsidRPr="00C6024C">
        <w:rPr>
          <w:rFonts w:ascii="Arial" w:hAnsi="Arial" w:cs="Arial"/>
          <w:sz w:val="22"/>
          <w:szCs w:val="22"/>
        </w:rPr>
        <w:t xml:space="preserve">. National clinical guidelines from NICE ensure evidence-based treatment, while </w:t>
      </w:r>
      <w:r w:rsidR="00A565F4" w:rsidRPr="00C6024C">
        <w:rPr>
          <w:rFonts w:ascii="Arial" w:hAnsi="Arial" w:cs="Arial"/>
          <w:sz w:val="22"/>
          <w:szCs w:val="22"/>
        </w:rPr>
        <w:t xml:space="preserve">the </w:t>
      </w:r>
      <w:r w:rsidRPr="00C6024C">
        <w:rPr>
          <w:rFonts w:ascii="Arial" w:hAnsi="Arial" w:cs="Arial"/>
          <w:sz w:val="22"/>
          <w:szCs w:val="22"/>
        </w:rPr>
        <w:t xml:space="preserve">Quality and Outcomes Framework (QOF) </w:t>
      </w:r>
      <w:proofErr w:type="gramStart"/>
      <w:r w:rsidRPr="00C6024C">
        <w:rPr>
          <w:rFonts w:ascii="Arial" w:hAnsi="Arial" w:cs="Arial"/>
          <w:sz w:val="22"/>
          <w:szCs w:val="22"/>
        </w:rPr>
        <w:t>incentivises</w:t>
      </w:r>
      <w:proofErr w:type="gramEnd"/>
      <w:r w:rsidRPr="00C6024C">
        <w:rPr>
          <w:rFonts w:ascii="Arial" w:hAnsi="Arial" w:cs="Arial"/>
          <w:sz w:val="22"/>
          <w:szCs w:val="22"/>
        </w:rPr>
        <w:t xml:space="preserve"> GP practices to manage hypertension effectively</w:t>
      </w:r>
      <w:r w:rsidR="00B87D86" w:rsidRPr="00C6024C">
        <w:rPr>
          <w:rFonts w:ascii="Arial" w:hAnsi="Arial" w:cs="Arial"/>
          <w:sz w:val="22"/>
          <w:szCs w:val="22"/>
        </w:rPr>
        <w:t xml:space="preserve"> </w:t>
      </w:r>
      <w:r w:rsidR="005F5461" w:rsidRPr="00C6024C">
        <w:rPr>
          <w:rFonts w:ascii="Arial" w:hAnsi="Arial" w:cs="Arial"/>
          <w:sz w:val="22"/>
          <w:szCs w:val="22"/>
        </w:rPr>
        <w:t>(</w:t>
      </w:r>
      <w:r w:rsidR="00B87D86" w:rsidRPr="00C6024C">
        <w:rPr>
          <w:rFonts w:ascii="Arial" w:hAnsi="Arial" w:cs="Arial"/>
          <w:sz w:val="22"/>
          <w:szCs w:val="22"/>
        </w:rPr>
        <w:t>Pinto et al, 2024)</w:t>
      </w:r>
      <w:r w:rsidRPr="00C6024C">
        <w:rPr>
          <w:rFonts w:ascii="Arial" w:hAnsi="Arial" w:cs="Arial"/>
          <w:sz w:val="22"/>
          <w:szCs w:val="22"/>
        </w:rPr>
        <w:t>.</w:t>
      </w:r>
    </w:p>
    <w:p w14:paraId="568BD95D" w14:textId="4A7B5DDE"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Promotion includes public health campaigns encouraging healthier lifestyles, reduced salt intake and increased physical activity. Birmingham City Council supports local initiatives such as community exercise programmes and culturally tailored health education, particularly in high-risk communities</w:t>
      </w:r>
      <w:r w:rsidR="00A53A5C" w:rsidRPr="00C6024C">
        <w:rPr>
          <w:rFonts w:ascii="Arial" w:hAnsi="Arial" w:cs="Arial"/>
          <w:sz w:val="22"/>
          <w:szCs w:val="22"/>
        </w:rPr>
        <w:t xml:space="preserve"> (Kotseva et al, 2024)</w:t>
      </w:r>
      <w:r w:rsidRPr="00C6024C">
        <w:rPr>
          <w:rFonts w:ascii="Arial" w:hAnsi="Arial" w:cs="Arial"/>
          <w:sz w:val="22"/>
          <w:szCs w:val="22"/>
        </w:rPr>
        <w:t>.</w:t>
      </w:r>
    </w:p>
    <w:p w14:paraId="53835D73" w14:textId="77777777" w:rsidR="00062109" w:rsidRPr="00C6024C" w:rsidRDefault="00062109" w:rsidP="00A565F4">
      <w:pPr>
        <w:pStyle w:val="Heading2"/>
        <w:rPr>
          <w:rFonts w:cs="Arial"/>
          <w:sz w:val="22"/>
          <w:szCs w:val="22"/>
        </w:rPr>
      </w:pPr>
      <w:bookmarkStart w:id="13" w:name="_Toc216957251"/>
      <w:r w:rsidRPr="00C6024C">
        <w:rPr>
          <w:rFonts w:eastAsiaTheme="majorEastAsia" w:cs="Arial"/>
          <w:sz w:val="22"/>
          <w:szCs w:val="22"/>
        </w:rPr>
        <w:t>Key Determinants and Risk Factors of Hypertension</w:t>
      </w:r>
      <w:bookmarkEnd w:id="13"/>
    </w:p>
    <w:p w14:paraId="71A4EEF3" w14:textId="77777777"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Hypertension is caused by a complex interaction of biological, behavioural, social and environmental factors. Key determinants that increase the risk of developing hypertension include:</w:t>
      </w:r>
    </w:p>
    <w:p w14:paraId="5F6FC8E0" w14:textId="6709C1B3" w:rsidR="00062109" w:rsidRPr="00C6024C" w:rsidRDefault="00062109" w:rsidP="00A565F4">
      <w:pPr>
        <w:numPr>
          <w:ilvl w:val="0"/>
          <w:numId w:val="1"/>
        </w:numPr>
        <w:spacing w:line="360" w:lineRule="auto"/>
        <w:jc w:val="both"/>
        <w:rPr>
          <w:rFonts w:ascii="Arial" w:hAnsi="Arial" w:cs="Arial"/>
          <w:sz w:val="22"/>
          <w:szCs w:val="22"/>
        </w:rPr>
      </w:pPr>
      <w:r w:rsidRPr="00C6024C">
        <w:rPr>
          <w:rFonts w:ascii="Arial" w:hAnsi="Arial" w:cs="Arial"/>
          <w:b/>
          <w:bCs/>
          <w:sz w:val="22"/>
          <w:szCs w:val="22"/>
        </w:rPr>
        <w:t>Age:</w:t>
      </w:r>
      <w:r w:rsidRPr="00C6024C">
        <w:rPr>
          <w:rFonts w:ascii="Arial" w:hAnsi="Arial" w:cs="Arial"/>
          <w:sz w:val="22"/>
          <w:szCs w:val="22"/>
        </w:rPr>
        <w:t xml:space="preserve"> Risk increases significantly after the age of 40 due to reduced elasticity of blood vessels and age-related physiological changes</w:t>
      </w:r>
      <w:r w:rsidR="00412BA6" w:rsidRPr="00C6024C">
        <w:rPr>
          <w:rFonts w:ascii="Arial" w:hAnsi="Arial" w:cs="Arial"/>
          <w:sz w:val="22"/>
          <w:szCs w:val="22"/>
        </w:rPr>
        <w:t xml:space="preserve"> (Meher et al, 2023)</w:t>
      </w:r>
      <w:r w:rsidRPr="00C6024C">
        <w:rPr>
          <w:rFonts w:ascii="Arial" w:hAnsi="Arial" w:cs="Arial"/>
          <w:sz w:val="22"/>
          <w:szCs w:val="22"/>
        </w:rPr>
        <w:t>.</w:t>
      </w:r>
    </w:p>
    <w:p w14:paraId="5E7A2917" w14:textId="5E2B3EA8" w:rsidR="00062109" w:rsidRPr="00C6024C" w:rsidRDefault="00062109" w:rsidP="00A565F4">
      <w:pPr>
        <w:numPr>
          <w:ilvl w:val="0"/>
          <w:numId w:val="1"/>
        </w:numPr>
        <w:spacing w:line="360" w:lineRule="auto"/>
        <w:jc w:val="both"/>
        <w:rPr>
          <w:rFonts w:ascii="Arial" w:hAnsi="Arial" w:cs="Arial"/>
          <w:sz w:val="22"/>
          <w:szCs w:val="22"/>
        </w:rPr>
      </w:pPr>
      <w:r w:rsidRPr="00C6024C">
        <w:rPr>
          <w:rFonts w:ascii="Arial" w:hAnsi="Arial" w:cs="Arial"/>
          <w:b/>
          <w:bCs/>
          <w:sz w:val="22"/>
          <w:szCs w:val="22"/>
        </w:rPr>
        <w:t>Ethnicity:</w:t>
      </w:r>
      <w:r w:rsidRPr="00C6024C">
        <w:rPr>
          <w:rFonts w:ascii="Arial" w:hAnsi="Arial" w:cs="Arial"/>
          <w:sz w:val="22"/>
          <w:szCs w:val="22"/>
        </w:rPr>
        <w:t xml:space="preserve"> People of African and South Asian heritage have </w:t>
      </w:r>
      <w:r w:rsidR="005240B3" w:rsidRPr="00C6024C">
        <w:rPr>
          <w:rFonts w:ascii="Arial" w:hAnsi="Arial" w:cs="Arial"/>
          <w:sz w:val="22"/>
          <w:szCs w:val="22"/>
        </w:rPr>
        <w:t xml:space="preserve">a </w:t>
      </w:r>
      <w:r w:rsidRPr="00C6024C">
        <w:rPr>
          <w:rFonts w:ascii="Arial" w:hAnsi="Arial" w:cs="Arial"/>
          <w:sz w:val="22"/>
          <w:szCs w:val="22"/>
        </w:rPr>
        <w:t>higher prevalence and tend to develop hypertension at a younger age</w:t>
      </w:r>
      <w:r w:rsidR="005240B3" w:rsidRPr="00C6024C">
        <w:rPr>
          <w:rFonts w:ascii="Arial" w:hAnsi="Arial" w:cs="Arial"/>
          <w:sz w:val="22"/>
          <w:szCs w:val="22"/>
        </w:rPr>
        <w:t xml:space="preserve"> (Lopes et al, 2021)</w:t>
      </w:r>
      <w:r w:rsidRPr="00C6024C">
        <w:rPr>
          <w:rFonts w:ascii="Arial" w:hAnsi="Arial" w:cs="Arial"/>
          <w:sz w:val="22"/>
          <w:szCs w:val="22"/>
        </w:rPr>
        <w:t>.</w:t>
      </w:r>
    </w:p>
    <w:p w14:paraId="0F8750E4" w14:textId="256E37B6" w:rsidR="00062109" w:rsidRPr="00C6024C" w:rsidRDefault="00062109" w:rsidP="00A565F4">
      <w:pPr>
        <w:numPr>
          <w:ilvl w:val="0"/>
          <w:numId w:val="1"/>
        </w:numPr>
        <w:spacing w:line="360" w:lineRule="auto"/>
        <w:jc w:val="both"/>
        <w:rPr>
          <w:rFonts w:ascii="Arial" w:hAnsi="Arial" w:cs="Arial"/>
          <w:sz w:val="22"/>
          <w:szCs w:val="22"/>
        </w:rPr>
      </w:pPr>
      <w:r w:rsidRPr="00C6024C">
        <w:rPr>
          <w:rFonts w:ascii="Arial" w:hAnsi="Arial" w:cs="Arial"/>
          <w:b/>
          <w:bCs/>
          <w:sz w:val="22"/>
          <w:szCs w:val="22"/>
        </w:rPr>
        <w:t>Diet:</w:t>
      </w:r>
      <w:r w:rsidRPr="00C6024C">
        <w:rPr>
          <w:rFonts w:ascii="Arial" w:hAnsi="Arial" w:cs="Arial"/>
          <w:sz w:val="22"/>
          <w:szCs w:val="22"/>
        </w:rPr>
        <w:t xml:space="preserve"> High salt intake, diets rich in saturated fats and low consumption of fruit and vegetables increase blood pressure levels</w:t>
      </w:r>
      <w:r w:rsidR="00244A15" w:rsidRPr="00C6024C">
        <w:rPr>
          <w:rFonts w:ascii="Arial" w:hAnsi="Arial" w:cs="Arial"/>
          <w:sz w:val="22"/>
          <w:szCs w:val="22"/>
        </w:rPr>
        <w:t xml:space="preserve"> (Meher et al, 2023)</w:t>
      </w:r>
      <w:r w:rsidRPr="00C6024C">
        <w:rPr>
          <w:rFonts w:ascii="Arial" w:hAnsi="Arial" w:cs="Arial"/>
          <w:sz w:val="22"/>
          <w:szCs w:val="22"/>
        </w:rPr>
        <w:t>.</w:t>
      </w:r>
    </w:p>
    <w:p w14:paraId="55370621" w14:textId="3A99AA63" w:rsidR="00062109" w:rsidRPr="00C6024C" w:rsidRDefault="00062109" w:rsidP="00A565F4">
      <w:pPr>
        <w:numPr>
          <w:ilvl w:val="0"/>
          <w:numId w:val="1"/>
        </w:numPr>
        <w:spacing w:line="360" w:lineRule="auto"/>
        <w:jc w:val="both"/>
        <w:rPr>
          <w:rFonts w:ascii="Arial" w:hAnsi="Arial" w:cs="Arial"/>
          <w:sz w:val="22"/>
          <w:szCs w:val="22"/>
        </w:rPr>
      </w:pPr>
      <w:r w:rsidRPr="00C6024C">
        <w:rPr>
          <w:rFonts w:ascii="Arial" w:hAnsi="Arial" w:cs="Arial"/>
          <w:b/>
          <w:bCs/>
          <w:sz w:val="22"/>
          <w:szCs w:val="22"/>
        </w:rPr>
        <w:t>Physical Inactivity:</w:t>
      </w:r>
      <w:r w:rsidRPr="00C6024C">
        <w:rPr>
          <w:rFonts w:ascii="Arial" w:hAnsi="Arial" w:cs="Arial"/>
          <w:sz w:val="22"/>
          <w:szCs w:val="22"/>
        </w:rPr>
        <w:t xml:space="preserve"> Sedentary lifestyles contribute to weight gain and poor cardiovascular health</w:t>
      </w:r>
      <w:r w:rsidR="00244A15" w:rsidRPr="00C6024C">
        <w:rPr>
          <w:rFonts w:ascii="Arial" w:hAnsi="Arial" w:cs="Arial"/>
          <w:sz w:val="22"/>
          <w:szCs w:val="22"/>
        </w:rPr>
        <w:t xml:space="preserve"> (Lopes et al, 2021).</w:t>
      </w:r>
    </w:p>
    <w:p w14:paraId="3AF30EE2" w14:textId="1242561C" w:rsidR="00062109" w:rsidRPr="00C6024C" w:rsidRDefault="00062109" w:rsidP="00A565F4">
      <w:pPr>
        <w:numPr>
          <w:ilvl w:val="0"/>
          <w:numId w:val="1"/>
        </w:numPr>
        <w:spacing w:line="360" w:lineRule="auto"/>
        <w:jc w:val="both"/>
        <w:rPr>
          <w:rFonts w:ascii="Arial" w:hAnsi="Arial" w:cs="Arial"/>
          <w:sz w:val="22"/>
          <w:szCs w:val="22"/>
        </w:rPr>
      </w:pPr>
      <w:r w:rsidRPr="00C6024C">
        <w:rPr>
          <w:rFonts w:ascii="Arial" w:hAnsi="Arial" w:cs="Arial"/>
          <w:b/>
          <w:bCs/>
          <w:sz w:val="22"/>
          <w:szCs w:val="22"/>
        </w:rPr>
        <w:t>Obesity:</w:t>
      </w:r>
      <w:r w:rsidRPr="00C6024C">
        <w:rPr>
          <w:rFonts w:ascii="Arial" w:hAnsi="Arial" w:cs="Arial"/>
          <w:sz w:val="22"/>
          <w:szCs w:val="22"/>
        </w:rPr>
        <w:t xml:space="preserve"> Excess body weight is one of the strongest predictors of hypertension</w:t>
      </w:r>
      <w:r w:rsidR="00244A15" w:rsidRPr="00C6024C">
        <w:rPr>
          <w:rFonts w:ascii="Arial" w:hAnsi="Arial" w:cs="Arial"/>
          <w:sz w:val="22"/>
          <w:szCs w:val="22"/>
        </w:rPr>
        <w:t xml:space="preserve"> (Lopes et al, 2021).</w:t>
      </w:r>
    </w:p>
    <w:p w14:paraId="198EC759" w14:textId="32D75BFD" w:rsidR="00062109" w:rsidRPr="00C6024C" w:rsidRDefault="00062109" w:rsidP="00A565F4">
      <w:pPr>
        <w:numPr>
          <w:ilvl w:val="0"/>
          <w:numId w:val="1"/>
        </w:numPr>
        <w:spacing w:line="360" w:lineRule="auto"/>
        <w:jc w:val="both"/>
        <w:rPr>
          <w:rFonts w:ascii="Arial" w:hAnsi="Arial" w:cs="Arial"/>
          <w:sz w:val="22"/>
          <w:szCs w:val="22"/>
        </w:rPr>
      </w:pPr>
      <w:r w:rsidRPr="00C6024C">
        <w:rPr>
          <w:rFonts w:ascii="Arial" w:hAnsi="Arial" w:cs="Arial"/>
          <w:b/>
          <w:bCs/>
          <w:sz w:val="22"/>
          <w:szCs w:val="22"/>
        </w:rPr>
        <w:t>Smoking and Alcohol:</w:t>
      </w:r>
      <w:r w:rsidRPr="00C6024C">
        <w:rPr>
          <w:rFonts w:ascii="Arial" w:hAnsi="Arial" w:cs="Arial"/>
          <w:sz w:val="22"/>
          <w:szCs w:val="22"/>
        </w:rPr>
        <w:t xml:space="preserve"> Tobacco use and excessive alcohol consumption raise blood pressure and damage blood vessels</w:t>
      </w:r>
      <w:r w:rsidR="00244A15" w:rsidRPr="00C6024C">
        <w:rPr>
          <w:rFonts w:ascii="Arial" w:hAnsi="Arial" w:cs="Arial"/>
          <w:sz w:val="22"/>
          <w:szCs w:val="22"/>
        </w:rPr>
        <w:t xml:space="preserve"> (Meher et al, 2023)</w:t>
      </w:r>
      <w:r w:rsidRPr="00C6024C">
        <w:rPr>
          <w:rFonts w:ascii="Arial" w:hAnsi="Arial" w:cs="Arial"/>
          <w:sz w:val="22"/>
          <w:szCs w:val="22"/>
        </w:rPr>
        <w:t>.</w:t>
      </w:r>
    </w:p>
    <w:p w14:paraId="1582739B" w14:textId="22C40DAD" w:rsidR="00062109" w:rsidRPr="00C6024C" w:rsidRDefault="00062109" w:rsidP="00A565F4">
      <w:pPr>
        <w:numPr>
          <w:ilvl w:val="0"/>
          <w:numId w:val="1"/>
        </w:numPr>
        <w:spacing w:line="360" w:lineRule="auto"/>
        <w:jc w:val="both"/>
        <w:rPr>
          <w:rFonts w:ascii="Arial" w:hAnsi="Arial" w:cs="Arial"/>
          <w:sz w:val="22"/>
          <w:szCs w:val="22"/>
        </w:rPr>
      </w:pPr>
      <w:r w:rsidRPr="00C6024C">
        <w:rPr>
          <w:rFonts w:ascii="Arial" w:hAnsi="Arial" w:cs="Arial"/>
          <w:b/>
          <w:bCs/>
          <w:sz w:val="22"/>
          <w:szCs w:val="22"/>
        </w:rPr>
        <w:t>Socioeconomic Factors:</w:t>
      </w:r>
      <w:r w:rsidRPr="00C6024C">
        <w:rPr>
          <w:rFonts w:ascii="Arial" w:hAnsi="Arial" w:cs="Arial"/>
          <w:sz w:val="22"/>
          <w:szCs w:val="22"/>
        </w:rPr>
        <w:t xml:space="preserve"> Deprivation, low income, poor housing</w:t>
      </w:r>
      <w:r w:rsidR="00244A15" w:rsidRPr="00C6024C">
        <w:rPr>
          <w:rFonts w:ascii="Arial" w:hAnsi="Arial" w:cs="Arial"/>
          <w:sz w:val="22"/>
          <w:szCs w:val="22"/>
        </w:rPr>
        <w:t>,</w:t>
      </w:r>
      <w:r w:rsidRPr="00C6024C">
        <w:rPr>
          <w:rFonts w:ascii="Arial" w:hAnsi="Arial" w:cs="Arial"/>
          <w:sz w:val="22"/>
          <w:szCs w:val="22"/>
        </w:rPr>
        <w:t xml:space="preserve"> and limited access to healthy food increase risk and reduce engagement with healthcare services</w:t>
      </w:r>
      <w:r w:rsidR="00244A15" w:rsidRPr="00C6024C">
        <w:rPr>
          <w:rFonts w:ascii="Arial" w:hAnsi="Arial" w:cs="Arial"/>
          <w:sz w:val="22"/>
          <w:szCs w:val="22"/>
        </w:rPr>
        <w:t xml:space="preserve"> (Lopes et al, 2021).</w:t>
      </w:r>
    </w:p>
    <w:p w14:paraId="48153C08" w14:textId="77777777" w:rsidR="00062109" w:rsidRPr="00C6024C" w:rsidRDefault="00062109" w:rsidP="00A565F4">
      <w:pPr>
        <w:pStyle w:val="Heading2"/>
        <w:rPr>
          <w:rFonts w:cs="Arial"/>
          <w:sz w:val="22"/>
          <w:szCs w:val="22"/>
        </w:rPr>
      </w:pPr>
      <w:bookmarkStart w:id="14" w:name="_Toc216957252"/>
      <w:r w:rsidRPr="00C6024C">
        <w:rPr>
          <w:rFonts w:cs="Arial"/>
          <w:sz w:val="22"/>
          <w:szCs w:val="22"/>
        </w:rPr>
        <w:lastRenderedPageBreak/>
        <w:t>Epidemiological Studies and Health Needs Assessment</w:t>
      </w:r>
      <w:bookmarkEnd w:id="14"/>
    </w:p>
    <w:p w14:paraId="1518FCCC" w14:textId="730566EA" w:rsidR="00062109" w:rsidRPr="00C6024C" w:rsidRDefault="00062109" w:rsidP="00A565F4">
      <w:pPr>
        <w:spacing w:line="360" w:lineRule="auto"/>
        <w:jc w:val="both"/>
        <w:rPr>
          <w:rFonts w:ascii="Arial" w:hAnsi="Arial" w:cs="Arial"/>
          <w:sz w:val="22"/>
          <w:szCs w:val="22"/>
        </w:rPr>
      </w:pPr>
      <w:r w:rsidRPr="00C6024C">
        <w:rPr>
          <w:rFonts w:ascii="Arial" w:hAnsi="Arial" w:cs="Arial"/>
          <w:b/>
          <w:bCs/>
          <w:sz w:val="22"/>
          <w:szCs w:val="22"/>
        </w:rPr>
        <w:t>Epidemiological Studies</w:t>
      </w:r>
      <w:r w:rsidR="00A565F4" w:rsidRPr="00C6024C">
        <w:rPr>
          <w:rFonts w:ascii="Arial" w:hAnsi="Arial" w:cs="Arial"/>
          <w:sz w:val="22"/>
          <w:szCs w:val="22"/>
        </w:rPr>
        <w:t xml:space="preserve">: </w:t>
      </w:r>
      <w:r w:rsidRPr="00C6024C">
        <w:rPr>
          <w:rFonts w:ascii="Arial" w:hAnsi="Arial" w:cs="Arial"/>
          <w:sz w:val="22"/>
          <w:szCs w:val="22"/>
        </w:rPr>
        <w:t>Epidemiological studies conducted in urban areas across the UK indicate that hypertension is frequently underdiagnosed, particularly among younger adults and people from minority ethnic backgrounds</w:t>
      </w:r>
      <w:r w:rsidR="00C222D1" w:rsidRPr="00C6024C">
        <w:rPr>
          <w:rFonts w:ascii="Arial" w:hAnsi="Arial" w:cs="Arial"/>
          <w:sz w:val="22"/>
          <w:szCs w:val="22"/>
        </w:rPr>
        <w:t xml:space="preserve"> (Hibino et al, 2022)</w:t>
      </w:r>
      <w:r w:rsidRPr="00C6024C">
        <w:rPr>
          <w:rFonts w:ascii="Arial" w:hAnsi="Arial" w:cs="Arial"/>
          <w:sz w:val="22"/>
          <w:szCs w:val="22"/>
        </w:rPr>
        <w:t>. Evidence from GP registers and Public Health England data suggests that a significant proportion of adults in Birmingham are living with undiagnosed hypertension</w:t>
      </w:r>
      <w:r w:rsidR="00A83D56" w:rsidRPr="00C6024C">
        <w:rPr>
          <w:rFonts w:ascii="Arial" w:hAnsi="Arial" w:cs="Arial"/>
          <w:sz w:val="22"/>
          <w:szCs w:val="22"/>
        </w:rPr>
        <w:t xml:space="preserve"> (Zekavat et al, 2021)</w:t>
      </w:r>
      <w:r w:rsidRPr="00C6024C">
        <w:rPr>
          <w:rFonts w:ascii="Arial" w:hAnsi="Arial" w:cs="Arial"/>
          <w:sz w:val="22"/>
          <w:szCs w:val="22"/>
        </w:rPr>
        <w:t>. This underdiagnosis is often linked to the asymptomatic nature of the condition, low engagement with primary care services and limited uptake of routine blood pressure screening, increasing the risk of preventable complications such as stroke and heart disease</w:t>
      </w:r>
      <w:r w:rsidR="004B3B11" w:rsidRPr="00C6024C">
        <w:rPr>
          <w:rFonts w:ascii="Arial" w:hAnsi="Arial" w:cs="Arial"/>
          <w:sz w:val="22"/>
          <w:szCs w:val="22"/>
        </w:rPr>
        <w:t xml:space="preserve"> (Hibino et al, 2022)</w:t>
      </w:r>
      <w:r w:rsidRPr="00C6024C">
        <w:rPr>
          <w:rFonts w:ascii="Arial" w:hAnsi="Arial" w:cs="Arial"/>
          <w:sz w:val="22"/>
          <w:szCs w:val="22"/>
        </w:rPr>
        <w:t>.</w:t>
      </w:r>
    </w:p>
    <w:p w14:paraId="6C86DBE1" w14:textId="208BE764" w:rsidR="00062109" w:rsidRPr="00C6024C" w:rsidRDefault="00062109" w:rsidP="00A565F4">
      <w:pPr>
        <w:spacing w:line="360" w:lineRule="auto"/>
        <w:jc w:val="both"/>
        <w:rPr>
          <w:rFonts w:ascii="Arial" w:hAnsi="Arial" w:cs="Arial"/>
          <w:sz w:val="22"/>
          <w:szCs w:val="22"/>
        </w:rPr>
      </w:pPr>
      <w:r w:rsidRPr="00C6024C">
        <w:rPr>
          <w:rFonts w:ascii="Arial" w:hAnsi="Arial" w:cs="Arial"/>
          <w:b/>
          <w:bCs/>
          <w:sz w:val="22"/>
          <w:szCs w:val="22"/>
        </w:rPr>
        <w:t>Health Needs Assessment</w:t>
      </w:r>
      <w:r w:rsidR="00A565F4" w:rsidRPr="00C6024C">
        <w:rPr>
          <w:rFonts w:ascii="Arial" w:hAnsi="Arial" w:cs="Arial"/>
          <w:sz w:val="22"/>
          <w:szCs w:val="22"/>
        </w:rPr>
        <w:t xml:space="preserve">: </w:t>
      </w:r>
      <w:r w:rsidRPr="00C6024C">
        <w:rPr>
          <w:rFonts w:ascii="Arial" w:hAnsi="Arial" w:cs="Arial"/>
          <w:sz w:val="22"/>
          <w:szCs w:val="22"/>
        </w:rPr>
        <w:t>A local health needs assessment (HNA) identifies men aged 40–60, individuals of Black African and South Asian heritage, and residents of deprived wards as the groups most affected by hypertension in Birmingham</w:t>
      </w:r>
      <w:r w:rsidR="004B3B11" w:rsidRPr="00C6024C">
        <w:rPr>
          <w:rFonts w:ascii="Arial" w:hAnsi="Arial" w:cs="Arial"/>
          <w:sz w:val="22"/>
          <w:szCs w:val="22"/>
        </w:rPr>
        <w:t xml:space="preserve"> (Kulkarni et al, 2024)</w:t>
      </w:r>
      <w:r w:rsidRPr="00C6024C">
        <w:rPr>
          <w:rFonts w:ascii="Arial" w:hAnsi="Arial" w:cs="Arial"/>
          <w:sz w:val="22"/>
          <w:szCs w:val="22"/>
        </w:rPr>
        <w:t>. Key barriers include poor attendance at NHS Health Checks, language difficulties and mistrust of healthcare services. These findings highlight the need for targeted, culturally appropriate interventions that prioritise early detection and improved access to care</w:t>
      </w:r>
      <w:r w:rsidR="001D5F4C" w:rsidRPr="00C6024C">
        <w:rPr>
          <w:rFonts w:ascii="Arial" w:hAnsi="Arial" w:cs="Arial"/>
          <w:sz w:val="22"/>
          <w:szCs w:val="22"/>
        </w:rPr>
        <w:t xml:space="preserve"> (Kulkarni et al, 2024)</w:t>
      </w:r>
      <w:r w:rsidRPr="00C6024C">
        <w:rPr>
          <w:rFonts w:ascii="Arial" w:hAnsi="Arial" w:cs="Arial"/>
          <w:sz w:val="22"/>
          <w:szCs w:val="22"/>
        </w:rPr>
        <w:t>.</w:t>
      </w:r>
    </w:p>
    <w:p w14:paraId="36E1B45F" w14:textId="77777777" w:rsidR="00062109" w:rsidRPr="00C6024C" w:rsidRDefault="00062109" w:rsidP="00CF4C03">
      <w:pPr>
        <w:pStyle w:val="Heading2"/>
        <w:rPr>
          <w:rFonts w:cs="Arial"/>
          <w:sz w:val="22"/>
          <w:szCs w:val="22"/>
        </w:rPr>
      </w:pPr>
      <w:bookmarkStart w:id="15" w:name="_Toc216957253"/>
      <w:r w:rsidRPr="00C6024C">
        <w:rPr>
          <w:rFonts w:eastAsiaTheme="majorEastAsia" w:cs="Arial"/>
          <w:sz w:val="22"/>
          <w:szCs w:val="22"/>
        </w:rPr>
        <w:t>Monitoring and Surveillance Systems</w:t>
      </w:r>
      <w:bookmarkEnd w:id="15"/>
    </w:p>
    <w:p w14:paraId="0BD17D6D" w14:textId="4BE5CF5F"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 xml:space="preserve">A range of epidemiological surveillance systems </w:t>
      </w:r>
      <w:r w:rsidR="00CF4C03" w:rsidRPr="00C6024C">
        <w:rPr>
          <w:rFonts w:ascii="Arial" w:hAnsi="Arial" w:cs="Arial"/>
          <w:sz w:val="22"/>
          <w:szCs w:val="22"/>
        </w:rPr>
        <w:t>is</w:t>
      </w:r>
      <w:r w:rsidRPr="00C6024C">
        <w:rPr>
          <w:rFonts w:ascii="Arial" w:hAnsi="Arial" w:cs="Arial"/>
          <w:sz w:val="22"/>
          <w:szCs w:val="22"/>
        </w:rPr>
        <w:t xml:space="preserve"> used to monitor hypertension in Birmingham. Primary care data collected from GP practices play a key role by providing information on prevalence, diagnosis and treatment rates</w:t>
      </w:r>
      <w:r w:rsidR="006059FD" w:rsidRPr="00C6024C">
        <w:rPr>
          <w:rFonts w:ascii="Arial" w:hAnsi="Arial" w:cs="Arial"/>
          <w:sz w:val="22"/>
          <w:szCs w:val="22"/>
        </w:rPr>
        <w:t xml:space="preserve"> (Eastwood et al, 2023)</w:t>
      </w:r>
      <w:r w:rsidRPr="00C6024C">
        <w:rPr>
          <w:rFonts w:ascii="Arial" w:hAnsi="Arial" w:cs="Arial"/>
          <w:sz w:val="22"/>
          <w:szCs w:val="22"/>
        </w:rPr>
        <w:t xml:space="preserve">. The Quality and Outcomes Framework (QOF) </w:t>
      </w:r>
      <w:r w:rsidR="00724080" w:rsidRPr="00C6024C">
        <w:rPr>
          <w:rFonts w:ascii="Arial" w:hAnsi="Arial" w:cs="Arial"/>
          <w:sz w:val="22"/>
          <w:szCs w:val="22"/>
        </w:rPr>
        <w:t>allow</w:t>
      </w:r>
      <w:r w:rsidRPr="00C6024C">
        <w:rPr>
          <w:rFonts w:ascii="Arial" w:hAnsi="Arial" w:cs="Arial"/>
          <w:sz w:val="22"/>
          <w:szCs w:val="22"/>
        </w:rPr>
        <w:t xml:space="preserve"> comparisons between GP practices and helps identify variations in care and gaps in blood pressure management</w:t>
      </w:r>
      <w:r w:rsidR="00E8778F" w:rsidRPr="00C6024C">
        <w:rPr>
          <w:rFonts w:ascii="Arial" w:hAnsi="Arial" w:cs="Arial"/>
          <w:sz w:val="22"/>
          <w:szCs w:val="22"/>
        </w:rPr>
        <w:t xml:space="preserve"> (Macumber</w:t>
      </w:r>
      <w:r w:rsidR="00A7215B" w:rsidRPr="00C6024C">
        <w:rPr>
          <w:rFonts w:ascii="Arial" w:hAnsi="Arial" w:cs="Arial"/>
          <w:sz w:val="22"/>
          <w:szCs w:val="22"/>
        </w:rPr>
        <w:t xml:space="preserve"> </w:t>
      </w:r>
      <w:r w:rsidR="00E8778F" w:rsidRPr="00C6024C">
        <w:rPr>
          <w:rFonts w:ascii="Arial" w:hAnsi="Arial" w:cs="Arial"/>
          <w:sz w:val="22"/>
          <w:szCs w:val="22"/>
        </w:rPr>
        <w:t>and South, 2023)</w:t>
      </w:r>
      <w:r w:rsidRPr="00C6024C">
        <w:rPr>
          <w:rFonts w:ascii="Arial" w:hAnsi="Arial" w:cs="Arial"/>
          <w:sz w:val="22"/>
          <w:szCs w:val="22"/>
        </w:rPr>
        <w:t>. These data sources enable local public health teams to assess trends and target areas where detection or treatment is below expected levels</w:t>
      </w:r>
      <w:r w:rsidR="00724080" w:rsidRPr="00C6024C">
        <w:rPr>
          <w:rFonts w:ascii="Arial" w:hAnsi="Arial" w:cs="Arial"/>
          <w:sz w:val="22"/>
          <w:szCs w:val="22"/>
        </w:rPr>
        <w:t xml:space="preserve"> (Eastwood et al, 2023)</w:t>
      </w:r>
      <w:r w:rsidRPr="00C6024C">
        <w:rPr>
          <w:rFonts w:ascii="Arial" w:hAnsi="Arial" w:cs="Arial"/>
          <w:sz w:val="22"/>
          <w:szCs w:val="22"/>
        </w:rPr>
        <w:t>.</w:t>
      </w:r>
    </w:p>
    <w:p w14:paraId="7EC57B10" w14:textId="20DFB7CA"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The NHS Health Check programme functions as an active surveillance system by screening eligible adults for hypertension and other cardiovascular risk factors</w:t>
      </w:r>
      <w:r w:rsidR="00724080" w:rsidRPr="00C6024C">
        <w:rPr>
          <w:rFonts w:ascii="Arial" w:hAnsi="Arial" w:cs="Arial"/>
          <w:sz w:val="22"/>
          <w:szCs w:val="22"/>
        </w:rPr>
        <w:t xml:space="preserve"> (Macumber and South, 2023)</w:t>
      </w:r>
      <w:r w:rsidRPr="00C6024C">
        <w:rPr>
          <w:rFonts w:ascii="Arial" w:hAnsi="Arial" w:cs="Arial"/>
          <w:sz w:val="22"/>
          <w:szCs w:val="22"/>
        </w:rPr>
        <w:t>. In addition, population-based surveys such as the Health Survey for England provide national and regional trend data, while Hospital Episode Statistics (HES) monitor hypertension-related complications, including stroke and heart disease</w:t>
      </w:r>
      <w:r w:rsidR="00724080" w:rsidRPr="00C6024C">
        <w:rPr>
          <w:rFonts w:ascii="Arial" w:hAnsi="Arial" w:cs="Arial"/>
          <w:sz w:val="22"/>
          <w:szCs w:val="22"/>
        </w:rPr>
        <w:t xml:space="preserve"> (Eastwood et al, 2023)</w:t>
      </w:r>
      <w:r w:rsidRPr="00C6024C">
        <w:rPr>
          <w:rFonts w:ascii="Arial" w:hAnsi="Arial" w:cs="Arial"/>
          <w:sz w:val="22"/>
          <w:szCs w:val="22"/>
        </w:rPr>
        <w:t>. Together, these systems allow epidemiologists to track incidence, prevalence and outcomes, although limitations include underreporting and reliance on individuals accessing healthcare services</w:t>
      </w:r>
      <w:r w:rsidR="00724080" w:rsidRPr="00C6024C">
        <w:rPr>
          <w:rFonts w:ascii="Arial" w:hAnsi="Arial" w:cs="Arial"/>
          <w:sz w:val="22"/>
          <w:szCs w:val="22"/>
        </w:rPr>
        <w:t xml:space="preserve"> (Macumber and South, 2023)</w:t>
      </w:r>
      <w:r w:rsidRPr="00C6024C">
        <w:rPr>
          <w:rFonts w:ascii="Arial" w:hAnsi="Arial" w:cs="Arial"/>
          <w:sz w:val="22"/>
          <w:szCs w:val="22"/>
        </w:rPr>
        <w:t>.</w:t>
      </w:r>
    </w:p>
    <w:p w14:paraId="4A37B4F6" w14:textId="77777777" w:rsidR="008804E0" w:rsidRPr="00C6024C" w:rsidRDefault="008804E0" w:rsidP="00CF4C03">
      <w:pPr>
        <w:pStyle w:val="Heading2"/>
        <w:rPr>
          <w:rFonts w:cs="Arial"/>
          <w:sz w:val="22"/>
          <w:szCs w:val="22"/>
        </w:rPr>
      </w:pPr>
      <w:bookmarkStart w:id="16" w:name="_Toc216957254"/>
      <w:r w:rsidRPr="00C6024C">
        <w:rPr>
          <w:rFonts w:eastAsiaTheme="majorEastAsia" w:cs="Arial"/>
          <w:sz w:val="22"/>
          <w:szCs w:val="22"/>
        </w:rPr>
        <w:t>Planning and Assessing Public Health Impact of Hypertension</w:t>
      </w:r>
      <w:bookmarkEnd w:id="16"/>
    </w:p>
    <w:p w14:paraId="562612E4" w14:textId="48D96A97" w:rsidR="008804E0" w:rsidRPr="00C6024C" w:rsidRDefault="008804E0" w:rsidP="00A565F4">
      <w:pPr>
        <w:numPr>
          <w:ilvl w:val="0"/>
          <w:numId w:val="2"/>
        </w:numPr>
        <w:spacing w:line="360" w:lineRule="auto"/>
        <w:jc w:val="both"/>
        <w:rPr>
          <w:rFonts w:ascii="Arial" w:hAnsi="Arial" w:cs="Arial"/>
          <w:sz w:val="22"/>
          <w:szCs w:val="22"/>
        </w:rPr>
      </w:pPr>
      <w:r w:rsidRPr="00C6024C">
        <w:rPr>
          <w:rFonts w:ascii="Arial" w:hAnsi="Arial" w:cs="Arial"/>
          <w:b/>
          <w:bCs/>
          <w:sz w:val="22"/>
          <w:szCs w:val="22"/>
        </w:rPr>
        <w:t>Short-Term Impact:</w:t>
      </w:r>
      <w:r w:rsidRPr="00C6024C">
        <w:rPr>
          <w:rFonts w:ascii="Arial" w:hAnsi="Arial" w:cs="Arial"/>
          <w:sz w:val="22"/>
          <w:szCs w:val="22"/>
        </w:rPr>
        <w:t xml:space="preserve"> Hypertension leads to increased GP appointments, diagnostic testing and long-term medication use. Poorly controlled blood pressure raises the immediate risk </w:t>
      </w:r>
      <w:r w:rsidRPr="00C6024C">
        <w:rPr>
          <w:rFonts w:ascii="Arial" w:hAnsi="Arial" w:cs="Arial"/>
          <w:sz w:val="22"/>
          <w:szCs w:val="22"/>
        </w:rPr>
        <w:lastRenderedPageBreak/>
        <w:t>of cardiovascular events such as stroke and heart attacks, increasing pressure on primary and secondary healthcare services</w:t>
      </w:r>
      <w:r w:rsidR="00D75436" w:rsidRPr="00C6024C">
        <w:rPr>
          <w:rFonts w:ascii="Arial" w:hAnsi="Arial" w:cs="Arial"/>
          <w:sz w:val="22"/>
          <w:szCs w:val="22"/>
        </w:rPr>
        <w:t xml:space="preserve"> (Savedchuk et al, 2022)</w:t>
      </w:r>
      <w:r w:rsidRPr="00C6024C">
        <w:rPr>
          <w:rFonts w:ascii="Arial" w:hAnsi="Arial" w:cs="Arial"/>
          <w:sz w:val="22"/>
          <w:szCs w:val="22"/>
        </w:rPr>
        <w:t>.</w:t>
      </w:r>
    </w:p>
    <w:p w14:paraId="0DAF8DEC" w14:textId="6015420F" w:rsidR="008804E0" w:rsidRPr="00C6024C" w:rsidRDefault="008804E0" w:rsidP="00A565F4">
      <w:pPr>
        <w:numPr>
          <w:ilvl w:val="0"/>
          <w:numId w:val="2"/>
        </w:numPr>
        <w:spacing w:line="360" w:lineRule="auto"/>
        <w:jc w:val="both"/>
        <w:rPr>
          <w:rFonts w:ascii="Arial" w:hAnsi="Arial" w:cs="Arial"/>
          <w:sz w:val="22"/>
          <w:szCs w:val="22"/>
        </w:rPr>
      </w:pPr>
      <w:r w:rsidRPr="00C6024C">
        <w:rPr>
          <w:rFonts w:ascii="Arial" w:hAnsi="Arial" w:cs="Arial"/>
          <w:b/>
          <w:bCs/>
          <w:sz w:val="22"/>
          <w:szCs w:val="22"/>
        </w:rPr>
        <w:t>Long-Term Impact:</w:t>
      </w:r>
      <w:r w:rsidRPr="00C6024C">
        <w:rPr>
          <w:rFonts w:ascii="Arial" w:hAnsi="Arial" w:cs="Arial"/>
          <w:sz w:val="22"/>
          <w:szCs w:val="22"/>
        </w:rPr>
        <w:t xml:space="preserve"> Over time, hypertension contributes to chronic cardiovascular disease, long-term disability and premature mortality. In Birmingham, higher rates of stroke and heart disease are seen in deprived communities, widening existing health inequalities</w:t>
      </w:r>
      <w:r w:rsidR="008859A8" w:rsidRPr="00C6024C">
        <w:rPr>
          <w:rFonts w:ascii="Arial" w:hAnsi="Arial" w:cs="Arial"/>
          <w:sz w:val="22"/>
          <w:szCs w:val="22"/>
        </w:rPr>
        <w:t xml:space="preserve"> (Kreutz et al, 2021)</w:t>
      </w:r>
      <w:r w:rsidRPr="00C6024C">
        <w:rPr>
          <w:rFonts w:ascii="Arial" w:hAnsi="Arial" w:cs="Arial"/>
          <w:sz w:val="22"/>
          <w:szCs w:val="22"/>
        </w:rPr>
        <w:t>.</w:t>
      </w:r>
    </w:p>
    <w:p w14:paraId="22E44917" w14:textId="3D0B1B67" w:rsidR="008804E0" w:rsidRPr="00C6024C" w:rsidRDefault="008804E0" w:rsidP="00A565F4">
      <w:pPr>
        <w:numPr>
          <w:ilvl w:val="0"/>
          <w:numId w:val="2"/>
        </w:numPr>
        <w:spacing w:line="360" w:lineRule="auto"/>
        <w:jc w:val="both"/>
        <w:rPr>
          <w:rFonts w:ascii="Arial" w:hAnsi="Arial" w:cs="Arial"/>
          <w:sz w:val="22"/>
          <w:szCs w:val="22"/>
        </w:rPr>
      </w:pPr>
      <w:r w:rsidRPr="00C6024C">
        <w:rPr>
          <w:rFonts w:ascii="Arial" w:hAnsi="Arial" w:cs="Arial"/>
          <w:b/>
          <w:bCs/>
          <w:sz w:val="22"/>
          <w:szCs w:val="22"/>
        </w:rPr>
        <w:t>Economic Impact:</w:t>
      </w:r>
      <w:r w:rsidRPr="00C6024C">
        <w:rPr>
          <w:rFonts w:ascii="Arial" w:hAnsi="Arial" w:cs="Arial"/>
          <w:sz w:val="22"/>
          <w:szCs w:val="22"/>
        </w:rPr>
        <w:t xml:space="preserve"> Hypertension increases healthcare costs due to ongoing treatment, hospital admissions and long-term care needs. Without effective prevention and early intervention, epidemiological modelling predicts rising healthcare expenditure and reduced workforce productivity</w:t>
      </w:r>
      <w:r w:rsidR="00BA4C1A" w:rsidRPr="00C6024C">
        <w:rPr>
          <w:rFonts w:ascii="Arial" w:hAnsi="Arial" w:cs="Arial"/>
          <w:sz w:val="22"/>
          <w:szCs w:val="22"/>
        </w:rPr>
        <w:t xml:space="preserve"> (Savedchuk et al, 2022)</w:t>
      </w:r>
      <w:r w:rsidRPr="00C6024C">
        <w:rPr>
          <w:rFonts w:ascii="Arial" w:hAnsi="Arial" w:cs="Arial"/>
          <w:sz w:val="22"/>
          <w:szCs w:val="22"/>
        </w:rPr>
        <w:t>.</w:t>
      </w:r>
    </w:p>
    <w:p w14:paraId="22A27164" w14:textId="77777777" w:rsidR="00062109" w:rsidRPr="00C6024C" w:rsidRDefault="00062109" w:rsidP="00CF4C03">
      <w:pPr>
        <w:pStyle w:val="Heading2"/>
        <w:rPr>
          <w:rFonts w:cs="Arial"/>
          <w:sz w:val="22"/>
          <w:szCs w:val="22"/>
        </w:rPr>
      </w:pPr>
      <w:bookmarkStart w:id="17" w:name="_Toc216957255"/>
      <w:r w:rsidRPr="00C6024C">
        <w:rPr>
          <w:rFonts w:cs="Arial"/>
          <w:sz w:val="22"/>
          <w:szCs w:val="22"/>
        </w:rPr>
        <w:t>Designing a Health Intervention Programme</w:t>
      </w:r>
      <w:bookmarkEnd w:id="17"/>
    </w:p>
    <w:p w14:paraId="066EAA5E" w14:textId="76F16534" w:rsidR="006B2207" w:rsidRPr="00C6024C" w:rsidRDefault="006B2207" w:rsidP="00A565F4">
      <w:pPr>
        <w:spacing w:line="360" w:lineRule="auto"/>
        <w:jc w:val="both"/>
        <w:rPr>
          <w:rFonts w:ascii="Arial" w:hAnsi="Arial" w:cs="Arial"/>
          <w:b/>
          <w:bCs/>
          <w:sz w:val="22"/>
          <w:szCs w:val="22"/>
        </w:rPr>
      </w:pPr>
      <w:r w:rsidRPr="00C6024C">
        <w:rPr>
          <w:rFonts w:ascii="Arial" w:hAnsi="Arial" w:cs="Arial"/>
          <w:b/>
          <w:bCs/>
          <w:sz w:val="22"/>
          <w:szCs w:val="22"/>
        </w:rPr>
        <w:t>Community Screening:</w:t>
      </w:r>
      <w:r w:rsidR="00CF4C03" w:rsidRPr="00C6024C">
        <w:rPr>
          <w:rFonts w:ascii="Arial" w:hAnsi="Arial" w:cs="Arial"/>
          <w:b/>
          <w:bCs/>
          <w:sz w:val="22"/>
          <w:szCs w:val="22"/>
        </w:rPr>
        <w:t xml:space="preserve"> </w:t>
      </w:r>
      <w:r w:rsidRPr="00C6024C">
        <w:rPr>
          <w:rFonts w:ascii="Arial" w:hAnsi="Arial" w:cs="Arial"/>
          <w:sz w:val="22"/>
          <w:szCs w:val="22"/>
        </w:rPr>
        <w:t>Free blood pressure checks delivered in mosques, churches, community centres and local events to improve early detection in deprived wards</w:t>
      </w:r>
      <w:r w:rsidR="00453244" w:rsidRPr="00C6024C">
        <w:rPr>
          <w:rFonts w:ascii="Arial" w:hAnsi="Arial" w:cs="Arial"/>
          <w:sz w:val="22"/>
          <w:szCs w:val="22"/>
        </w:rPr>
        <w:t xml:space="preserve"> (Peniston et al, 2025)</w:t>
      </w:r>
      <w:r w:rsidRPr="00C6024C">
        <w:rPr>
          <w:rFonts w:ascii="Arial" w:hAnsi="Arial" w:cs="Arial"/>
          <w:sz w:val="22"/>
          <w:szCs w:val="22"/>
        </w:rPr>
        <w:t>.</w:t>
      </w:r>
    </w:p>
    <w:p w14:paraId="0551BCD5" w14:textId="4D5FAE5B" w:rsidR="006B2207" w:rsidRPr="00C6024C" w:rsidRDefault="006B2207" w:rsidP="00A565F4">
      <w:pPr>
        <w:spacing w:line="360" w:lineRule="auto"/>
        <w:jc w:val="both"/>
        <w:rPr>
          <w:rFonts w:ascii="Arial" w:hAnsi="Arial" w:cs="Arial"/>
          <w:b/>
          <w:bCs/>
          <w:sz w:val="22"/>
          <w:szCs w:val="22"/>
        </w:rPr>
      </w:pPr>
      <w:r w:rsidRPr="00C6024C">
        <w:rPr>
          <w:rFonts w:ascii="Arial" w:hAnsi="Arial" w:cs="Arial"/>
          <w:b/>
          <w:bCs/>
          <w:sz w:val="22"/>
          <w:szCs w:val="22"/>
        </w:rPr>
        <w:t>Culturally Tailored Health Education:</w:t>
      </w:r>
      <w:r w:rsidR="00CF4C03" w:rsidRPr="00C6024C">
        <w:rPr>
          <w:rFonts w:ascii="Arial" w:hAnsi="Arial" w:cs="Arial"/>
          <w:b/>
          <w:bCs/>
          <w:sz w:val="22"/>
          <w:szCs w:val="22"/>
        </w:rPr>
        <w:t xml:space="preserve"> </w:t>
      </w:r>
      <w:r w:rsidRPr="00C6024C">
        <w:rPr>
          <w:rFonts w:ascii="Arial" w:hAnsi="Arial" w:cs="Arial"/>
          <w:sz w:val="22"/>
          <w:szCs w:val="22"/>
        </w:rPr>
        <w:t xml:space="preserve">Education sessions on healthy diet, salt reduction and physical activity </w:t>
      </w:r>
      <w:r w:rsidR="00CF4C03" w:rsidRPr="00C6024C">
        <w:rPr>
          <w:rFonts w:ascii="Arial" w:hAnsi="Arial" w:cs="Arial"/>
          <w:sz w:val="22"/>
          <w:szCs w:val="22"/>
        </w:rPr>
        <w:t xml:space="preserve">are </w:t>
      </w:r>
      <w:r w:rsidRPr="00C6024C">
        <w:rPr>
          <w:rFonts w:ascii="Arial" w:hAnsi="Arial" w:cs="Arial"/>
          <w:sz w:val="22"/>
          <w:szCs w:val="22"/>
        </w:rPr>
        <w:t>designed to reflect cultural beliefs and language needs</w:t>
      </w:r>
      <w:r w:rsidR="003A5376" w:rsidRPr="00C6024C">
        <w:rPr>
          <w:rFonts w:ascii="Arial" w:hAnsi="Arial" w:cs="Arial"/>
          <w:sz w:val="22"/>
          <w:szCs w:val="22"/>
        </w:rPr>
        <w:t xml:space="preserve"> (Morrissey et al, 2024)</w:t>
      </w:r>
      <w:r w:rsidRPr="00C6024C">
        <w:rPr>
          <w:rFonts w:ascii="Arial" w:hAnsi="Arial" w:cs="Arial"/>
          <w:sz w:val="22"/>
          <w:szCs w:val="22"/>
        </w:rPr>
        <w:t>.</w:t>
      </w:r>
    </w:p>
    <w:p w14:paraId="6508CB9F" w14:textId="11F95B91" w:rsidR="006B2207" w:rsidRPr="00C6024C" w:rsidRDefault="006B2207" w:rsidP="00A565F4">
      <w:pPr>
        <w:spacing w:line="360" w:lineRule="auto"/>
        <w:jc w:val="both"/>
        <w:rPr>
          <w:rFonts w:ascii="Arial" w:hAnsi="Arial" w:cs="Arial"/>
          <w:b/>
          <w:bCs/>
          <w:sz w:val="22"/>
          <w:szCs w:val="22"/>
        </w:rPr>
      </w:pPr>
      <w:r w:rsidRPr="00C6024C">
        <w:rPr>
          <w:rFonts w:ascii="Arial" w:hAnsi="Arial" w:cs="Arial"/>
          <w:b/>
          <w:bCs/>
          <w:sz w:val="22"/>
          <w:szCs w:val="22"/>
        </w:rPr>
        <w:t>GP Referral Pathways:</w:t>
      </w:r>
      <w:r w:rsidR="00CF4C03" w:rsidRPr="00C6024C">
        <w:rPr>
          <w:rFonts w:ascii="Arial" w:hAnsi="Arial" w:cs="Arial"/>
          <w:b/>
          <w:bCs/>
          <w:sz w:val="22"/>
          <w:szCs w:val="22"/>
        </w:rPr>
        <w:t xml:space="preserve"> </w:t>
      </w:r>
      <w:r w:rsidRPr="00C6024C">
        <w:rPr>
          <w:rFonts w:ascii="Arial" w:hAnsi="Arial" w:cs="Arial"/>
          <w:sz w:val="22"/>
          <w:szCs w:val="22"/>
        </w:rPr>
        <w:t>Clear referral systems linking community screening to GP practices for diagnosis, treatment and follow-up care</w:t>
      </w:r>
      <w:r w:rsidR="004E277A" w:rsidRPr="00C6024C">
        <w:rPr>
          <w:rFonts w:ascii="Arial" w:hAnsi="Arial" w:cs="Arial"/>
          <w:sz w:val="22"/>
          <w:szCs w:val="22"/>
        </w:rPr>
        <w:t xml:space="preserve"> (Peniston et al, 2025)</w:t>
      </w:r>
      <w:r w:rsidRPr="00C6024C">
        <w:rPr>
          <w:rFonts w:ascii="Arial" w:hAnsi="Arial" w:cs="Arial"/>
          <w:sz w:val="22"/>
          <w:szCs w:val="22"/>
        </w:rPr>
        <w:t>.</w:t>
      </w:r>
    </w:p>
    <w:p w14:paraId="340CF207" w14:textId="21775B99" w:rsidR="006B2207" w:rsidRPr="00C6024C" w:rsidRDefault="006B2207" w:rsidP="00A565F4">
      <w:pPr>
        <w:spacing w:line="360" w:lineRule="auto"/>
        <w:jc w:val="both"/>
        <w:rPr>
          <w:rFonts w:ascii="Arial" w:hAnsi="Arial" w:cs="Arial"/>
          <w:b/>
          <w:bCs/>
          <w:sz w:val="22"/>
          <w:szCs w:val="22"/>
        </w:rPr>
      </w:pPr>
      <w:r w:rsidRPr="00C6024C">
        <w:rPr>
          <w:rFonts w:ascii="Arial" w:hAnsi="Arial" w:cs="Arial"/>
          <w:b/>
          <w:bCs/>
          <w:sz w:val="22"/>
          <w:szCs w:val="22"/>
        </w:rPr>
        <w:t>Community Health Champions:</w:t>
      </w:r>
      <w:r w:rsidR="00CF4C03" w:rsidRPr="00C6024C">
        <w:rPr>
          <w:rFonts w:ascii="Arial" w:hAnsi="Arial" w:cs="Arial"/>
          <w:b/>
          <w:bCs/>
          <w:sz w:val="22"/>
          <w:szCs w:val="22"/>
        </w:rPr>
        <w:t xml:space="preserve"> </w:t>
      </w:r>
      <w:r w:rsidRPr="00C6024C">
        <w:rPr>
          <w:rFonts w:ascii="Arial" w:hAnsi="Arial" w:cs="Arial"/>
          <w:sz w:val="22"/>
          <w:szCs w:val="22"/>
        </w:rPr>
        <w:t>Training local volunteers to raise awareness, encourage screening uptake and support lifestyle change.</w:t>
      </w:r>
    </w:p>
    <w:p w14:paraId="54D1D0C4" w14:textId="71C2B078" w:rsidR="006B2207" w:rsidRPr="00C6024C" w:rsidRDefault="006B2207" w:rsidP="00A565F4">
      <w:pPr>
        <w:spacing w:line="360" w:lineRule="auto"/>
        <w:jc w:val="both"/>
        <w:rPr>
          <w:rFonts w:ascii="Arial" w:hAnsi="Arial" w:cs="Arial"/>
          <w:b/>
          <w:bCs/>
          <w:sz w:val="22"/>
          <w:szCs w:val="22"/>
        </w:rPr>
      </w:pPr>
      <w:r w:rsidRPr="00C6024C">
        <w:rPr>
          <w:rFonts w:ascii="Arial" w:hAnsi="Arial" w:cs="Arial"/>
          <w:b/>
          <w:bCs/>
          <w:sz w:val="22"/>
          <w:szCs w:val="22"/>
        </w:rPr>
        <w:t>Evaluation and Monitoring:</w:t>
      </w:r>
      <w:r w:rsidR="00123B52" w:rsidRPr="00C6024C">
        <w:rPr>
          <w:rFonts w:ascii="Arial" w:hAnsi="Arial" w:cs="Arial"/>
          <w:b/>
          <w:bCs/>
          <w:sz w:val="22"/>
          <w:szCs w:val="22"/>
        </w:rPr>
        <w:t xml:space="preserve"> </w:t>
      </w:r>
      <w:r w:rsidRPr="00C6024C">
        <w:rPr>
          <w:rFonts w:ascii="Arial" w:hAnsi="Arial" w:cs="Arial"/>
          <w:sz w:val="22"/>
          <w:szCs w:val="22"/>
        </w:rPr>
        <w:t>Evaluation and monitoring would assess the effectiveness of the intervention by measuring increased hypertension detection rates, improved blood pressure control and reductions in hospital admissions</w:t>
      </w:r>
      <w:r w:rsidR="004E277A" w:rsidRPr="00C6024C">
        <w:rPr>
          <w:rFonts w:ascii="Arial" w:hAnsi="Arial" w:cs="Arial"/>
          <w:sz w:val="22"/>
          <w:szCs w:val="22"/>
        </w:rPr>
        <w:t xml:space="preserve"> (Peniston et al, 2025)</w:t>
      </w:r>
      <w:r w:rsidRPr="00C6024C">
        <w:rPr>
          <w:rFonts w:ascii="Arial" w:hAnsi="Arial" w:cs="Arial"/>
          <w:sz w:val="22"/>
          <w:szCs w:val="22"/>
        </w:rPr>
        <w:t>. Process evaluation would examine participation levels, accessibility and engagement, while outcome evaluation would assess long-term improvements in health outcomes and service use</w:t>
      </w:r>
      <w:r w:rsidR="004E277A" w:rsidRPr="00C6024C">
        <w:rPr>
          <w:rFonts w:ascii="Arial" w:hAnsi="Arial" w:cs="Arial"/>
          <w:sz w:val="22"/>
          <w:szCs w:val="22"/>
        </w:rPr>
        <w:t xml:space="preserve"> (Morrissey et al, 2024)</w:t>
      </w:r>
      <w:r w:rsidRPr="00C6024C">
        <w:rPr>
          <w:rFonts w:ascii="Arial" w:hAnsi="Arial" w:cs="Arial"/>
          <w:sz w:val="22"/>
          <w:szCs w:val="22"/>
        </w:rPr>
        <w:t>.</w:t>
      </w:r>
    </w:p>
    <w:p w14:paraId="145CC156" w14:textId="7E6FAB2C" w:rsidR="00062109" w:rsidRPr="00C6024C" w:rsidRDefault="00062109" w:rsidP="00123B52">
      <w:pPr>
        <w:pStyle w:val="Heading2"/>
        <w:rPr>
          <w:rFonts w:cs="Arial"/>
          <w:sz w:val="22"/>
          <w:szCs w:val="22"/>
        </w:rPr>
      </w:pPr>
      <w:bookmarkStart w:id="18" w:name="_Toc216957256"/>
      <w:r w:rsidRPr="00C6024C">
        <w:rPr>
          <w:rFonts w:cs="Arial"/>
          <w:sz w:val="22"/>
          <w:szCs w:val="22"/>
        </w:rPr>
        <w:t>Strengths and Weaknesses of the Epidemiological Approach</w:t>
      </w:r>
      <w:bookmarkEnd w:id="18"/>
    </w:p>
    <w:p w14:paraId="51AC78DE" w14:textId="1144AE37" w:rsidR="006B2207" w:rsidRPr="00C6024C" w:rsidRDefault="006B2207" w:rsidP="00A565F4">
      <w:pPr>
        <w:spacing w:line="360" w:lineRule="auto"/>
        <w:jc w:val="both"/>
        <w:rPr>
          <w:rFonts w:ascii="Arial" w:hAnsi="Arial" w:cs="Arial"/>
          <w:sz w:val="22"/>
          <w:szCs w:val="22"/>
        </w:rPr>
      </w:pPr>
      <w:r w:rsidRPr="00C6024C">
        <w:rPr>
          <w:rFonts w:ascii="Arial" w:hAnsi="Arial" w:cs="Arial"/>
          <w:sz w:val="22"/>
          <w:szCs w:val="22"/>
        </w:rPr>
        <w:t>A key strength of the epidemiological approach is its ability to analyse population-level data to identify patterns, trends and high-risk groups affected by hypertension</w:t>
      </w:r>
      <w:r w:rsidR="00806146" w:rsidRPr="00C6024C">
        <w:rPr>
          <w:rFonts w:ascii="Arial" w:hAnsi="Arial" w:cs="Arial"/>
          <w:sz w:val="22"/>
          <w:szCs w:val="22"/>
        </w:rPr>
        <w:t xml:space="preserve"> (Marissangan, 2024)</w:t>
      </w:r>
      <w:r w:rsidRPr="00C6024C">
        <w:rPr>
          <w:rFonts w:ascii="Arial" w:hAnsi="Arial" w:cs="Arial"/>
          <w:sz w:val="22"/>
          <w:szCs w:val="22"/>
        </w:rPr>
        <w:t>. This supports evidence-based public health planning, enabling targeted interventions and efficient allocation of resources to areas and populations with the greatest need</w:t>
      </w:r>
      <w:r w:rsidR="00373ED4" w:rsidRPr="00C6024C">
        <w:rPr>
          <w:rFonts w:ascii="Arial" w:hAnsi="Arial" w:cs="Arial"/>
          <w:sz w:val="22"/>
          <w:szCs w:val="22"/>
        </w:rPr>
        <w:t xml:space="preserve"> (Olié et al, 2022)</w:t>
      </w:r>
      <w:r w:rsidRPr="00C6024C">
        <w:rPr>
          <w:rFonts w:ascii="Arial" w:hAnsi="Arial" w:cs="Arial"/>
          <w:sz w:val="22"/>
          <w:szCs w:val="22"/>
        </w:rPr>
        <w:t>.</w:t>
      </w:r>
    </w:p>
    <w:p w14:paraId="60A5B237" w14:textId="57246476" w:rsidR="006B2207" w:rsidRPr="00C6024C" w:rsidRDefault="006B2207" w:rsidP="00A565F4">
      <w:pPr>
        <w:spacing w:line="360" w:lineRule="auto"/>
        <w:jc w:val="both"/>
        <w:rPr>
          <w:rFonts w:ascii="Arial" w:hAnsi="Arial" w:cs="Arial"/>
          <w:sz w:val="22"/>
          <w:szCs w:val="22"/>
        </w:rPr>
      </w:pPr>
      <w:r w:rsidRPr="00C6024C">
        <w:rPr>
          <w:rFonts w:ascii="Arial" w:hAnsi="Arial" w:cs="Arial"/>
          <w:sz w:val="22"/>
          <w:szCs w:val="22"/>
        </w:rPr>
        <w:lastRenderedPageBreak/>
        <w:t>However, there are several limitations to this approach. Epidemiological data may underestimate true prevalence due to undiagnosed cases and reliance on healthcare service use</w:t>
      </w:r>
      <w:r w:rsidR="00674B7A" w:rsidRPr="00C6024C">
        <w:rPr>
          <w:rFonts w:ascii="Arial" w:hAnsi="Arial" w:cs="Arial"/>
          <w:sz w:val="22"/>
          <w:szCs w:val="22"/>
        </w:rPr>
        <w:t xml:space="preserve"> (Marissangan, 2024)</w:t>
      </w:r>
      <w:r w:rsidRPr="00C6024C">
        <w:rPr>
          <w:rFonts w:ascii="Arial" w:hAnsi="Arial" w:cs="Arial"/>
          <w:sz w:val="22"/>
          <w:szCs w:val="22"/>
        </w:rPr>
        <w:t>. Cross-sectional studies cannot establish cause-and-effect relationships, and cultural or behavioural influences are often difficult to capture quantitatively. Despite these weaknesses, epidemiology remains essential for understanding and addressing hypertension at a population level</w:t>
      </w:r>
      <w:r w:rsidR="00674B7A" w:rsidRPr="00C6024C">
        <w:rPr>
          <w:rFonts w:ascii="Arial" w:hAnsi="Arial" w:cs="Arial"/>
          <w:sz w:val="22"/>
          <w:szCs w:val="22"/>
        </w:rPr>
        <w:t xml:space="preserve"> (Olié et al, 2022).</w:t>
      </w:r>
    </w:p>
    <w:p w14:paraId="5CEB77B4" w14:textId="77777777" w:rsidR="00062109" w:rsidRPr="00C6024C" w:rsidRDefault="00062109" w:rsidP="004A78FF">
      <w:pPr>
        <w:pStyle w:val="Heading2"/>
        <w:rPr>
          <w:rFonts w:cs="Arial"/>
          <w:sz w:val="22"/>
          <w:szCs w:val="22"/>
        </w:rPr>
      </w:pPr>
      <w:bookmarkStart w:id="19" w:name="_Toc216957257"/>
      <w:r w:rsidRPr="00C6024C">
        <w:rPr>
          <w:rFonts w:cs="Arial"/>
          <w:sz w:val="22"/>
          <w:szCs w:val="22"/>
        </w:rPr>
        <w:t>Conclusion</w:t>
      </w:r>
      <w:bookmarkEnd w:id="19"/>
    </w:p>
    <w:p w14:paraId="505C241C" w14:textId="77777777" w:rsidR="00062109" w:rsidRPr="00C6024C" w:rsidRDefault="00062109" w:rsidP="00A565F4">
      <w:pPr>
        <w:spacing w:line="360" w:lineRule="auto"/>
        <w:jc w:val="both"/>
        <w:rPr>
          <w:rFonts w:ascii="Arial" w:hAnsi="Arial" w:cs="Arial"/>
          <w:sz w:val="22"/>
          <w:szCs w:val="22"/>
        </w:rPr>
      </w:pPr>
      <w:r w:rsidRPr="00C6024C">
        <w:rPr>
          <w:rFonts w:ascii="Arial" w:hAnsi="Arial" w:cs="Arial"/>
          <w:sz w:val="22"/>
          <w:szCs w:val="22"/>
        </w:rPr>
        <w:t>Hypertension represents a major public health challenge in Birmingham, particularly among adults aged 30–65 living in deprived communities. Epidemiological processes enable identification of the scale of the problem, key risk factors and populations most at risk. Through surveillance, health needs assessment and targeted interventions guided by the 3 P’s, hypertension can be better prevented and managed. While limitations exist, a robust epidemiological approach provides the foundation for reducing health inequalities and improving long-term population health outcomes.</w:t>
      </w:r>
    </w:p>
    <w:p w14:paraId="41141130" w14:textId="77777777" w:rsidR="0096368F" w:rsidRPr="00C6024C" w:rsidRDefault="0096368F" w:rsidP="00A565F4">
      <w:pPr>
        <w:spacing w:line="360" w:lineRule="auto"/>
        <w:jc w:val="both"/>
        <w:rPr>
          <w:rFonts w:ascii="Arial" w:hAnsi="Arial" w:cs="Arial"/>
          <w:sz w:val="22"/>
          <w:szCs w:val="22"/>
        </w:rPr>
      </w:pPr>
    </w:p>
    <w:p w14:paraId="048EDF1D" w14:textId="77777777" w:rsidR="0096368F" w:rsidRPr="00C6024C" w:rsidRDefault="0096368F" w:rsidP="00A565F4">
      <w:pPr>
        <w:spacing w:line="360" w:lineRule="auto"/>
        <w:jc w:val="both"/>
        <w:rPr>
          <w:rFonts w:ascii="Arial" w:hAnsi="Arial" w:cs="Arial"/>
          <w:sz w:val="22"/>
          <w:szCs w:val="22"/>
        </w:rPr>
      </w:pPr>
    </w:p>
    <w:p w14:paraId="0DCA28E3" w14:textId="77777777" w:rsidR="00E61973" w:rsidRPr="00C6024C" w:rsidRDefault="00E61973" w:rsidP="00A565F4">
      <w:pPr>
        <w:spacing w:line="360" w:lineRule="auto"/>
        <w:jc w:val="both"/>
        <w:rPr>
          <w:rFonts w:ascii="Arial" w:hAnsi="Arial" w:cs="Arial"/>
          <w:sz w:val="22"/>
          <w:szCs w:val="22"/>
        </w:rPr>
      </w:pPr>
    </w:p>
    <w:p w14:paraId="37F8E306" w14:textId="63EE8B6D" w:rsidR="0096368F" w:rsidRPr="00C6024C" w:rsidRDefault="0096368F" w:rsidP="00930DAD">
      <w:pPr>
        <w:pStyle w:val="Heading1"/>
        <w:rPr>
          <w:rFonts w:cs="Arial"/>
          <w:sz w:val="22"/>
          <w:szCs w:val="22"/>
        </w:rPr>
      </w:pPr>
      <w:bookmarkStart w:id="20" w:name="_Toc216957258"/>
      <w:r w:rsidRPr="00C6024C">
        <w:rPr>
          <w:rFonts w:cs="Arial"/>
          <w:sz w:val="22"/>
          <w:szCs w:val="22"/>
        </w:rPr>
        <w:t>References</w:t>
      </w:r>
      <w:bookmarkEnd w:id="20"/>
    </w:p>
    <w:p w14:paraId="3EF67D6F" w14:textId="77DFD2A1" w:rsidR="00062109" w:rsidRPr="00C6024C" w:rsidRDefault="008A0A0D" w:rsidP="00A565F4">
      <w:pPr>
        <w:spacing w:line="360" w:lineRule="auto"/>
        <w:jc w:val="both"/>
        <w:rPr>
          <w:rFonts w:ascii="Arial" w:hAnsi="Arial" w:cs="Arial"/>
          <w:sz w:val="22"/>
          <w:szCs w:val="22"/>
        </w:rPr>
      </w:pPr>
      <w:r w:rsidRPr="00C6024C">
        <w:rPr>
          <w:rFonts w:ascii="Arial" w:hAnsi="Arial" w:cs="Arial"/>
          <w:sz w:val="22"/>
          <w:szCs w:val="22"/>
        </w:rPr>
        <w:t xml:space="preserve">Aitken, Z., Bishop, G.M., Disney, G., Emerson, E. and Kavanagh, A.M., </w:t>
      </w:r>
      <w:r w:rsidR="00904640" w:rsidRPr="00C6024C">
        <w:rPr>
          <w:rFonts w:ascii="Arial" w:hAnsi="Arial" w:cs="Arial"/>
          <w:sz w:val="22"/>
          <w:szCs w:val="22"/>
        </w:rPr>
        <w:t>(</w:t>
      </w:r>
      <w:r w:rsidRPr="00C6024C">
        <w:rPr>
          <w:rFonts w:ascii="Arial" w:hAnsi="Arial" w:cs="Arial"/>
          <w:sz w:val="22"/>
          <w:szCs w:val="22"/>
        </w:rPr>
        <w:t>2022</w:t>
      </w:r>
      <w:r w:rsidR="00904640" w:rsidRPr="00C6024C">
        <w:rPr>
          <w:rFonts w:ascii="Arial" w:hAnsi="Arial" w:cs="Arial"/>
          <w:sz w:val="22"/>
          <w:szCs w:val="22"/>
        </w:rPr>
        <w:t>)</w:t>
      </w:r>
      <w:r w:rsidRPr="00C6024C">
        <w:rPr>
          <w:rFonts w:ascii="Arial" w:hAnsi="Arial" w:cs="Arial"/>
          <w:sz w:val="22"/>
          <w:szCs w:val="22"/>
        </w:rPr>
        <w:t>. Disability-related inequalities in health and well-being are mediated by barriers to participation faced by people with disability. A causal mediation analysis. </w:t>
      </w:r>
      <w:r w:rsidRPr="00C6024C">
        <w:rPr>
          <w:rFonts w:ascii="Arial" w:hAnsi="Arial" w:cs="Arial"/>
          <w:i/>
          <w:iCs/>
          <w:sz w:val="22"/>
          <w:szCs w:val="22"/>
        </w:rPr>
        <w:t>Social Science &amp; Medicine</w:t>
      </w:r>
      <w:r w:rsidRPr="00C6024C">
        <w:rPr>
          <w:rFonts w:ascii="Arial" w:hAnsi="Arial" w:cs="Arial"/>
          <w:sz w:val="22"/>
          <w:szCs w:val="22"/>
        </w:rPr>
        <w:t>, </w:t>
      </w:r>
      <w:r w:rsidRPr="00C6024C">
        <w:rPr>
          <w:rFonts w:ascii="Arial" w:hAnsi="Arial" w:cs="Arial"/>
          <w:i/>
          <w:iCs/>
          <w:sz w:val="22"/>
          <w:szCs w:val="22"/>
        </w:rPr>
        <w:t>315</w:t>
      </w:r>
      <w:r w:rsidRPr="00C6024C">
        <w:rPr>
          <w:rFonts w:ascii="Arial" w:hAnsi="Arial" w:cs="Arial"/>
          <w:sz w:val="22"/>
          <w:szCs w:val="22"/>
        </w:rPr>
        <w:t>, p.115500.</w:t>
      </w:r>
    </w:p>
    <w:p w14:paraId="2309A229" w14:textId="47D97273" w:rsidR="009332B1" w:rsidRPr="00C6024C" w:rsidRDefault="009332B1" w:rsidP="00A565F4">
      <w:pPr>
        <w:spacing w:line="360" w:lineRule="auto"/>
        <w:jc w:val="both"/>
        <w:rPr>
          <w:rFonts w:ascii="Arial" w:hAnsi="Arial" w:cs="Arial"/>
          <w:sz w:val="22"/>
          <w:szCs w:val="22"/>
        </w:rPr>
      </w:pPr>
      <w:r w:rsidRPr="00C6024C">
        <w:rPr>
          <w:rFonts w:ascii="Arial" w:hAnsi="Arial" w:cs="Arial"/>
          <w:sz w:val="22"/>
          <w:szCs w:val="22"/>
        </w:rPr>
        <w:t xml:space="preserve">Disability Rights UK (2020), </w:t>
      </w:r>
      <w:hyperlink r:id="rId8" w:history="1">
        <w:r w:rsidRPr="00C6024C">
          <w:rPr>
            <w:rStyle w:val="Hyperlink"/>
            <w:rFonts w:ascii="Arial" w:hAnsi="Arial" w:cs="Arial"/>
            <w:sz w:val="22"/>
            <w:szCs w:val="22"/>
          </w:rPr>
          <w:t>https://www.disabilityrightsuk.org/news/2020/february/nearly-half-everyone-poverty-either-disabled-person-or-lives-disabled-person?srsltid=AfmBOop3atcsVzRUgGcbYeOrUf7BP8Hy20E4hJhIYJCftKrM_RS06lPS</w:t>
        </w:r>
      </w:hyperlink>
    </w:p>
    <w:p w14:paraId="0D38E03B" w14:textId="79C5F0F2" w:rsidR="00281122" w:rsidRPr="00C6024C" w:rsidRDefault="00281122" w:rsidP="00A565F4">
      <w:pPr>
        <w:spacing w:line="360" w:lineRule="auto"/>
        <w:jc w:val="both"/>
        <w:rPr>
          <w:rFonts w:ascii="Arial" w:hAnsi="Arial" w:cs="Arial"/>
          <w:sz w:val="22"/>
          <w:szCs w:val="22"/>
        </w:rPr>
      </w:pPr>
      <w:r w:rsidRPr="00C6024C">
        <w:rPr>
          <w:rFonts w:ascii="Arial" w:hAnsi="Arial" w:cs="Arial"/>
          <w:sz w:val="22"/>
          <w:szCs w:val="22"/>
        </w:rPr>
        <w:t xml:space="preserve">Dunn, K., Rydzewska, E., Fleming, M. and Cooper, S.A., </w:t>
      </w:r>
      <w:r w:rsidR="006E1164" w:rsidRPr="00C6024C">
        <w:rPr>
          <w:rFonts w:ascii="Arial" w:hAnsi="Arial" w:cs="Arial"/>
          <w:sz w:val="22"/>
          <w:szCs w:val="22"/>
        </w:rPr>
        <w:t>(</w:t>
      </w:r>
      <w:r w:rsidRPr="00C6024C">
        <w:rPr>
          <w:rFonts w:ascii="Arial" w:hAnsi="Arial" w:cs="Arial"/>
          <w:sz w:val="22"/>
          <w:szCs w:val="22"/>
        </w:rPr>
        <w:t>2020</w:t>
      </w:r>
      <w:r w:rsidR="006E1164" w:rsidRPr="00C6024C">
        <w:rPr>
          <w:rFonts w:ascii="Arial" w:hAnsi="Arial" w:cs="Arial"/>
          <w:sz w:val="22"/>
          <w:szCs w:val="22"/>
        </w:rPr>
        <w:t>)</w:t>
      </w:r>
      <w:r w:rsidRPr="00C6024C">
        <w:rPr>
          <w:rFonts w:ascii="Arial" w:hAnsi="Arial" w:cs="Arial"/>
          <w:sz w:val="22"/>
          <w:szCs w:val="22"/>
        </w:rPr>
        <w:t>. Prevalence of mental health conditions, sensory impairments and physical disability in people with co-occurring intellectual disabilities and autism compared with other people: a cross-sectional total population study in Scotland. </w:t>
      </w:r>
      <w:r w:rsidRPr="00C6024C">
        <w:rPr>
          <w:rFonts w:ascii="Arial" w:hAnsi="Arial" w:cs="Arial"/>
          <w:i/>
          <w:iCs/>
          <w:sz w:val="22"/>
          <w:szCs w:val="22"/>
        </w:rPr>
        <w:t>BMJ open</w:t>
      </w:r>
      <w:r w:rsidRPr="00C6024C">
        <w:rPr>
          <w:rFonts w:ascii="Arial" w:hAnsi="Arial" w:cs="Arial"/>
          <w:sz w:val="22"/>
          <w:szCs w:val="22"/>
        </w:rPr>
        <w:t>, </w:t>
      </w:r>
      <w:r w:rsidRPr="00C6024C">
        <w:rPr>
          <w:rFonts w:ascii="Arial" w:hAnsi="Arial" w:cs="Arial"/>
          <w:i/>
          <w:iCs/>
          <w:sz w:val="22"/>
          <w:szCs w:val="22"/>
        </w:rPr>
        <w:t>10</w:t>
      </w:r>
      <w:r w:rsidRPr="00C6024C">
        <w:rPr>
          <w:rFonts w:ascii="Arial" w:hAnsi="Arial" w:cs="Arial"/>
          <w:sz w:val="22"/>
          <w:szCs w:val="22"/>
        </w:rPr>
        <w:t>(4), p.e035280.</w:t>
      </w:r>
    </w:p>
    <w:p w14:paraId="0E3CFCB7" w14:textId="470DDB8B" w:rsidR="00DB0023" w:rsidRPr="00C6024C" w:rsidRDefault="00DB0023" w:rsidP="00A565F4">
      <w:pPr>
        <w:spacing w:line="360" w:lineRule="auto"/>
        <w:jc w:val="both"/>
        <w:rPr>
          <w:rFonts w:ascii="Arial" w:hAnsi="Arial" w:cs="Arial"/>
          <w:sz w:val="22"/>
          <w:szCs w:val="22"/>
        </w:rPr>
      </w:pPr>
      <w:r w:rsidRPr="00C6024C">
        <w:rPr>
          <w:rFonts w:ascii="Arial" w:hAnsi="Arial" w:cs="Arial"/>
          <w:sz w:val="22"/>
          <w:szCs w:val="22"/>
        </w:rPr>
        <w:t xml:space="preserve">Emerson, E., Stancliffe, R.J., Aitken, Z., Bailie, J., Bishop, G.M., Badland, H., Llewellyn, G. and Kavanagh, A.M., </w:t>
      </w:r>
      <w:r w:rsidR="00C66723" w:rsidRPr="00C6024C">
        <w:rPr>
          <w:rFonts w:ascii="Arial" w:hAnsi="Arial" w:cs="Arial"/>
          <w:sz w:val="22"/>
          <w:szCs w:val="22"/>
        </w:rPr>
        <w:t>(</w:t>
      </w:r>
      <w:r w:rsidRPr="00C6024C">
        <w:rPr>
          <w:rFonts w:ascii="Arial" w:hAnsi="Arial" w:cs="Arial"/>
          <w:sz w:val="22"/>
          <w:szCs w:val="22"/>
        </w:rPr>
        <w:t>2023</w:t>
      </w:r>
      <w:r w:rsidR="00C66723" w:rsidRPr="00C6024C">
        <w:rPr>
          <w:rFonts w:ascii="Arial" w:hAnsi="Arial" w:cs="Arial"/>
          <w:sz w:val="22"/>
          <w:szCs w:val="22"/>
        </w:rPr>
        <w:t>)</w:t>
      </w:r>
      <w:r w:rsidRPr="00C6024C">
        <w:rPr>
          <w:rFonts w:ascii="Arial" w:hAnsi="Arial" w:cs="Arial"/>
          <w:sz w:val="22"/>
          <w:szCs w:val="22"/>
        </w:rPr>
        <w:t>. Disability and loneliness in the United Kingdom: cross-sectional and longitudinal analyses of trends and transitions. </w:t>
      </w:r>
      <w:r w:rsidRPr="00C6024C">
        <w:rPr>
          <w:rFonts w:ascii="Arial" w:hAnsi="Arial" w:cs="Arial"/>
          <w:i/>
          <w:iCs/>
          <w:sz w:val="22"/>
          <w:szCs w:val="22"/>
        </w:rPr>
        <w:t>BMC public health</w:t>
      </w:r>
      <w:r w:rsidRPr="00C6024C">
        <w:rPr>
          <w:rFonts w:ascii="Arial" w:hAnsi="Arial" w:cs="Arial"/>
          <w:sz w:val="22"/>
          <w:szCs w:val="22"/>
        </w:rPr>
        <w:t>, </w:t>
      </w:r>
      <w:r w:rsidRPr="00C6024C">
        <w:rPr>
          <w:rFonts w:ascii="Arial" w:hAnsi="Arial" w:cs="Arial"/>
          <w:i/>
          <w:iCs/>
          <w:sz w:val="22"/>
          <w:szCs w:val="22"/>
        </w:rPr>
        <w:t>23</w:t>
      </w:r>
      <w:r w:rsidRPr="00C6024C">
        <w:rPr>
          <w:rFonts w:ascii="Arial" w:hAnsi="Arial" w:cs="Arial"/>
          <w:sz w:val="22"/>
          <w:szCs w:val="22"/>
        </w:rPr>
        <w:t>(1), p.2537.</w:t>
      </w:r>
    </w:p>
    <w:p w14:paraId="73F08F8E" w14:textId="53A03624" w:rsidR="00E8778F" w:rsidRPr="00C6024C" w:rsidRDefault="00E8778F" w:rsidP="00A565F4">
      <w:pPr>
        <w:spacing w:line="360" w:lineRule="auto"/>
        <w:jc w:val="both"/>
        <w:rPr>
          <w:rFonts w:ascii="Arial" w:hAnsi="Arial" w:cs="Arial"/>
          <w:sz w:val="22"/>
          <w:szCs w:val="22"/>
        </w:rPr>
      </w:pPr>
      <w:r w:rsidRPr="00C6024C">
        <w:rPr>
          <w:rFonts w:ascii="Arial" w:hAnsi="Arial" w:cs="Arial"/>
          <w:sz w:val="22"/>
          <w:szCs w:val="22"/>
        </w:rPr>
        <w:t xml:space="preserve">Eastwood, S.V., Hughes, A.D., Tomlinson, L., Mathur, R., Smeeth, L., Bhaskaran, K. and Chaturvedi, N., </w:t>
      </w:r>
      <w:r w:rsidR="003F4998" w:rsidRPr="00C6024C">
        <w:rPr>
          <w:rFonts w:ascii="Arial" w:hAnsi="Arial" w:cs="Arial"/>
          <w:sz w:val="22"/>
          <w:szCs w:val="22"/>
        </w:rPr>
        <w:t>(</w:t>
      </w:r>
      <w:r w:rsidRPr="00C6024C">
        <w:rPr>
          <w:rFonts w:ascii="Arial" w:hAnsi="Arial" w:cs="Arial"/>
          <w:sz w:val="22"/>
          <w:szCs w:val="22"/>
        </w:rPr>
        <w:t>2023</w:t>
      </w:r>
      <w:r w:rsidR="003F4998" w:rsidRPr="00C6024C">
        <w:rPr>
          <w:rFonts w:ascii="Arial" w:hAnsi="Arial" w:cs="Arial"/>
          <w:sz w:val="22"/>
          <w:szCs w:val="22"/>
        </w:rPr>
        <w:t>)</w:t>
      </w:r>
      <w:r w:rsidRPr="00C6024C">
        <w:rPr>
          <w:rFonts w:ascii="Arial" w:hAnsi="Arial" w:cs="Arial"/>
          <w:sz w:val="22"/>
          <w:szCs w:val="22"/>
        </w:rPr>
        <w:t xml:space="preserve">. Ethnic differences in hypertension management, medication use and </w:t>
      </w:r>
      <w:r w:rsidRPr="00C6024C">
        <w:rPr>
          <w:rFonts w:ascii="Arial" w:hAnsi="Arial" w:cs="Arial"/>
          <w:sz w:val="22"/>
          <w:szCs w:val="22"/>
        </w:rPr>
        <w:lastRenderedPageBreak/>
        <w:t>blood pressure control in UK primary care, 2006–2019: a retrospective cohort study. </w:t>
      </w:r>
      <w:r w:rsidRPr="00C6024C">
        <w:rPr>
          <w:rFonts w:ascii="Arial" w:hAnsi="Arial" w:cs="Arial"/>
          <w:i/>
          <w:iCs/>
          <w:sz w:val="22"/>
          <w:szCs w:val="22"/>
        </w:rPr>
        <w:t>The Lancet Regional Health–Europe</w:t>
      </w:r>
      <w:r w:rsidRPr="00C6024C">
        <w:rPr>
          <w:rFonts w:ascii="Arial" w:hAnsi="Arial" w:cs="Arial"/>
          <w:sz w:val="22"/>
          <w:szCs w:val="22"/>
        </w:rPr>
        <w:t>, </w:t>
      </w:r>
      <w:r w:rsidRPr="00C6024C">
        <w:rPr>
          <w:rFonts w:ascii="Arial" w:hAnsi="Arial" w:cs="Arial"/>
          <w:i/>
          <w:iCs/>
          <w:sz w:val="22"/>
          <w:szCs w:val="22"/>
        </w:rPr>
        <w:t>25</w:t>
      </w:r>
      <w:r w:rsidRPr="00C6024C">
        <w:rPr>
          <w:rFonts w:ascii="Arial" w:hAnsi="Arial" w:cs="Arial"/>
          <w:sz w:val="22"/>
          <w:szCs w:val="22"/>
        </w:rPr>
        <w:t>.</w:t>
      </w:r>
    </w:p>
    <w:p w14:paraId="7F25FF6A" w14:textId="38651076" w:rsidR="006C7A75" w:rsidRPr="00C6024C" w:rsidRDefault="006C7A75" w:rsidP="00A565F4">
      <w:pPr>
        <w:spacing w:line="360" w:lineRule="auto"/>
        <w:jc w:val="both"/>
        <w:rPr>
          <w:rFonts w:ascii="Arial" w:hAnsi="Arial" w:cs="Arial"/>
          <w:sz w:val="22"/>
          <w:szCs w:val="22"/>
        </w:rPr>
      </w:pPr>
      <w:r w:rsidRPr="00C6024C">
        <w:rPr>
          <w:rFonts w:ascii="Arial" w:hAnsi="Arial" w:cs="Arial"/>
          <w:sz w:val="22"/>
          <w:szCs w:val="22"/>
        </w:rPr>
        <w:t xml:space="preserve">Goodall, G., Mjøen, O.M., Witsø, A.E., Horghagen, S. and Kvam, L., </w:t>
      </w:r>
      <w:r w:rsidR="00C46010" w:rsidRPr="00C6024C">
        <w:rPr>
          <w:rFonts w:ascii="Arial" w:hAnsi="Arial" w:cs="Arial"/>
          <w:sz w:val="22"/>
          <w:szCs w:val="22"/>
        </w:rPr>
        <w:t>(</w:t>
      </w:r>
      <w:r w:rsidRPr="00C6024C">
        <w:rPr>
          <w:rFonts w:ascii="Arial" w:hAnsi="Arial" w:cs="Arial"/>
          <w:sz w:val="22"/>
          <w:szCs w:val="22"/>
        </w:rPr>
        <w:t>2022</w:t>
      </w:r>
      <w:r w:rsidR="00C46010" w:rsidRPr="00C6024C">
        <w:rPr>
          <w:rFonts w:ascii="Arial" w:hAnsi="Arial" w:cs="Arial"/>
          <w:sz w:val="22"/>
          <w:szCs w:val="22"/>
        </w:rPr>
        <w:t>)</w:t>
      </w:r>
      <w:r w:rsidRPr="00C6024C">
        <w:rPr>
          <w:rFonts w:ascii="Arial" w:hAnsi="Arial" w:cs="Arial"/>
          <w:sz w:val="22"/>
          <w:szCs w:val="22"/>
        </w:rPr>
        <w:t>, April. Barriers and facilitators in the transition from higher education to employment for students with disabilities: A rapid systematic review. In </w:t>
      </w:r>
      <w:r w:rsidRPr="00C6024C">
        <w:rPr>
          <w:rFonts w:ascii="Arial" w:hAnsi="Arial" w:cs="Arial"/>
          <w:i/>
          <w:iCs/>
          <w:sz w:val="22"/>
          <w:szCs w:val="22"/>
        </w:rPr>
        <w:t>Frontiers in Education</w:t>
      </w:r>
      <w:r w:rsidRPr="00C6024C">
        <w:rPr>
          <w:rFonts w:ascii="Arial" w:hAnsi="Arial" w:cs="Arial"/>
          <w:sz w:val="22"/>
          <w:szCs w:val="22"/>
        </w:rPr>
        <w:t> (Vol. 7, p. 882066). Frontiers Media SA.</w:t>
      </w:r>
    </w:p>
    <w:p w14:paraId="07D1257F" w14:textId="6903E1F1" w:rsidR="00A83D56" w:rsidRPr="00C6024C" w:rsidRDefault="00A83D56" w:rsidP="00A565F4">
      <w:pPr>
        <w:spacing w:line="360" w:lineRule="auto"/>
        <w:jc w:val="both"/>
        <w:rPr>
          <w:rFonts w:ascii="Arial" w:hAnsi="Arial" w:cs="Arial"/>
          <w:sz w:val="22"/>
          <w:szCs w:val="22"/>
        </w:rPr>
      </w:pPr>
      <w:r w:rsidRPr="00C6024C">
        <w:rPr>
          <w:rFonts w:ascii="Arial" w:hAnsi="Arial" w:cs="Arial"/>
          <w:sz w:val="22"/>
          <w:szCs w:val="22"/>
        </w:rPr>
        <w:t xml:space="preserve">Hibino, M., Otaki, Y., Kobeissi, E., Pan, H., Hibino, H., Taddese, H., Majeed, A., Verma, S., Konta, T., Yamagata, K. and Fujimoto, S., </w:t>
      </w:r>
      <w:r w:rsidR="00C9633A" w:rsidRPr="00C6024C">
        <w:rPr>
          <w:rFonts w:ascii="Arial" w:hAnsi="Arial" w:cs="Arial"/>
          <w:sz w:val="22"/>
          <w:szCs w:val="22"/>
        </w:rPr>
        <w:t>(</w:t>
      </w:r>
      <w:r w:rsidRPr="00C6024C">
        <w:rPr>
          <w:rFonts w:ascii="Arial" w:hAnsi="Arial" w:cs="Arial"/>
          <w:sz w:val="22"/>
          <w:szCs w:val="22"/>
        </w:rPr>
        <w:t>2022</w:t>
      </w:r>
      <w:r w:rsidR="00C9633A" w:rsidRPr="00C6024C">
        <w:rPr>
          <w:rFonts w:ascii="Arial" w:hAnsi="Arial" w:cs="Arial"/>
          <w:sz w:val="22"/>
          <w:szCs w:val="22"/>
        </w:rPr>
        <w:t>)</w:t>
      </w:r>
      <w:r w:rsidRPr="00C6024C">
        <w:rPr>
          <w:rFonts w:ascii="Arial" w:hAnsi="Arial" w:cs="Arial"/>
          <w:sz w:val="22"/>
          <w:szCs w:val="22"/>
        </w:rPr>
        <w:t>. Blood pressure, hypertension, and the risk of aortic dissection incidence and mortality: results from the J-SCH study, the UK biobank study, and a meta-analysis of cohort studies. </w:t>
      </w:r>
      <w:r w:rsidRPr="00C6024C">
        <w:rPr>
          <w:rFonts w:ascii="Arial" w:hAnsi="Arial" w:cs="Arial"/>
          <w:i/>
          <w:iCs/>
          <w:sz w:val="22"/>
          <w:szCs w:val="22"/>
        </w:rPr>
        <w:t>Circulation</w:t>
      </w:r>
      <w:r w:rsidRPr="00C6024C">
        <w:rPr>
          <w:rFonts w:ascii="Arial" w:hAnsi="Arial" w:cs="Arial"/>
          <w:sz w:val="22"/>
          <w:szCs w:val="22"/>
        </w:rPr>
        <w:t>, </w:t>
      </w:r>
      <w:r w:rsidRPr="00C6024C">
        <w:rPr>
          <w:rFonts w:ascii="Arial" w:hAnsi="Arial" w:cs="Arial"/>
          <w:i/>
          <w:iCs/>
          <w:sz w:val="22"/>
          <w:szCs w:val="22"/>
        </w:rPr>
        <w:t>145</w:t>
      </w:r>
      <w:r w:rsidRPr="00C6024C">
        <w:rPr>
          <w:rFonts w:ascii="Arial" w:hAnsi="Arial" w:cs="Arial"/>
          <w:sz w:val="22"/>
          <w:szCs w:val="22"/>
        </w:rPr>
        <w:t>(9), pp.633-644.</w:t>
      </w:r>
    </w:p>
    <w:p w14:paraId="022C3F41" w14:textId="76BCECAE" w:rsidR="008859A8" w:rsidRPr="00C6024C" w:rsidRDefault="008859A8" w:rsidP="00A565F4">
      <w:pPr>
        <w:spacing w:line="360" w:lineRule="auto"/>
        <w:jc w:val="both"/>
        <w:rPr>
          <w:rFonts w:ascii="Arial" w:hAnsi="Arial" w:cs="Arial"/>
          <w:sz w:val="22"/>
          <w:szCs w:val="22"/>
        </w:rPr>
      </w:pPr>
      <w:r w:rsidRPr="00C6024C">
        <w:rPr>
          <w:rFonts w:ascii="Arial" w:hAnsi="Arial" w:cs="Arial"/>
          <w:sz w:val="22"/>
          <w:szCs w:val="22"/>
        </w:rPr>
        <w:t xml:space="preserve">Kreutz, R., Dobrowolski, P., Prejbisz, A., Algharably, E.A.H., Bilo, G., Creutzig, F., Grassi, G., Kotsis, V., Lovic, D., Lurbe, E. and Modesti, P.A., </w:t>
      </w:r>
      <w:r w:rsidR="00C9633A" w:rsidRPr="00C6024C">
        <w:rPr>
          <w:rFonts w:ascii="Arial" w:hAnsi="Arial" w:cs="Arial"/>
          <w:sz w:val="22"/>
          <w:szCs w:val="22"/>
        </w:rPr>
        <w:t>(</w:t>
      </w:r>
      <w:r w:rsidRPr="00C6024C">
        <w:rPr>
          <w:rFonts w:ascii="Arial" w:hAnsi="Arial" w:cs="Arial"/>
          <w:sz w:val="22"/>
          <w:szCs w:val="22"/>
        </w:rPr>
        <w:t>2021</w:t>
      </w:r>
      <w:r w:rsidR="00C9633A" w:rsidRPr="00C6024C">
        <w:rPr>
          <w:rFonts w:ascii="Arial" w:hAnsi="Arial" w:cs="Arial"/>
          <w:sz w:val="22"/>
          <w:szCs w:val="22"/>
        </w:rPr>
        <w:t>)</w:t>
      </w:r>
      <w:r w:rsidRPr="00C6024C">
        <w:rPr>
          <w:rFonts w:ascii="Arial" w:hAnsi="Arial" w:cs="Arial"/>
          <w:sz w:val="22"/>
          <w:szCs w:val="22"/>
        </w:rPr>
        <w:t>. Lifestyle, psychological, socioeconomic and environmental factors and their impact on hypertension during the coronavirus disease 2019 pandemic. </w:t>
      </w:r>
      <w:r w:rsidRPr="00C6024C">
        <w:rPr>
          <w:rFonts w:ascii="Arial" w:hAnsi="Arial" w:cs="Arial"/>
          <w:i/>
          <w:iCs/>
          <w:sz w:val="22"/>
          <w:szCs w:val="22"/>
        </w:rPr>
        <w:t>Journal of hypertension</w:t>
      </w:r>
      <w:r w:rsidRPr="00C6024C">
        <w:rPr>
          <w:rFonts w:ascii="Arial" w:hAnsi="Arial" w:cs="Arial"/>
          <w:sz w:val="22"/>
          <w:szCs w:val="22"/>
        </w:rPr>
        <w:t>, </w:t>
      </w:r>
      <w:r w:rsidRPr="00C6024C">
        <w:rPr>
          <w:rFonts w:ascii="Arial" w:hAnsi="Arial" w:cs="Arial"/>
          <w:i/>
          <w:iCs/>
          <w:sz w:val="22"/>
          <w:szCs w:val="22"/>
        </w:rPr>
        <w:t>39</w:t>
      </w:r>
      <w:r w:rsidRPr="00C6024C">
        <w:rPr>
          <w:rFonts w:ascii="Arial" w:hAnsi="Arial" w:cs="Arial"/>
          <w:sz w:val="22"/>
          <w:szCs w:val="22"/>
        </w:rPr>
        <w:t>(6), pp.1077-1089.</w:t>
      </w:r>
    </w:p>
    <w:p w14:paraId="6C190C9D" w14:textId="1FAC8F9A" w:rsidR="007B0846" w:rsidRPr="00C6024C" w:rsidRDefault="007B0846" w:rsidP="00A565F4">
      <w:pPr>
        <w:spacing w:line="360" w:lineRule="auto"/>
        <w:jc w:val="both"/>
        <w:rPr>
          <w:rFonts w:ascii="Arial" w:hAnsi="Arial" w:cs="Arial"/>
          <w:sz w:val="22"/>
          <w:szCs w:val="22"/>
        </w:rPr>
      </w:pPr>
      <w:r w:rsidRPr="00C6024C">
        <w:rPr>
          <w:rFonts w:ascii="Arial" w:hAnsi="Arial" w:cs="Arial"/>
          <w:sz w:val="22"/>
          <w:szCs w:val="22"/>
        </w:rPr>
        <w:t xml:space="preserve">Kotseva, K., Jennings, C., Bassett, P., Adamska, A., Hobbs, R. and Wood, D., </w:t>
      </w:r>
      <w:r w:rsidR="0062059C" w:rsidRPr="00C6024C">
        <w:rPr>
          <w:rFonts w:ascii="Arial" w:hAnsi="Arial" w:cs="Arial"/>
          <w:sz w:val="22"/>
          <w:szCs w:val="22"/>
        </w:rPr>
        <w:t>(</w:t>
      </w:r>
      <w:r w:rsidRPr="00C6024C">
        <w:rPr>
          <w:rFonts w:ascii="Arial" w:hAnsi="Arial" w:cs="Arial"/>
          <w:sz w:val="22"/>
          <w:szCs w:val="22"/>
        </w:rPr>
        <w:t>2024</w:t>
      </w:r>
      <w:r w:rsidR="0062059C" w:rsidRPr="00C6024C">
        <w:rPr>
          <w:rFonts w:ascii="Arial" w:hAnsi="Arial" w:cs="Arial"/>
          <w:sz w:val="22"/>
          <w:szCs w:val="22"/>
        </w:rPr>
        <w:t>)</w:t>
      </w:r>
      <w:r w:rsidRPr="00C6024C">
        <w:rPr>
          <w:rFonts w:ascii="Arial" w:hAnsi="Arial" w:cs="Arial"/>
          <w:sz w:val="22"/>
          <w:szCs w:val="22"/>
        </w:rPr>
        <w:t>. Challenge of cardiovascular prevention in primary care: achievement of lifestyle, blood pressure, lipids and diabetes targets for primary prevention in England–results from ASPIRE-3-PREVENT cross-sectional survey. </w:t>
      </w:r>
      <w:r w:rsidRPr="00C6024C">
        <w:rPr>
          <w:rFonts w:ascii="Arial" w:hAnsi="Arial" w:cs="Arial"/>
          <w:i/>
          <w:iCs/>
          <w:sz w:val="22"/>
          <w:szCs w:val="22"/>
        </w:rPr>
        <w:t>Open Heart</w:t>
      </w:r>
      <w:r w:rsidRPr="00C6024C">
        <w:rPr>
          <w:rFonts w:ascii="Arial" w:hAnsi="Arial" w:cs="Arial"/>
          <w:sz w:val="22"/>
          <w:szCs w:val="22"/>
        </w:rPr>
        <w:t>, </w:t>
      </w:r>
      <w:r w:rsidRPr="00C6024C">
        <w:rPr>
          <w:rFonts w:ascii="Arial" w:hAnsi="Arial" w:cs="Arial"/>
          <w:i/>
          <w:iCs/>
          <w:sz w:val="22"/>
          <w:szCs w:val="22"/>
        </w:rPr>
        <w:t>11</w:t>
      </w:r>
      <w:r w:rsidRPr="00C6024C">
        <w:rPr>
          <w:rFonts w:ascii="Arial" w:hAnsi="Arial" w:cs="Arial"/>
          <w:sz w:val="22"/>
          <w:szCs w:val="22"/>
        </w:rPr>
        <w:t>(2), p.e002704.</w:t>
      </w:r>
    </w:p>
    <w:p w14:paraId="3711334F" w14:textId="61162AB0" w:rsidR="00E50944" w:rsidRPr="00C6024C" w:rsidRDefault="00E50944" w:rsidP="00A565F4">
      <w:pPr>
        <w:spacing w:line="360" w:lineRule="auto"/>
        <w:jc w:val="both"/>
        <w:rPr>
          <w:rFonts w:ascii="Arial" w:hAnsi="Arial" w:cs="Arial"/>
          <w:sz w:val="22"/>
          <w:szCs w:val="22"/>
        </w:rPr>
      </w:pPr>
      <w:r w:rsidRPr="00C6024C">
        <w:rPr>
          <w:rFonts w:ascii="Arial" w:hAnsi="Arial" w:cs="Arial"/>
          <w:sz w:val="22"/>
          <w:szCs w:val="22"/>
        </w:rPr>
        <w:t xml:space="preserve">Kulkarni, S., Faconti, L., Partridge, S., Delles, C., Glover, M., Lewis, P., Gray, A., Hodson, E., Macintyre, I., Maniero, C. and McEniery, C.M., </w:t>
      </w:r>
      <w:r w:rsidR="005C2CF3" w:rsidRPr="00C6024C">
        <w:rPr>
          <w:rFonts w:ascii="Arial" w:hAnsi="Arial" w:cs="Arial"/>
          <w:sz w:val="22"/>
          <w:szCs w:val="22"/>
        </w:rPr>
        <w:t>(</w:t>
      </w:r>
      <w:r w:rsidRPr="00C6024C">
        <w:rPr>
          <w:rFonts w:ascii="Arial" w:hAnsi="Arial" w:cs="Arial"/>
          <w:sz w:val="22"/>
          <w:szCs w:val="22"/>
        </w:rPr>
        <w:t>2024</w:t>
      </w:r>
      <w:r w:rsidR="005C2CF3" w:rsidRPr="00C6024C">
        <w:rPr>
          <w:rFonts w:ascii="Arial" w:hAnsi="Arial" w:cs="Arial"/>
          <w:sz w:val="22"/>
          <w:szCs w:val="22"/>
        </w:rPr>
        <w:t>)</w:t>
      </w:r>
      <w:r w:rsidRPr="00C6024C">
        <w:rPr>
          <w:rFonts w:ascii="Arial" w:hAnsi="Arial" w:cs="Arial"/>
          <w:sz w:val="22"/>
          <w:szCs w:val="22"/>
        </w:rPr>
        <w:t>. Investigation and management of young-onset hypertension: British and Irish hypertension society position statement. </w:t>
      </w:r>
      <w:r w:rsidRPr="00C6024C">
        <w:rPr>
          <w:rFonts w:ascii="Arial" w:hAnsi="Arial" w:cs="Arial"/>
          <w:i/>
          <w:iCs/>
          <w:sz w:val="22"/>
          <w:szCs w:val="22"/>
        </w:rPr>
        <w:t>Journal of Human Hypertension</w:t>
      </w:r>
      <w:r w:rsidRPr="00C6024C">
        <w:rPr>
          <w:rFonts w:ascii="Arial" w:hAnsi="Arial" w:cs="Arial"/>
          <w:sz w:val="22"/>
          <w:szCs w:val="22"/>
        </w:rPr>
        <w:t>, </w:t>
      </w:r>
      <w:r w:rsidRPr="00C6024C">
        <w:rPr>
          <w:rFonts w:ascii="Arial" w:hAnsi="Arial" w:cs="Arial"/>
          <w:i/>
          <w:iCs/>
          <w:sz w:val="22"/>
          <w:szCs w:val="22"/>
        </w:rPr>
        <w:t>38</w:t>
      </w:r>
      <w:r w:rsidRPr="00C6024C">
        <w:rPr>
          <w:rFonts w:ascii="Arial" w:hAnsi="Arial" w:cs="Arial"/>
          <w:sz w:val="22"/>
          <w:szCs w:val="22"/>
        </w:rPr>
        <w:t>(7), pp.544-554.</w:t>
      </w:r>
    </w:p>
    <w:p w14:paraId="6DFB2D26" w14:textId="3DE6EC34" w:rsidR="005240B3" w:rsidRPr="00C6024C" w:rsidRDefault="005240B3" w:rsidP="00A565F4">
      <w:pPr>
        <w:spacing w:line="360" w:lineRule="auto"/>
        <w:jc w:val="both"/>
        <w:rPr>
          <w:rFonts w:ascii="Arial" w:hAnsi="Arial" w:cs="Arial"/>
          <w:sz w:val="22"/>
          <w:szCs w:val="22"/>
        </w:rPr>
      </w:pPr>
      <w:r w:rsidRPr="00C6024C">
        <w:rPr>
          <w:rFonts w:ascii="Arial" w:hAnsi="Arial" w:cs="Arial"/>
          <w:sz w:val="22"/>
          <w:szCs w:val="22"/>
        </w:rPr>
        <w:t xml:space="preserve">Lopes, S., Félix, G., Mesquita-Bastos, J., Figueiredo, D., Oliveira, J. and Ribeiro, F., </w:t>
      </w:r>
      <w:r w:rsidR="00E17816" w:rsidRPr="00C6024C">
        <w:rPr>
          <w:rFonts w:ascii="Arial" w:hAnsi="Arial" w:cs="Arial"/>
          <w:sz w:val="22"/>
          <w:szCs w:val="22"/>
        </w:rPr>
        <w:t>(</w:t>
      </w:r>
      <w:r w:rsidRPr="00C6024C">
        <w:rPr>
          <w:rFonts w:ascii="Arial" w:hAnsi="Arial" w:cs="Arial"/>
          <w:sz w:val="22"/>
          <w:szCs w:val="22"/>
        </w:rPr>
        <w:t>2021</w:t>
      </w:r>
      <w:r w:rsidR="00E17816" w:rsidRPr="00C6024C">
        <w:rPr>
          <w:rFonts w:ascii="Arial" w:hAnsi="Arial" w:cs="Arial"/>
          <w:sz w:val="22"/>
          <w:szCs w:val="22"/>
        </w:rPr>
        <w:t>)</w:t>
      </w:r>
      <w:r w:rsidRPr="00C6024C">
        <w:rPr>
          <w:rFonts w:ascii="Arial" w:hAnsi="Arial" w:cs="Arial"/>
          <w:sz w:val="22"/>
          <w:szCs w:val="22"/>
        </w:rPr>
        <w:t>. Determinants of exercise adherence and maintenance among patients with hypertension: a narrative review. </w:t>
      </w:r>
      <w:r w:rsidRPr="00C6024C">
        <w:rPr>
          <w:rFonts w:ascii="Arial" w:hAnsi="Arial" w:cs="Arial"/>
          <w:i/>
          <w:iCs/>
          <w:sz w:val="22"/>
          <w:szCs w:val="22"/>
        </w:rPr>
        <w:t>Reviews in Cardiovascular Medicine</w:t>
      </w:r>
      <w:r w:rsidRPr="00C6024C">
        <w:rPr>
          <w:rFonts w:ascii="Arial" w:hAnsi="Arial" w:cs="Arial"/>
          <w:sz w:val="22"/>
          <w:szCs w:val="22"/>
        </w:rPr>
        <w:t>, </w:t>
      </w:r>
      <w:r w:rsidRPr="00C6024C">
        <w:rPr>
          <w:rFonts w:ascii="Arial" w:hAnsi="Arial" w:cs="Arial"/>
          <w:i/>
          <w:iCs/>
          <w:sz w:val="22"/>
          <w:szCs w:val="22"/>
        </w:rPr>
        <w:t>22</w:t>
      </w:r>
      <w:r w:rsidRPr="00C6024C">
        <w:rPr>
          <w:rFonts w:ascii="Arial" w:hAnsi="Arial" w:cs="Arial"/>
          <w:sz w:val="22"/>
          <w:szCs w:val="22"/>
        </w:rPr>
        <w:t>(4), pp.1271-1278.</w:t>
      </w:r>
    </w:p>
    <w:p w14:paraId="34CD135E" w14:textId="76B99730" w:rsidR="00E8778F" w:rsidRPr="00C6024C" w:rsidRDefault="00E8778F" w:rsidP="00A565F4">
      <w:pPr>
        <w:spacing w:line="360" w:lineRule="auto"/>
        <w:jc w:val="both"/>
        <w:rPr>
          <w:rFonts w:ascii="Arial" w:hAnsi="Arial" w:cs="Arial"/>
          <w:sz w:val="22"/>
          <w:szCs w:val="22"/>
        </w:rPr>
      </w:pPr>
      <w:r w:rsidRPr="00C6024C">
        <w:rPr>
          <w:rFonts w:ascii="Arial" w:hAnsi="Arial" w:cs="Arial"/>
          <w:sz w:val="22"/>
          <w:szCs w:val="22"/>
        </w:rPr>
        <w:t xml:space="preserve">Macumber, I. and South, A.M., </w:t>
      </w:r>
      <w:r w:rsidR="003067EE" w:rsidRPr="00C6024C">
        <w:rPr>
          <w:rFonts w:ascii="Arial" w:hAnsi="Arial" w:cs="Arial"/>
          <w:sz w:val="22"/>
          <w:szCs w:val="22"/>
        </w:rPr>
        <w:t>(</w:t>
      </w:r>
      <w:r w:rsidRPr="00C6024C">
        <w:rPr>
          <w:rFonts w:ascii="Arial" w:hAnsi="Arial" w:cs="Arial"/>
          <w:sz w:val="22"/>
          <w:szCs w:val="22"/>
        </w:rPr>
        <w:t>2023</w:t>
      </w:r>
      <w:r w:rsidR="003067EE" w:rsidRPr="00C6024C">
        <w:rPr>
          <w:rFonts w:ascii="Arial" w:hAnsi="Arial" w:cs="Arial"/>
          <w:sz w:val="22"/>
          <w:szCs w:val="22"/>
        </w:rPr>
        <w:t>)</w:t>
      </w:r>
      <w:r w:rsidRPr="00C6024C">
        <w:rPr>
          <w:rFonts w:ascii="Arial" w:hAnsi="Arial" w:cs="Arial"/>
          <w:sz w:val="22"/>
          <w:szCs w:val="22"/>
        </w:rPr>
        <w:t>. Hypertension: epidemiology, evaluation, and blood pressure monitoring. In </w:t>
      </w:r>
      <w:r w:rsidRPr="00C6024C">
        <w:rPr>
          <w:rFonts w:ascii="Arial" w:hAnsi="Arial" w:cs="Arial"/>
          <w:i/>
          <w:iCs/>
          <w:sz w:val="22"/>
          <w:szCs w:val="22"/>
        </w:rPr>
        <w:t>Pediatric kidney disease</w:t>
      </w:r>
      <w:r w:rsidRPr="00C6024C">
        <w:rPr>
          <w:rFonts w:ascii="Arial" w:hAnsi="Arial" w:cs="Arial"/>
          <w:sz w:val="22"/>
          <w:szCs w:val="22"/>
        </w:rPr>
        <w:t> (pp. 1283-1316). Cham: Springer International Publishing.</w:t>
      </w:r>
    </w:p>
    <w:p w14:paraId="083A730C" w14:textId="2F0A5909" w:rsidR="00373ED4" w:rsidRPr="00C6024C" w:rsidRDefault="00373ED4" w:rsidP="00A565F4">
      <w:pPr>
        <w:spacing w:line="360" w:lineRule="auto"/>
        <w:jc w:val="both"/>
        <w:rPr>
          <w:rFonts w:ascii="Arial" w:hAnsi="Arial" w:cs="Arial"/>
          <w:sz w:val="22"/>
          <w:szCs w:val="22"/>
        </w:rPr>
      </w:pPr>
      <w:r w:rsidRPr="00C6024C">
        <w:rPr>
          <w:rFonts w:ascii="Arial" w:hAnsi="Arial" w:cs="Arial"/>
          <w:sz w:val="22"/>
          <w:szCs w:val="22"/>
        </w:rPr>
        <w:t xml:space="preserve">Marissangan, H., </w:t>
      </w:r>
      <w:r w:rsidR="008725CD" w:rsidRPr="00C6024C">
        <w:rPr>
          <w:rFonts w:ascii="Arial" w:hAnsi="Arial" w:cs="Arial"/>
          <w:sz w:val="22"/>
          <w:szCs w:val="22"/>
        </w:rPr>
        <w:t>(</w:t>
      </w:r>
      <w:r w:rsidRPr="00C6024C">
        <w:rPr>
          <w:rFonts w:ascii="Arial" w:hAnsi="Arial" w:cs="Arial"/>
          <w:sz w:val="22"/>
          <w:szCs w:val="22"/>
        </w:rPr>
        <w:t>2024</w:t>
      </w:r>
      <w:r w:rsidR="008725CD" w:rsidRPr="00C6024C">
        <w:rPr>
          <w:rFonts w:ascii="Arial" w:hAnsi="Arial" w:cs="Arial"/>
          <w:sz w:val="22"/>
          <w:szCs w:val="22"/>
        </w:rPr>
        <w:t>)</w:t>
      </w:r>
      <w:r w:rsidRPr="00C6024C">
        <w:rPr>
          <w:rFonts w:ascii="Arial" w:hAnsi="Arial" w:cs="Arial"/>
          <w:sz w:val="22"/>
          <w:szCs w:val="22"/>
        </w:rPr>
        <w:t>. Epidemiological Analysis of Hypertension in Indonesia: Trends, Risk Factors, and Public Health Impacts: Literature Review Study. </w:t>
      </w:r>
      <w:r w:rsidRPr="00C6024C">
        <w:rPr>
          <w:rFonts w:ascii="Arial" w:hAnsi="Arial" w:cs="Arial"/>
          <w:i/>
          <w:iCs/>
          <w:sz w:val="22"/>
          <w:szCs w:val="22"/>
        </w:rPr>
        <w:t>Innovative: Journal Of Social Science Research</w:t>
      </w:r>
      <w:r w:rsidRPr="00C6024C">
        <w:rPr>
          <w:rFonts w:ascii="Arial" w:hAnsi="Arial" w:cs="Arial"/>
          <w:sz w:val="22"/>
          <w:szCs w:val="22"/>
        </w:rPr>
        <w:t>, </w:t>
      </w:r>
      <w:r w:rsidRPr="00C6024C">
        <w:rPr>
          <w:rFonts w:ascii="Arial" w:hAnsi="Arial" w:cs="Arial"/>
          <w:i/>
          <w:iCs/>
          <w:sz w:val="22"/>
          <w:szCs w:val="22"/>
        </w:rPr>
        <w:t>4</w:t>
      </w:r>
      <w:r w:rsidRPr="00C6024C">
        <w:rPr>
          <w:rFonts w:ascii="Arial" w:hAnsi="Arial" w:cs="Arial"/>
          <w:sz w:val="22"/>
          <w:szCs w:val="22"/>
        </w:rPr>
        <w:t>(2), pp.1783-1796.</w:t>
      </w:r>
    </w:p>
    <w:p w14:paraId="723FAF02" w14:textId="28B82324" w:rsidR="00AD32D1" w:rsidRPr="00C6024C" w:rsidRDefault="00AD32D1" w:rsidP="00A565F4">
      <w:pPr>
        <w:spacing w:line="360" w:lineRule="auto"/>
        <w:jc w:val="both"/>
        <w:rPr>
          <w:rFonts w:ascii="Arial" w:hAnsi="Arial" w:cs="Arial"/>
          <w:sz w:val="22"/>
          <w:szCs w:val="22"/>
        </w:rPr>
      </w:pPr>
      <w:r w:rsidRPr="00C6024C">
        <w:rPr>
          <w:rFonts w:ascii="Arial" w:hAnsi="Arial" w:cs="Arial"/>
          <w:sz w:val="22"/>
          <w:szCs w:val="22"/>
        </w:rPr>
        <w:t xml:space="preserve">Morrissey, E.C., Harney, O.M., Hogan, M.J., Murphy, P.J., O’Grady, L., Byrne, M., Casey, M., Duane, S., Durand, H., Hayes, P. and McDevitt, C., </w:t>
      </w:r>
      <w:r w:rsidR="001D52AA" w:rsidRPr="00C6024C">
        <w:rPr>
          <w:rFonts w:ascii="Arial" w:hAnsi="Arial" w:cs="Arial"/>
          <w:sz w:val="22"/>
          <w:szCs w:val="22"/>
        </w:rPr>
        <w:t>(</w:t>
      </w:r>
      <w:r w:rsidRPr="00C6024C">
        <w:rPr>
          <w:rFonts w:ascii="Arial" w:hAnsi="Arial" w:cs="Arial"/>
          <w:sz w:val="22"/>
          <w:szCs w:val="22"/>
        </w:rPr>
        <w:t>2024</w:t>
      </w:r>
      <w:r w:rsidR="001D52AA" w:rsidRPr="00C6024C">
        <w:rPr>
          <w:rFonts w:ascii="Arial" w:hAnsi="Arial" w:cs="Arial"/>
          <w:sz w:val="22"/>
          <w:szCs w:val="22"/>
        </w:rPr>
        <w:t>)</w:t>
      </w:r>
      <w:r w:rsidRPr="00C6024C">
        <w:rPr>
          <w:rFonts w:ascii="Arial" w:hAnsi="Arial" w:cs="Arial"/>
          <w:sz w:val="22"/>
          <w:szCs w:val="22"/>
        </w:rPr>
        <w:t xml:space="preserve">. Supporting General Practitioners </w:t>
      </w:r>
      <w:r w:rsidRPr="00C6024C">
        <w:rPr>
          <w:rFonts w:ascii="Arial" w:hAnsi="Arial" w:cs="Arial"/>
          <w:sz w:val="22"/>
          <w:szCs w:val="22"/>
        </w:rPr>
        <w:lastRenderedPageBreak/>
        <w:t>and people with hypertension to maximise medication use to control blood pressure: the contribution of Collective Intelligence to the development of the ‘Maximising Adherence, Minimising Inertia’(MIAMI) intervention. </w:t>
      </w:r>
      <w:r w:rsidRPr="00C6024C">
        <w:rPr>
          <w:rFonts w:ascii="Arial" w:hAnsi="Arial" w:cs="Arial"/>
          <w:i/>
          <w:iCs/>
          <w:sz w:val="22"/>
          <w:szCs w:val="22"/>
        </w:rPr>
        <w:t>Health Psychology and Behavioral Medicine</w:t>
      </w:r>
      <w:r w:rsidRPr="00C6024C">
        <w:rPr>
          <w:rFonts w:ascii="Arial" w:hAnsi="Arial" w:cs="Arial"/>
          <w:sz w:val="22"/>
          <w:szCs w:val="22"/>
        </w:rPr>
        <w:t>, </w:t>
      </w:r>
      <w:r w:rsidRPr="00C6024C">
        <w:rPr>
          <w:rFonts w:ascii="Arial" w:hAnsi="Arial" w:cs="Arial"/>
          <w:i/>
          <w:iCs/>
          <w:sz w:val="22"/>
          <w:szCs w:val="22"/>
        </w:rPr>
        <w:t>12</w:t>
      </w:r>
      <w:r w:rsidRPr="00C6024C">
        <w:rPr>
          <w:rFonts w:ascii="Arial" w:hAnsi="Arial" w:cs="Arial"/>
          <w:sz w:val="22"/>
          <w:szCs w:val="22"/>
        </w:rPr>
        <w:t>(1), p.2404038.</w:t>
      </w:r>
    </w:p>
    <w:p w14:paraId="6F8A7D05" w14:textId="46033DD0" w:rsidR="00864346" w:rsidRPr="00C6024C" w:rsidRDefault="00864346" w:rsidP="00A565F4">
      <w:pPr>
        <w:spacing w:line="360" w:lineRule="auto"/>
        <w:jc w:val="both"/>
        <w:rPr>
          <w:rFonts w:ascii="Arial" w:hAnsi="Arial" w:cs="Arial"/>
          <w:sz w:val="22"/>
          <w:szCs w:val="22"/>
        </w:rPr>
      </w:pPr>
      <w:r w:rsidRPr="00C6024C">
        <w:rPr>
          <w:rFonts w:ascii="Arial" w:hAnsi="Arial" w:cs="Arial"/>
          <w:sz w:val="22"/>
          <w:szCs w:val="22"/>
        </w:rPr>
        <w:t xml:space="preserve">NHS England Digital (2023), </w:t>
      </w:r>
      <w:hyperlink r:id="rId9" w:history="1">
        <w:r w:rsidRPr="00C6024C">
          <w:rPr>
            <w:rStyle w:val="Hyperlink"/>
            <w:rFonts w:ascii="Arial" w:hAnsi="Arial" w:cs="Arial"/>
            <w:sz w:val="22"/>
            <w:szCs w:val="22"/>
          </w:rPr>
          <w:t>https://digital.nhs.uk/data-and-information/publications/statistical/health-survey-for-england/2021-part-2/adult-health-hypertension</w:t>
        </w:r>
      </w:hyperlink>
    </w:p>
    <w:p w14:paraId="218BEDA4" w14:textId="368FEF62" w:rsidR="00D54000" w:rsidRPr="00C6024C" w:rsidRDefault="00D54000" w:rsidP="00A565F4">
      <w:pPr>
        <w:spacing w:line="360" w:lineRule="auto"/>
        <w:jc w:val="both"/>
        <w:rPr>
          <w:rFonts w:ascii="Arial" w:hAnsi="Arial" w:cs="Arial"/>
          <w:sz w:val="22"/>
          <w:szCs w:val="22"/>
        </w:rPr>
      </w:pPr>
      <w:r w:rsidRPr="00C6024C">
        <w:rPr>
          <w:rFonts w:ascii="Arial" w:hAnsi="Arial" w:cs="Arial"/>
          <w:sz w:val="22"/>
          <w:szCs w:val="22"/>
        </w:rPr>
        <w:t xml:space="preserve">Nicoriciu, A.M. and Elliot, M., </w:t>
      </w:r>
      <w:r w:rsidR="00C46CCE" w:rsidRPr="00C6024C">
        <w:rPr>
          <w:rFonts w:ascii="Arial" w:hAnsi="Arial" w:cs="Arial"/>
          <w:sz w:val="22"/>
          <w:szCs w:val="22"/>
        </w:rPr>
        <w:t>(</w:t>
      </w:r>
      <w:r w:rsidRPr="00C6024C">
        <w:rPr>
          <w:rFonts w:ascii="Arial" w:hAnsi="Arial" w:cs="Arial"/>
          <w:sz w:val="22"/>
          <w:szCs w:val="22"/>
        </w:rPr>
        <w:t>2023</w:t>
      </w:r>
      <w:r w:rsidR="00C46CCE" w:rsidRPr="00C6024C">
        <w:rPr>
          <w:rFonts w:ascii="Arial" w:hAnsi="Arial" w:cs="Arial"/>
          <w:sz w:val="22"/>
          <w:szCs w:val="22"/>
        </w:rPr>
        <w:t>)</w:t>
      </w:r>
      <w:r w:rsidRPr="00C6024C">
        <w:rPr>
          <w:rFonts w:ascii="Arial" w:hAnsi="Arial" w:cs="Arial"/>
          <w:sz w:val="22"/>
          <w:szCs w:val="22"/>
        </w:rPr>
        <w:t>. Families of children with disabilities: income poverty, material deprivation, and unpaid care in the UK. </w:t>
      </w:r>
      <w:r w:rsidRPr="00C6024C">
        <w:rPr>
          <w:rFonts w:ascii="Arial" w:hAnsi="Arial" w:cs="Arial"/>
          <w:i/>
          <w:iCs/>
          <w:sz w:val="22"/>
          <w:szCs w:val="22"/>
        </w:rPr>
        <w:t>Humanities and Social Sciences Communications</w:t>
      </w:r>
      <w:r w:rsidRPr="00C6024C">
        <w:rPr>
          <w:rFonts w:ascii="Arial" w:hAnsi="Arial" w:cs="Arial"/>
          <w:sz w:val="22"/>
          <w:szCs w:val="22"/>
        </w:rPr>
        <w:t>, </w:t>
      </w:r>
      <w:r w:rsidRPr="00C6024C">
        <w:rPr>
          <w:rFonts w:ascii="Arial" w:hAnsi="Arial" w:cs="Arial"/>
          <w:i/>
          <w:iCs/>
          <w:sz w:val="22"/>
          <w:szCs w:val="22"/>
        </w:rPr>
        <w:t>10</w:t>
      </w:r>
      <w:r w:rsidRPr="00C6024C">
        <w:rPr>
          <w:rFonts w:ascii="Arial" w:hAnsi="Arial" w:cs="Arial"/>
          <w:sz w:val="22"/>
          <w:szCs w:val="22"/>
        </w:rPr>
        <w:t>(1), pp.1-11.</w:t>
      </w:r>
    </w:p>
    <w:p w14:paraId="4143783B" w14:textId="76D8C1FC" w:rsidR="005240B3" w:rsidRPr="00C6024C" w:rsidRDefault="005240B3" w:rsidP="00A565F4">
      <w:pPr>
        <w:spacing w:line="360" w:lineRule="auto"/>
        <w:jc w:val="both"/>
        <w:rPr>
          <w:rFonts w:ascii="Arial" w:hAnsi="Arial" w:cs="Arial"/>
          <w:sz w:val="22"/>
          <w:szCs w:val="22"/>
        </w:rPr>
      </w:pPr>
      <w:r w:rsidRPr="00C6024C">
        <w:rPr>
          <w:rFonts w:ascii="Arial" w:hAnsi="Arial" w:cs="Arial"/>
          <w:sz w:val="22"/>
          <w:szCs w:val="22"/>
        </w:rPr>
        <w:t xml:space="preserve">Meher, M., Pradhan, S., Pradhan, S.R. and PRADHAN, D.S., </w:t>
      </w:r>
      <w:r w:rsidR="00C46CCE" w:rsidRPr="00C6024C">
        <w:rPr>
          <w:rFonts w:ascii="Arial" w:hAnsi="Arial" w:cs="Arial"/>
          <w:sz w:val="22"/>
          <w:szCs w:val="22"/>
        </w:rPr>
        <w:t>(</w:t>
      </w:r>
      <w:r w:rsidRPr="00C6024C">
        <w:rPr>
          <w:rFonts w:ascii="Arial" w:hAnsi="Arial" w:cs="Arial"/>
          <w:sz w:val="22"/>
          <w:szCs w:val="22"/>
        </w:rPr>
        <w:t>2023</w:t>
      </w:r>
      <w:r w:rsidR="00C46CCE" w:rsidRPr="00C6024C">
        <w:rPr>
          <w:rFonts w:ascii="Arial" w:hAnsi="Arial" w:cs="Arial"/>
          <w:sz w:val="22"/>
          <w:szCs w:val="22"/>
        </w:rPr>
        <w:t>)</w:t>
      </w:r>
      <w:r w:rsidRPr="00C6024C">
        <w:rPr>
          <w:rFonts w:ascii="Arial" w:hAnsi="Arial" w:cs="Arial"/>
          <w:sz w:val="22"/>
          <w:szCs w:val="22"/>
        </w:rPr>
        <w:t>. Risk factors associated with hypertension in young adults: a systematic review. </w:t>
      </w:r>
      <w:r w:rsidRPr="00C6024C">
        <w:rPr>
          <w:rFonts w:ascii="Arial" w:hAnsi="Arial" w:cs="Arial"/>
          <w:i/>
          <w:iCs/>
          <w:sz w:val="22"/>
          <w:szCs w:val="22"/>
        </w:rPr>
        <w:t>Cureus</w:t>
      </w:r>
      <w:r w:rsidRPr="00C6024C">
        <w:rPr>
          <w:rFonts w:ascii="Arial" w:hAnsi="Arial" w:cs="Arial"/>
          <w:sz w:val="22"/>
          <w:szCs w:val="22"/>
        </w:rPr>
        <w:t>, </w:t>
      </w:r>
      <w:r w:rsidRPr="00C6024C">
        <w:rPr>
          <w:rFonts w:ascii="Arial" w:hAnsi="Arial" w:cs="Arial"/>
          <w:i/>
          <w:iCs/>
          <w:sz w:val="22"/>
          <w:szCs w:val="22"/>
        </w:rPr>
        <w:t>15</w:t>
      </w:r>
      <w:r w:rsidRPr="00C6024C">
        <w:rPr>
          <w:rFonts w:ascii="Arial" w:hAnsi="Arial" w:cs="Arial"/>
          <w:sz w:val="22"/>
          <w:szCs w:val="22"/>
        </w:rPr>
        <w:t>(4).</w:t>
      </w:r>
    </w:p>
    <w:p w14:paraId="09AC1947" w14:textId="5BA352A3" w:rsidR="00373ED4" w:rsidRPr="00C6024C" w:rsidRDefault="00373ED4" w:rsidP="00A565F4">
      <w:pPr>
        <w:spacing w:line="360" w:lineRule="auto"/>
        <w:jc w:val="both"/>
        <w:rPr>
          <w:rFonts w:ascii="Arial" w:hAnsi="Arial" w:cs="Arial"/>
          <w:sz w:val="22"/>
          <w:szCs w:val="22"/>
        </w:rPr>
      </w:pPr>
      <w:r w:rsidRPr="00C6024C">
        <w:rPr>
          <w:rFonts w:ascii="Arial" w:hAnsi="Arial" w:cs="Arial"/>
          <w:sz w:val="22"/>
          <w:szCs w:val="22"/>
        </w:rPr>
        <w:t xml:space="preserve">Olié, V., Chatignoux, E., Bonaldi, C., Grave, C., Gabet, A. and Blacher, J., </w:t>
      </w:r>
      <w:r w:rsidR="00C46CCE" w:rsidRPr="00C6024C">
        <w:rPr>
          <w:rFonts w:ascii="Arial" w:hAnsi="Arial" w:cs="Arial"/>
          <w:sz w:val="22"/>
          <w:szCs w:val="22"/>
        </w:rPr>
        <w:t>(</w:t>
      </w:r>
      <w:r w:rsidRPr="00C6024C">
        <w:rPr>
          <w:rFonts w:ascii="Arial" w:hAnsi="Arial" w:cs="Arial"/>
          <w:sz w:val="22"/>
          <w:szCs w:val="22"/>
        </w:rPr>
        <w:t>2022</w:t>
      </w:r>
      <w:r w:rsidR="00C46CCE" w:rsidRPr="00C6024C">
        <w:rPr>
          <w:rFonts w:ascii="Arial" w:hAnsi="Arial" w:cs="Arial"/>
          <w:sz w:val="22"/>
          <w:szCs w:val="22"/>
        </w:rPr>
        <w:t>)</w:t>
      </w:r>
      <w:r w:rsidRPr="00C6024C">
        <w:rPr>
          <w:rFonts w:ascii="Arial" w:hAnsi="Arial" w:cs="Arial"/>
          <w:sz w:val="22"/>
          <w:szCs w:val="22"/>
        </w:rPr>
        <w:t>. How to avoid overestimating the burden of hypertension in epidemiological studies? A new methodology to account for within-person variability of blood pressure. </w:t>
      </w:r>
      <w:r w:rsidRPr="00C6024C">
        <w:rPr>
          <w:rFonts w:ascii="Arial" w:hAnsi="Arial" w:cs="Arial"/>
          <w:i/>
          <w:iCs/>
          <w:sz w:val="22"/>
          <w:szCs w:val="22"/>
        </w:rPr>
        <w:t>International Journal of Epidemiology</w:t>
      </w:r>
      <w:r w:rsidRPr="00C6024C">
        <w:rPr>
          <w:rFonts w:ascii="Arial" w:hAnsi="Arial" w:cs="Arial"/>
          <w:sz w:val="22"/>
          <w:szCs w:val="22"/>
        </w:rPr>
        <w:t>, </w:t>
      </w:r>
      <w:r w:rsidRPr="00C6024C">
        <w:rPr>
          <w:rFonts w:ascii="Arial" w:hAnsi="Arial" w:cs="Arial"/>
          <w:i/>
          <w:iCs/>
          <w:sz w:val="22"/>
          <w:szCs w:val="22"/>
        </w:rPr>
        <w:t>51</w:t>
      </w:r>
      <w:r w:rsidRPr="00C6024C">
        <w:rPr>
          <w:rFonts w:ascii="Arial" w:hAnsi="Arial" w:cs="Arial"/>
          <w:sz w:val="22"/>
          <w:szCs w:val="22"/>
        </w:rPr>
        <w:t>(6), pp.1824-1834.</w:t>
      </w:r>
    </w:p>
    <w:p w14:paraId="6E01E526" w14:textId="350016B9" w:rsidR="006861D8" w:rsidRPr="00C6024C" w:rsidRDefault="006861D8" w:rsidP="00A565F4">
      <w:pPr>
        <w:spacing w:line="360" w:lineRule="auto"/>
        <w:jc w:val="both"/>
        <w:rPr>
          <w:rFonts w:ascii="Arial" w:hAnsi="Arial" w:cs="Arial"/>
          <w:sz w:val="22"/>
          <w:szCs w:val="22"/>
        </w:rPr>
      </w:pPr>
      <w:r w:rsidRPr="00C6024C">
        <w:rPr>
          <w:rFonts w:ascii="Arial" w:hAnsi="Arial" w:cs="Arial"/>
          <w:sz w:val="22"/>
          <w:szCs w:val="22"/>
        </w:rPr>
        <w:t xml:space="preserve">O'Nions, E., Lewer, D., Petersen, I., Brown, J., Buckman, J.E., Charlton, R., Cooper, C., El Baou, C., Happé, F., Manthorpe, J. and McKechnie, D.G., </w:t>
      </w:r>
      <w:r w:rsidR="00C46CCE" w:rsidRPr="00C6024C">
        <w:rPr>
          <w:rFonts w:ascii="Arial" w:hAnsi="Arial" w:cs="Arial"/>
          <w:sz w:val="22"/>
          <w:szCs w:val="22"/>
        </w:rPr>
        <w:t>(</w:t>
      </w:r>
      <w:r w:rsidRPr="00C6024C">
        <w:rPr>
          <w:rFonts w:ascii="Arial" w:hAnsi="Arial" w:cs="Arial"/>
          <w:sz w:val="22"/>
          <w:szCs w:val="22"/>
        </w:rPr>
        <w:t>2024</w:t>
      </w:r>
      <w:r w:rsidR="00C46CCE" w:rsidRPr="00C6024C">
        <w:rPr>
          <w:rFonts w:ascii="Arial" w:hAnsi="Arial" w:cs="Arial"/>
          <w:sz w:val="22"/>
          <w:szCs w:val="22"/>
        </w:rPr>
        <w:t>)</w:t>
      </w:r>
      <w:r w:rsidRPr="00C6024C">
        <w:rPr>
          <w:rFonts w:ascii="Arial" w:hAnsi="Arial" w:cs="Arial"/>
          <w:sz w:val="22"/>
          <w:szCs w:val="22"/>
        </w:rPr>
        <w:t>. Estimating life expectancy and years of life lost for autistic people in the UK: a matched cohort study. </w:t>
      </w:r>
      <w:r w:rsidRPr="00C6024C">
        <w:rPr>
          <w:rFonts w:ascii="Arial" w:hAnsi="Arial" w:cs="Arial"/>
          <w:i/>
          <w:iCs/>
          <w:sz w:val="22"/>
          <w:szCs w:val="22"/>
        </w:rPr>
        <w:t>The Lancet Regional Health–Europe</w:t>
      </w:r>
      <w:r w:rsidRPr="00C6024C">
        <w:rPr>
          <w:rFonts w:ascii="Arial" w:hAnsi="Arial" w:cs="Arial"/>
          <w:sz w:val="22"/>
          <w:szCs w:val="22"/>
        </w:rPr>
        <w:t>, </w:t>
      </w:r>
      <w:r w:rsidRPr="00C6024C">
        <w:rPr>
          <w:rFonts w:ascii="Arial" w:hAnsi="Arial" w:cs="Arial"/>
          <w:i/>
          <w:iCs/>
          <w:sz w:val="22"/>
          <w:szCs w:val="22"/>
        </w:rPr>
        <w:t>36</w:t>
      </w:r>
      <w:r w:rsidRPr="00C6024C">
        <w:rPr>
          <w:rFonts w:ascii="Arial" w:hAnsi="Arial" w:cs="Arial"/>
          <w:sz w:val="22"/>
          <w:szCs w:val="22"/>
        </w:rPr>
        <w:t>.</w:t>
      </w:r>
    </w:p>
    <w:p w14:paraId="3B36281E" w14:textId="16AB0280" w:rsidR="00F85AB8" w:rsidRPr="00C6024C" w:rsidRDefault="00F85AB8" w:rsidP="00A565F4">
      <w:pPr>
        <w:spacing w:line="360" w:lineRule="auto"/>
        <w:jc w:val="both"/>
        <w:rPr>
          <w:rFonts w:ascii="Arial" w:hAnsi="Arial" w:cs="Arial"/>
          <w:sz w:val="22"/>
          <w:szCs w:val="22"/>
        </w:rPr>
      </w:pPr>
      <w:r w:rsidRPr="00C6024C">
        <w:rPr>
          <w:rFonts w:ascii="Arial" w:hAnsi="Arial" w:cs="Arial"/>
          <w:sz w:val="22"/>
          <w:szCs w:val="22"/>
        </w:rPr>
        <w:t xml:space="preserve">Ouyang, F., Cheng, X., Zhou, W., He, J. and Xiao, S., </w:t>
      </w:r>
      <w:r w:rsidR="00C46CCE" w:rsidRPr="00C6024C">
        <w:rPr>
          <w:rFonts w:ascii="Arial" w:hAnsi="Arial" w:cs="Arial"/>
          <w:sz w:val="22"/>
          <w:szCs w:val="22"/>
        </w:rPr>
        <w:t>(</w:t>
      </w:r>
      <w:r w:rsidRPr="00C6024C">
        <w:rPr>
          <w:rFonts w:ascii="Arial" w:hAnsi="Arial" w:cs="Arial"/>
          <w:sz w:val="22"/>
          <w:szCs w:val="22"/>
        </w:rPr>
        <w:t>2022</w:t>
      </w:r>
      <w:r w:rsidR="00C46CCE" w:rsidRPr="00C6024C">
        <w:rPr>
          <w:rFonts w:ascii="Arial" w:hAnsi="Arial" w:cs="Arial"/>
          <w:sz w:val="22"/>
          <w:szCs w:val="22"/>
        </w:rPr>
        <w:t>)</w:t>
      </w:r>
      <w:r w:rsidRPr="00C6024C">
        <w:rPr>
          <w:rFonts w:ascii="Arial" w:hAnsi="Arial" w:cs="Arial"/>
          <w:sz w:val="22"/>
          <w:szCs w:val="22"/>
        </w:rPr>
        <w:t>. Increased mortality trends in patients with chronic non-communicable diseases and comorbid hypertension in the United States, 2000–2019. </w:t>
      </w:r>
      <w:r w:rsidRPr="00C6024C">
        <w:rPr>
          <w:rFonts w:ascii="Arial" w:hAnsi="Arial" w:cs="Arial"/>
          <w:i/>
          <w:iCs/>
          <w:sz w:val="22"/>
          <w:szCs w:val="22"/>
        </w:rPr>
        <w:t>Frontiers in Public Health</w:t>
      </w:r>
      <w:r w:rsidRPr="00C6024C">
        <w:rPr>
          <w:rFonts w:ascii="Arial" w:hAnsi="Arial" w:cs="Arial"/>
          <w:sz w:val="22"/>
          <w:szCs w:val="22"/>
        </w:rPr>
        <w:t>, </w:t>
      </w:r>
      <w:r w:rsidRPr="00C6024C">
        <w:rPr>
          <w:rFonts w:ascii="Arial" w:hAnsi="Arial" w:cs="Arial"/>
          <w:i/>
          <w:iCs/>
          <w:sz w:val="22"/>
          <w:szCs w:val="22"/>
        </w:rPr>
        <w:t>10</w:t>
      </w:r>
      <w:r w:rsidRPr="00C6024C">
        <w:rPr>
          <w:rFonts w:ascii="Arial" w:hAnsi="Arial" w:cs="Arial"/>
          <w:sz w:val="22"/>
          <w:szCs w:val="22"/>
        </w:rPr>
        <w:t>, p.753861.</w:t>
      </w:r>
    </w:p>
    <w:p w14:paraId="26929183" w14:textId="2E0C98F4" w:rsidR="003E6AC0" w:rsidRPr="00C6024C" w:rsidRDefault="003E6AC0" w:rsidP="00A565F4">
      <w:pPr>
        <w:spacing w:line="360" w:lineRule="auto"/>
        <w:jc w:val="both"/>
        <w:rPr>
          <w:rFonts w:ascii="Arial" w:hAnsi="Arial" w:cs="Arial"/>
          <w:sz w:val="22"/>
          <w:szCs w:val="22"/>
        </w:rPr>
      </w:pPr>
      <w:r w:rsidRPr="00C6024C">
        <w:rPr>
          <w:rFonts w:ascii="Arial" w:hAnsi="Arial" w:cs="Arial"/>
          <w:sz w:val="22"/>
          <w:szCs w:val="22"/>
        </w:rPr>
        <w:t xml:space="preserve">Office National Statistics (2019), </w:t>
      </w:r>
      <w:hyperlink r:id="rId10" w:history="1">
        <w:r w:rsidRPr="00C6024C">
          <w:rPr>
            <w:rStyle w:val="Hyperlink"/>
            <w:rFonts w:ascii="Arial" w:hAnsi="Arial" w:cs="Arial"/>
            <w:sz w:val="22"/>
            <w:szCs w:val="22"/>
          </w:rPr>
          <w:t>https://www.ons.gov.uk/peoplepopulationandcommunity/healthandsocialcare/disability/bulletins/disabilityandemploymentuk/2019</w:t>
        </w:r>
      </w:hyperlink>
    </w:p>
    <w:p w14:paraId="53F19EA6" w14:textId="04AF069E" w:rsidR="00AD32D1" w:rsidRPr="00C6024C" w:rsidRDefault="00AD32D1" w:rsidP="00A565F4">
      <w:pPr>
        <w:spacing w:line="360" w:lineRule="auto"/>
        <w:jc w:val="both"/>
        <w:rPr>
          <w:rFonts w:ascii="Arial" w:hAnsi="Arial" w:cs="Arial"/>
          <w:sz w:val="22"/>
          <w:szCs w:val="22"/>
        </w:rPr>
      </w:pPr>
      <w:r w:rsidRPr="00C6024C">
        <w:rPr>
          <w:rFonts w:ascii="Arial" w:hAnsi="Arial" w:cs="Arial"/>
          <w:sz w:val="22"/>
          <w:szCs w:val="22"/>
        </w:rPr>
        <w:t xml:space="preserve">Peniston, S., Sivaramakrishnan, D., McSweeney, C. and Holloway, A., </w:t>
      </w:r>
      <w:r w:rsidR="008B1E84" w:rsidRPr="00C6024C">
        <w:rPr>
          <w:rFonts w:ascii="Arial" w:hAnsi="Arial" w:cs="Arial"/>
          <w:sz w:val="22"/>
          <w:szCs w:val="22"/>
        </w:rPr>
        <w:t>(</w:t>
      </w:r>
      <w:r w:rsidRPr="00C6024C">
        <w:rPr>
          <w:rFonts w:ascii="Arial" w:hAnsi="Arial" w:cs="Arial"/>
          <w:sz w:val="22"/>
          <w:szCs w:val="22"/>
        </w:rPr>
        <w:t>2025</w:t>
      </w:r>
      <w:r w:rsidR="008B1E84" w:rsidRPr="00C6024C">
        <w:rPr>
          <w:rFonts w:ascii="Arial" w:hAnsi="Arial" w:cs="Arial"/>
          <w:sz w:val="22"/>
          <w:szCs w:val="22"/>
        </w:rPr>
        <w:t>)</w:t>
      </w:r>
      <w:r w:rsidRPr="00C6024C">
        <w:rPr>
          <w:rFonts w:ascii="Arial" w:hAnsi="Arial" w:cs="Arial"/>
          <w:sz w:val="22"/>
          <w:szCs w:val="22"/>
        </w:rPr>
        <w:t>. Undiagnosed and uncontrolled hypertension in rural African adults: a scoping review of primary health care interventions and development of the CO-HEART framework. </w:t>
      </w:r>
      <w:r w:rsidRPr="00C6024C">
        <w:rPr>
          <w:rFonts w:ascii="Arial" w:hAnsi="Arial" w:cs="Arial"/>
          <w:i/>
          <w:iCs/>
          <w:sz w:val="22"/>
          <w:szCs w:val="22"/>
        </w:rPr>
        <w:t>Global public health</w:t>
      </w:r>
      <w:r w:rsidRPr="00C6024C">
        <w:rPr>
          <w:rFonts w:ascii="Arial" w:hAnsi="Arial" w:cs="Arial"/>
          <w:sz w:val="22"/>
          <w:szCs w:val="22"/>
        </w:rPr>
        <w:t>, </w:t>
      </w:r>
      <w:r w:rsidRPr="00C6024C">
        <w:rPr>
          <w:rFonts w:ascii="Arial" w:hAnsi="Arial" w:cs="Arial"/>
          <w:i/>
          <w:iCs/>
          <w:sz w:val="22"/>
          <w:szCs w:val="22"/>
        </w:rPr>
        <w:t>20</w:t>
      </w:r>
      <w:r w:rsidRPr="00C6024C">
        <w:rPr>
          <w:rFonts w:ascii="Arial" w:hAnsi="Arial" w:cs="Arial"/>
          <w:sz w:val="22"/>
          <w:szCs w:val="22"/>
        </w:rPr>
        <w:t>(1), p.2579687.</w:t>
      </w:r>
    </w:p>
    <w:p w14:paraId="4559980C" w14:textId="3A5711E1" w:rsidR="007B0846" w:rsidRPr="00C6024C" w:rsidRDefault="007B0846" w:rsidP="00A565F4">
      <w:pPr>
        <w:spacing w:line="360" w:lineRule="auto"/>
        <w:jc w:val="both"/>
        <w:rPr>
          <w:rFonts w:ascii="Arial" w:hAnsi="Arial" w:cs="Arial"/>
          <w:sz w:val="22"/>
          <w:szCs w:val="22"/>
        </w:rPr>
      </w:pPr>
      <w:r w:rsidRPr="00C6024C">
        <w:rPr>
          <w:rFonts w:ascii="Arial" w:hAnsi="Arial" w:cs="Arial"/>
          <w:sz w:val="22"/>
          <w:szCs w:val="22"/>
        </w:rPr>
        <w:t xml:space="preserve">Pinto, J., Pinto, A., Tilman, C.B., Ximenes, E.M. and da Costa Monteiro, E., </w:t>
      </w:r>
      <w:r w:rsidR="008B1E84" w:rsidRPr="00C6024C">
        <w:rPr>
          <w:rFonts w:ascii="Arial" w:hAnsi="Arial" w:cs="Arial"/>
          <w:sz w:val="22"/>
          <w:szCs w:val="22"/>
        </w:rPr>
        <w:t>(</w:t>
      </w:r>
      <w:r w:rsidRPr="00C6024C">
        <w:rPr>
          <w:rFonts w:ascii="Arial" w:hAnsi="Arial" w:cs="Arial"/>
          <w:sz w:val="22"/>
          <w:szCs w:val="22"/>
        </w:rPr>
        <w:t>2024</w:t>
      </w:r>
      <w:r w:rsidR="008B1E84" w:rsidRPr="00C6024C">
        <w:rPr>
          <w:rFonts w:ascii="Arial" w:hAnsi="Arial" w:cs="Arial"/>
          <w:sz w:val="22"/>
          <w:szCs w:val="22"/>
        </w:rPr>
        <w:t>)</w:t>
      </w:r>
      <w:r w:rsidRPr="00C6024C">
        <w:rPr>
          <w:rFonts w:ascii="Arial" w:hAnsi="Arial" w:cs="Arial"/>
          <w:sz w:val="22"/>
          <w:szCs w:val="22"/>
        </w:rPr>
        <w:t>. The effect of health promotion program on increasing awareness of hypertension disease prevention in the community. </w:t>
      </w:r>
      <w:r w:rsidRPr="00C6024C">
        <w:rPr>
          <w:rFonts w:ascii="Arial" w:hAnsi="Arial" w:cs="Arial"/>
          <w:i/>
          <w:iCs/>
          <w:sz w:val="22"/>
          <w:szCs w:val="22"/>
        </w:rPr>
        <w:t>Innovative: Journal Of Social Science Research</w:t>
      </w:r>
      <w:r w:rsidRPr="00C6024C">
        <w:rPr>
          <w:rFonts w:ascii="Arial" w:hAnsi="Arial" w:cs="Arial"/>
          <w:sz w:val="22"/>
          <w:szCs w:val="22"/>
        </w:rPr>
        <w:t>, </w:t>
      </w:r>
      <w:r w:rsidRPr="00C6024C">
        <w:rPr>
          <w:rFonts w:ascii="Arial" w:hAnsi="Arial" w:cs="Arial"/>
          <w:i/>
          <w:iCs/>
          <w:sz w:val="22"/>
          <w:szCs w:val="22"/>
        </w:rPr>
        <w:t>4</w:t>
      </w:r>
      <w:r w:rsidRPr="00C6024C">
        <w:rPr>
          <w:rFonts w:ascii="Arial" w:hAnsi="Arial" w:cs="Arial"/>
          <w:sz w:val="22"/>
          <w:szCs w:val="22"/>
        </w:rPr>
        <w:t>(2), pp.5087-5100.</w:t>
      </w:r>
    </w:p>
    <w:p w14:paraId="709698A5" w14:textId="2743DF0C" w:rsidR="004A2F06" w:rsidRPr="00C6024C" w:rsidRDefault="004A2F06" w:rsidP="00A565F4">
      <w:pPr>
        <w:spacing w:line="360" w:lineRule="auto"/>
        <w:jc w:val="both"/>
        <w:rPr>
          <w:rFonts w:ascii="Arial" w:hAnsi="Arial" w:cs="Arial"/>
          <w:sz w:val="22"/>
          <w:szCs w:val="22"/>
        </w:rPr>
      </w:pPr>
      <w:r w:rsidRPr="00C6024C">
        <w:rPr>
          <w:rFonts w:ascii="Arial" w:hAnsi="Arial" w:cs="Arial"/>
          <w:sz w:val="22"/>
          <w:szCs w:val="22"/>
        </w:rPr>
        <w:lastRenderedPageBreak/>
        <w:t xml:space="preserve">Priestley, M., </w:t>
      </w:r>
      <w:r w:rsidR="008B1E84" w:rsidRPr="00C6024C">
        <w:rPr>
          <w:rFonts w:ascii="Arial" w:hAnsi="Arial" w:cs="Arial"/>
          <w:sz w:val="22"/>
          <w:szCs w:val="22"/>
        </w:rPr>
        <w:t>(</w:t>
      </w:r>
      <w:r w:rsidRPr="00C6024C">
        <w:rPr>
          <w:rFonts w:ascii="Arial" w:hAnsi="Arial" w:cs="Arial"/>
          <w:sz w:val="22"/>
          <w:szCs w:val="22"/>
        </w:rPr>
        <w:t>2022</w:t>
      </w:r>
      <w:r w:rsidR="008B1E84" w:rsidRPr="00C6024C">
        <w:rPr>
          <w:rFonts w:ascii="Arial" w:hAnsi="Arial" w:cs="Arial"/>
          <w:sz w:val="22"/>
          <w:szCs w:val="22"/>
        </w:rPr>
        <w:t>)</w:t>
      </w:r>
      <w:r w:rsidRPr="00C6024C">
        <w:rPr>
          <w:rFonts w:ascii="Arial" w:hAnsi="Arial" w:cs="Arial"/>
          <w:sz w:val="22"/>
          <w:szCs w:val="22"/>
        </w:rPr>
        <w:t>. Disability. </w:t>
      </w:r>
      <w:r w:rsidRPr="00C6024C">
        <w:rPr>
          <w:rFonts w:ascii="Arial" w:hAnsi="Arial" w:cs="Arial"/>
          <w:i/>
          <w:iCs/>
          <w:sz w:val="22"/>
          <w:szCs w:val="22"/>
        </w:rPr>
        <w:t>The student's companion to social policy</w:t>
      </w:r>
      <w:r w:rsidRPr="00C6024C">
        <w:rPr>
          <w:rFonts w:ascii="Arial" w:hAnsi="Arial" w:cs="Arial"/>
          <w:sz w:val="22"/>
          <w:szCs w:val="22"/>
        </w:rPr>
        <w:t>, pp.414-420.</w:t>
      </w:r>
    </w:p>
    <w:p w14:paraId="32045D46" w14:textId="68B38C57" w:rsidR="008859A8" w:rsidRPr="00C6024C" w:rsidRDefault="008859A8" w:rsidP="00A565F4">
      <w:pPr>
        <w:spacing w:line="360" w:lineRule="auto"/>
        <w:jc w:val="both"/>
        <w:rPr>
          <w:rFonts w:ascii="Arial" w:hAnsi="Arial" w:cs="Arial"/>
          <w:sz w:val="22"/>
          <w:szCs w:val="22"/>
        </w:rPr>
      </w:pPr>
      <w:r w:rsidRPr="00C6024C">
        <w:rPr>
          <w:rFonts w:ascii="Arial" w:hAnsi="Arial" w:cs="Arial"/>
          <w:sz w:val="22"/>
          <w:szCs w:val="22"/>
        </w:rPr>
        <w:t xml:space="preserve">Savedchuk, S., Raslan, R., Nystrom, S. and Sparks, M.A., </w:t>
      </w:r>
      <w:r w:rsidR="008B1E84" w:rsidRPr="00C6024C">
        <w:rPr>
          <w:rFonts w:ascii="Arial" w:hAnsi="Arial" w:cs="Arial"/>
          <w:sz w:val="22"/>
          <w:szCs w:val="22"/>
        </w:rPr>
        <w:t>(</w:t>
      </w:r>
      <w:r w:rsidRPr="00C6024C">
        <w:rPr>
          <w:rFonts w:ascii="Arial" w:hAnsi="Arial" w:cs="Arial"/>
          <w:sz w:val="22"/>
          <w:szCs w:val="22"/>
        </w:rPr>
        <w:t>2022</w:t>
      </w:r>
      <w:r w:rsidR="008B1E84" w:rsidRPr="00C6024C">
        <w:rPr>
          <w:rFonts w:ascii="Arial" w:hAnsi="Arial" w:cs="Arial"/>
          <w:sz w:val="22"/>
          <w:szCs w:val="22"/>
        </w:rPr>
        <w:t>)</w:t>
      </w:r>
      <w:r w:rsidRPr="00C6024C">
        <w:rPr>
          <w:rFonts w:ascii="Arial" w:hAnsi="Arial" w:cs="Arial"/>
          <w:sz w:val="22"/>
          <w:szCs w:val="22"/>
        </w:rPr>
        <w:t>. Emerging viral infections and the potential impact on hypertension, cardiovascular disease, and kidney disease. </w:t>
      </w:r>
      <w:r w:rsidRPr="00C6024C">
        <w:rPr>
          <w:rFonts w:ascii="Arial" w:hAnsi="Arial" w:cs="Arial"/>
          <w:i/>
          <w:iCs/>
          <w:sz w:val="22"/>
          <w:szCs w:val="22"/>
        </w:rPr>
        <w:t>Circulation Research</w:t>
      </w:r>
      <w:r w:rsidRPr="00C6024C">
        <w:rPr>
          <w:rFonts w:ascii="Arial" w:hAnsi="Arial" w:cs="Arial"/>
          <w:sz w:val="22"/>
          <w:szCs w:val="22"/>
        </w:rPr>
        <w:t>, </w:t>
      </w:r>
      <w:r w:rsidRPr="00C6024C">
        <w:rPr>
          <w:rFonts w:ascii="Arial" w:hAnsi="Arial" w:cs="Arial"/>
          <w:i/>
          <w:iCs/>
          <w:sz w:val="22"/>
          <w:szCs w:val="22"/>
        </w:rPr>
        <w:t>130</w:t>
      </w:r>
      <w:r w:rsidRPr="00C6024C">
        <w:rPr>
          <w:rFonts w:ascii="Arial" w:hAnsi="Arial" w:cs="Arial"/>
          <w:sz w:val="22"/>
          <w:szCs w:val="22"/>
        </w:rPr>
        <w:t>(10), pp.1618-1641.</w:t>
      </w:r>
    </w:p>
    <w:p w14:paraId="5E9E8315" w14:textId="0738144A" w:rsidR="004A2F06" w:rsidRPr="00C6024C" w:rsidRDefault="004A2F06" w:rsidP="00A565F4">
      <w:pPr>
        <w:spacing w:line="360" w:lineRule="auto"/>
        <w:jc w:val="both"/>
        <w:rPr>
          <w:rFonts w:ascii="Arial" w:hAnsi="Arial" w:cs="Arial"/>
          <w:sz w:val="22"/>
          <w:szCs w:val="22"/>
        </w:rPr>
      </w:pPr>
      <w:r w:rsidRPr="00C6024C">
        <w:rPr>
          <w:rFonts w:ascii="Arial" w:hAnsi="Arial" w:cs="Arial"/>
          <w:sz w:val="22"/>
          <w:szCs w:val="22"/>
        </w:rPr>
        <w:t xml:space="preserve">Schuelke, L., Munford, L. and Morciano, M., </w:t>
      </w:r>
      <w:r w:rsidR="008B1E84" w:rsidRPr="00C6024C">
        <w:rPr>
          <w:rFonts w:ascii="Arial" w:hAnsi="Arial" w:cs="Arial"/>
          <w:sz w:val="22"/>
          <w:szCs w:val="22"/>
        </w:rPr>
        <w:t>(</w:t>
      </w:r>
      <w:r w:rsidRPr="00C6024C">
        <w:rPr>
          <w:rFonts w:ascii="Arial" w:hAnsi="Arial" w:cs="Arial"/>
          <w:sz w:val="22"/>
          <w:szCs w:val="22"/>
        </w:rPr>
        <w:t>2022</w:t>
      </w:r>
      <w:r w:rsidR="008B1E84" w:rsidRPr="00C6024C">
        <w:rPr>
          <w:rFonts w:ascii="Arial" w:hAnsi="Arial" w:cs="Arial"/>
          <w:sz w:val="22"/>
          <w:szCs w:val="22"/>
        </w:rPr>
        <w:t>)</w:t>
      </w:r>
      <w:r w:rsidRPr="00C6024C">
        <w:rPr>
          <w:rFonts w:ascii="Arial" w:hAnsi="Arial" w:cs="Arial"/>
          <w:sz w:val="22"/>
          <w:szCs w:val="22"/>
        </w:rPr>
        <w:t>. Estimating the additional costs of living with a disability in the United Kingdom between 2013 and 2016. </w:t>
      </w:r>
      <w:r w:rsidRPr="00C6024C">
        <w:rPr>
          <w:rFonts w:ascii="Arial" w:hAnsi="Arial" w:cs="Arial"/>
          <w:i/>
          <w:iCs/>
          <w:sz w:val="22"/>
          <w:szCs w:val="22"/>
        </w:rPr>
        <w:t>The European Journal of Health Economics</w:t>
      </w:r>
      <w:r w:rsidRPr="00C6024C">
        <w:rPr>
          <w:rFonts w:ascii="Arial" w:hAnsi="Arial" w:cs="Arial"/>
          <w:sz w:val="22"/>
          <w:szCs w:val="22"/>
        </w:rPr>
        <w:t>, </w:t>
      </w:r>
      <w:r w:rsidRPr="00C6024C">
        <w:rPr>
          <w:rFonts w:ascii="Arial" w:hAnsi="Arial" w:cs="Arial"/>
          <w:i/>
          <w:iCs/>
          <w:sz w:val="22"/>
          <w:szCs w:val="22"/>
        </w:rPr>
        <w:t>23</w:t>
      </w:r>
      <w:r w:rsidRPr="00C6024C">
        <w:rPr>
          <w:rFonts w:ascii="Arial" w:hAnsi="Arial" w:cs="Arial"/>
          <w:sz w:val="22"/>
          <w:szCs w:val="22"/>
        </w:rPr>
        <w:t>(2), pp.313-327.</w:t>
      </w:r>
    </w:p>
    <w:p w14:paraId="120D291A" w14:textId="7A415D2D" w:rsidR="006861D8" w:rsidRPr="00C6024C" w:rsidRDefault="006861D8" w:rsidP="00A565F4">
      <w:pPr>
        <w:spacing w:line="360" w:lineRule="auto"/>
        <w:jc w:val="both"/>
        <w:rPr>
          <w:rFonts w:ascii="Arial" w:hAnsi="Arial" w:cs="Arial"/>
          <w:sz w:val="22"/>
          <w:szCs w:val="22"/>
        </w:rPr>
      </w:pPr>
      <w:r w:rsidRPr="00C6024C">
        <w:rPr>
          <w:rFonts w:ascii="Arial" w:hAnsi="Arial" w:cs="Arial"/>
          <w:sz w:val="22"/>
          <w:szCs w:val="22"/>
        </w:rPr>
        <w:t xml:space="preserve">Tyrer, F., Morriss, R., Kiani, R., Gangadharan, S.K., Kundaje, H. and Rutherford, M.J., </w:t>
      </w:r>
      <w:r w:rsidR="008B1E84" w:rsidRPr="00C6024C">
        <w:rPr>
          <w:rFonts w:ascii="Arial" w:hAnsi="Arial" w:cs="Arial"/>
          <w:sz w:val="22"/>
          <w:szCs w:val="22"/>
        </w:rPr>
        <w:t>(</w:t>
      </w:r>
      <w:r w:rsidRPr="00C6024C">
        <w:rPr>
          <w:rFonts w:ascii="Arial" w:hAnsi="Arial" w:cs="Arial"/>
          <w:sz w:val="22"/>
          <w:szCs w:val="22"/>
        </w:rPr>
        <w:t>2022</w:t>
      </w:r>
      <w:r w:rsidR="008B1E84" w:rsidRPr="00C6024C">
        <w:rPr>
          <w:rFonts w:ascii="Arial" w:hAnsi="Arial" w:cs="Arial"/>
          <w:sz w:val="22"/>
          <w:szCs w:val="22"/>
        </w:rPr>
        <w:t>)</w:t>
      </w:r>
      <w:r w:rsidRPr="00C6024C">
        <w:rPr>
          <w:rFonts w:ascii="Arial" w:hAnsi="Arial" w:cs="Arial"/>
          <w:sz w:val="22"/>
          <w:szCs w:val="22"/>
        </w:rPr>
        <w:t>. Health needs and their relationship with life expectancy in people with and without intellectual disabilities in England. </w:t>
      </w:r>
      <w:r w:rsidRPr="00C6024C">
        <w:rPr>
          <w:rFonts w:ascii="Arial" w:hAnsi="Arial" w:cs="Arial"/>
          <w:i/>
          <w:iCs/>
          <w:sz w:val="22"/>
          <w:szCs w:val="22"/>
        </w:rPr>
        <w:t>International Journal of Environmental Research and Public Health</w:t>
      </w:r>
      <w:r w:rsidRPr="00C6024C">
        <w:rPr>
          <w:rFonts w:ascii="Arial" w:hAnsi="Arial" w:cs="Arial"/>
          <w:sz w:val="22"/>
          <w:szCs w:val="22"/>
        </w:rPr>
        <w:t>, </w:t>
      </w:r>
      <w:r w:rsidRPr="00C6024C">
        <w:rPr>
          <w:rFonts w:ascii="Arial" w:hAnsi="Arial" w:cs="Arial"/>
          <w:i/>
          <w:iCs/>
          <w:sz w:val="22"/>
          <w:szCs w:val="22"/>
        </w:rPr>
        <w:t>19</w:t>
      </w:r>
      <w:r w:rsidRPr="00C6024C">
        <w:rPr>
          <w:rFonts w:ascii="Arial" w:hAnsi="Arial" w:cs="Arial"/>
          <w:sz w:val="22"/>
          <w:szCs w:val="22"/>
        </w:rPr>
        <w:t>(11), p.6602.</w:t>
      </w:r>
    </w:p>
    <w:p w14:paraId="396053F9" w14:textId="6A0E1FD1" w:rsidR="0022280C" w:rsidRPr="00C6024C" w:rsidRDefault="0022280C" w:rsidP="00A565F4">
      <w:pPr>
        <w:spacing w:line="360" w:lineRule="auto"/>
        <w:jc w:val="both"/>
        <w:rPr>
          <w:rFonts w:ascii="Arial" w:hAnsi="Arial" w:cs="Arial"/>
          <w:sz w:val="22"/>
          <w:szCs w:val="22"/>
        </w:rPr>
      </w:pPr>
      <w:r w:rsidRPr="00C6024C">
        <w:rPr>
          <w:rFonts w:ascii="Arial" w:hAnsi="Arial" w:cs="Arial"/>
          <w:sz w:val="22"/>
          <w:szCs w:val="22"/>
        </w:rPr>
        <w:t xml:space="preserve">UK Parliament (2025), </w:t>
      </w:r>
      <w:hyperlink r:id="rId11" w:history="1">
        <w:r w:rsidRPr="00C6024C">
          <w:rPr>
            <w:rStyle w:val="Hyperlink"/>
            <w:rFonts w:ascii="Arial" w:hAnsi="Arial" w:cs="Arial"/>
            <w:sz w:val="22"/>
            <w:szCs w:val="22"/>
          </w:rPr>
          <w:t>https://researchbriefings.files.parliament.uk/documents/CBP-9602/CBP-9602.pdf</w:t>
        </w:r>
      </w:hyperlink>
    </w:p>
    <w:p w14:paraId="4E3C9A32" w14:textId="7042BFB1" w:rsidR="000142D7" w:rsidRPr="00C6024C" w:rsidRDefault="000142D7" w:rsidP="00A565F4">
      <w:pPr>
        <w:spacing w:line="360" w:lineRule="auto"/>
        <w:jc w:val="both"/>
        <w:rPr>
          <w:rFonts w:ascii="Arial" w:hAnsi="Arial" w:cs="Arial"/>
          <w:sz w:val="22"/>
          <w:szCs w:val="22"/>
        </w:rPr>
      </w:pPr>
      <w:r w:rsidRPr="00C6024C">
        <w:rPr>
          <w:rFonts w:ascii="Arial" w:hAnsi="Arial" w:cs="Arial"/>
          <w:sz w:val="22"/>
          <w:szCs w:val="22"/>
        </w:rPr>
        <w:t xml:space="preserve">Upadhyay, R.K., </w:t>
      </w:r>
      <w:r w:rsidR="00AE4697" w:rsidRPr="00C6024C">
        <w:rPr>
          <w:rFonts w:ascii="Arial" w:hAnsi="Arial" w:cs="Arial"/>
          <w:sz w:val="22"/>
          <w:szCs w:val="22"/>
        </w:rPr>
        <w:t>(</w:t>
      </w:r>
      <w:r w:rsidRPr="00C6024C">
        <w:rPr>
          <w:rFonts w:ascii="Arial" w:hAnsi="Arial" w:cs="Arial"/>
          <w:sz w:val="22"/>
          <w:szCs w:val="22"/>
        </w:rPr>
        <w:t>2022</w:t>
      </w:r>
      <w:r w:rsidR="00AE4697" w:rsidRPr="00C6024C">
        <w:rPr>
          <w:rFonts w:ascii="Arial" w:hAnsi="Arial" w:cs="Arial"/>
          <w:sz w:val="22"/>
          <w:szCs w:val="22"/>
        </w:rPr>
        <w:t>)</w:t>
      </w:r>
      <w:r w:rsidRPr="00C6024C">
        <w:rPr>
          <w:rFonts w:ascii="Arial" w:hAnsi="Arial" w:cs="Arial"/>
          <w:sz w:val="22"/>
          <w:szCs w:val="22"/>
        </w:rPr>
        <w:t>. Chronic non-communicable diseases: Risk factors, disease burden, mortalities and control. </w:t>
      </w:r>
      <w:r w:rsidRPr="00C6024C">
        <w:rPr>
          <w:rFonts w:ascii="Arial" w:hAnsi="Arial" w:cs="Arial"/>
          <w:i/>
          <w:iCs/>
          <w:sz w:val="22"/>
          <w:szCs w:val="22"/>
        </w:rPr>
        <w:t>Acta Scientific Medical Sciences (ISSN: 2582-0931)</w:t>
      </w:r>
      <w:r w:rsidRPr="00C6024C">
        <w:rPr>
          <w:rFonts w:ascii="Arial" w:hAnsi="Arial" w:cs="Arial"/>
          <w:sz w:val="22"/>
          <w:szCs w:val="22"/>
        </w:rPr>
        <w:t>, </w:t>
      </w:r>
      <w:r w:rsidRPr="00C6024C">
        <w:rPr>
          <w:rFonts w:ascii="Arial" w:hAnsi="Arial" w:cs="Arial"/>
          <w:i/>
          <w:iCs/>
          <w:sz w:val="22"/>
          <w:szCs w:val="22"/>
        </w:rPr>
        <w:t>6</w:t>
      </w:r>
      <w:r w:rsidRPr="00C6024C">
        <w:rPr>
          <w:rFonts w:ascii="Arial" w:hAnsi="Arial" w:cs="Arial"/>
          <w:sz w:val="22"/>
          <w:szCs w:val="22"/>
        </w:rPr>
        <w:t>(4).</w:t>
      </w:r>
    </w:p>
    <w:p w14:paraId="44F56C9C" w14:textId="27B1C3B4" w:rsidR="00BF6994" w:rsidRPr="00C6024C" w:rsidRDefault="00BF6994" w:rsidP="00A565F4">
      <w:pPr>
        <w:spacing w:line="360" w:lineRule="auto"/>
        <w:jc w:val="both"/>
        <w:rPr>
          <w:rFonts w:ascii="Arial" w:hAnsi="Arial" w:cs="Arial"/>
          <w:sz w:val="22"/>
          <w:szCs w:val="22"/>
        </w:rPr>
      </w:pPr>
      <w:r w:rsidRPr="00C6024C">
        <w:rPr>
          <w:rFonts w:ascii="Arial" w:hAnsi="Arial" w:cs="Arial"/>
          <w:sz w:val="22"/>
          <w:szCs w:val="22"/>
        </w:rPr>
        <w:t xml:space="preserve">Wee, C., Mottershead, T., Wright, S., Jaydeokar, S. and Odiyoor, M., </w:t>
      </w:r>
      <w:r w:rsidR="00B67694" w:rsidRPr="00C6024C">
        <w:rPr>
          <w:rFonts w:ascii="Arial" w:hAnsi="Arial" w:cs="Arial"/>
          <w:sz w:val="22"/>
          <w:szCs w:val="22"/>
        </w:rPr>
        <w:t>(</w:t>
      </w:r>
      <w:r w:rsidRPr="00C6024C">
        <w:rPr>
          <w:rFonts w:ascii="Arial" w:hAnsi="Arial" w:cs="Arial"/>
          <w:sz w:val="22"/>
          <w:szCs w:val="22"/>
        </w:rPr>
        <w:t>2021</w:t>
      </w:r>
      <w:r w:rsidR="00B67694" w:rsidRPr="00C6024C">
        <w:rPr>
          <w:rFonts w:ascii="Arial" w:hAnsi="Arial" w:cs="Arial"/>
          <w:sz w:val="22"/>
          <w:szCs w:val="22"/>
        </w:rPr>
        <w:t>)</w:t>
      </w:r>
      <w:r w:rsidRPr="00C6024C">
        <w:rPr>
          <w:rFonts w:ascii="Arial" w:hAnsi="Arial" w:cs="Arial"/>
          <w:sz w:val="22"/>
          <w:szCs w:val="22"/>
        </w:rPr>
        <w:t>. Developing a model for mental health services for children and young people with intellectual disability and/or autism in North West England. </w:t>
      </w:r>
      <w:r w:rsidRPr="00C6024C">
        <w:rPr>
          <w:rFonts w:ascii="Arial" w:hAnsi="Arial" w:cs="Arial"/>
          <w:i/>
          <w:iCs/>
          <w:sz w:val="22"/>
          <w:szCs w:val="22"/>
        </w:rPr>
        <w:t>Advances in Autism</w:t>
      </w:r>
      <w:r w:rsidRPr="00C6024C">
        <w:rPr>
          <w:rFonts w:ascii="Arial" w:hAnsi="Arial" w:cs="Arial"/>
          <w:sz w:val="22"/>
          <w:szCs w:val="22"/>
        </w:rPr>
        <w:t>, </w:t>
      </w:r>
      <w:r w:rsidRPr="00C6024C">
        <w:rPr>
          <w:rFonts w:ascii="Arial" w:hAnsi="Arial" w:cs="Arial"/>
          <w:i/>
          <w:iCs/>
          <w:sz w:val="22"/>
          <w:szCs w:val="22"/>
        </w:rPr>
        <w:t>7</w:t>
      </w:r>
      <w:r w:rsidRPr="00C6024C">
        <w:rPr>
          <w:rFonts w:ascii="Arial" w:hAnsi="Arial" w:cs="Arial"/>
          <w:sz w:val="22"/>
          <w:szCs w:val="22"/>
        </w:rPr>
        <w:t>(2), pp.178-190.</w:t>
      </w:r>
    </w:p>
    <w:p w14:paraId="3D36616B" w14:textId="415245B1" w:rsidR="006C2696" w:rsidRPr="00C6024C" w:rsidRDefault="006C2696" w:rsidP="00A565F4">
      <w:pPr>
        <w:spacing w:line="360" w:lineRule="auto"/>
        <w:jc w:val="both"/>
        <w:rPr>
          <w:rFonts w:ascii="Arial" w:hAnsi="Arial" w:cs="Arial"/>
          <w:sz w:val="22"/>
          <w:szCs w:val="22"/>
        </w:rPr>
      </w:pPr>
      <w:r w:rsidRPr="00C6024C">
        <w:rPr>
          <w:rFonts w:ascii="Arial" w:hAnsi="Arial" w:cs="Arial"/>
          <w:sz w:val="22"/>
          <w:szCs w:val="22"/>
        </w:rPr>
        <w:t xml:space="preserve">Wolbring, G. and Deloria, R., </w:t>
      </w:r>
      <w:r w:rsidR="00B67694" w:rsidRPr="00C6024C">
        <w:rPr>
          <w:rFonts w:ascii="Arial" w:hAnsi="Arial" w:cs="Arial"/>
          <w:sz w:val="22"/>
          <w:szCs w:val="22"/>
        </w:rPr>
        <w:t>(</w:t>
      </w:r>
      <w:r w:rsidRPr="00C6024C">
        <w:rPr>
          <w:rFonts w:ascii="Arial" w:hAnsi="Arial" w:cs="Arial"/>
          <w:sz w:val="22"/>
          <w:szCs w:val="22"/>
        </w:rPr>
        <w:t>2024</w:t>
      </w:r>
      <w:r w:rsidR="00B67694" w:rsidRPr="00C6024C">
        <w:rPr>
          <w:rFonts w:ascii="Arial" w:hAnsi="Arial" w:cs="Arial"/>
          <w:sz w:val="22"/>
          <w:szCs w:val="22"/>
        </w:rPr>
        <w:t>)</w:t>
      </w:r>
      <w:r w:rsidRPr="00C6024C">
        <w:rPr>
          <w:rFonts w:ascii="Arial" w:hAnsi="Arial" w:cs="Arial"/>
          <w:sz w:val="22"/>
          <w:szCs w:val="22"/>
        </w:rPr>
        <w:t>. Health equity and health inequity of disabled people: a scoping review. </w:t>
      </w:r>
      <w:r w:rsidRPr="00C6024C">
        <w:rPr>
          <w:rFonts w:ascii="Arial" w:hAnsi="Arial" w:cs="Arial"/>
          <w:i/>
          <w:iCs/>
          <w:sz w:val="22"/>
          <w:szCs w:val="22"/>
        </w:rPr>
        <w:t>Sustainability</w:t>
      </w:r>
      <w:r w:rsidRPr="00C6024C">
        <w:rPr>
          <w:rFonts w:ascii="Arial" w:hAnsi="Arial" w:cs="Arial"/>
          <w:sz w:val="22"/>
          <w:szCs w:val="22"/>
        </w:rPr>
        <w:t>, </w:t>
      </w:r>
      <w:r w:rsidRPr="00C6024C">
        <w:rPr>
          <w:rFonts w:ascii="Arial" w:hAnsi="Arial" w:cs="Arial"/>
          <w:i/>
          <w:iCs/>
          <w:sz w:val="22"/>
          <w:szCs w:val="22"/>
        </w:rPr>
        <w:t>16</w:t>
      </w:r>
      <w:r w:rsidRPr="00C6024C">
        <w:rPr>
          <w:rFonts w:ascii="Arial" w:hAnsi="Arial" w:cs="Arial"/>
          <w:sz w:val="22"/>
          <w:szCs w:val="22"/>
        </w:rPr>
        <w:t>(16), p.7143.</w:t>
      </w:r>
    </w:p>
    <w:p w14:paraId="6A333987" w14:textId="4DA7BAD1" w:rsidR="007F7B7C" w:rsidRPr="00C6024C" w:rsidRDefault="007F7B7C" w:rsidP="00A565F4">
      <w:pPr>
        <w:spacing w:line="360" w:lineRule="auto"/>
        <w:jc w:val="both"/>
        <w:rPr>
          <w:rFonts w:ascii="Arial" w:hAnsi="Arial" w:cs="Arial"/>
          <w:sz w:val="22"/>
          <w:szCs w:val="22"/>
        </w:rPr>
      </w:pPr>
      <w:r w:rsidRPr="00C6024C">
        <w:rPr>
          <w:rFonts w:ascii="Arial" w:hAnsi="Arial" w:cs="Arial"/>
          <w:sz w:val="22"/>
          <w:szCs w:val="22"/>
        </w:rPr>
        <w:t xml:space="preserve">WHO (2025), </w:t>
      </w:r>
      <w:hyperlink r:id="rId12" w:history="1">
        <w:r w:rsidRPr="00C6024C">
          <w:rPr>
            <w:rStyle w:val="Hyperlink"/>
            <w:rFonts w:ascii="Arial" w:hAnsi="Arial" w:cs="Arial"/>
            <w:sz w:val="22"/>
            <w:szCs w:val="22"/>
          </w:rPr>
          <w:t>https://www.who.int/news-room/fact-sheets/detail/hypertension</w:t>
        </w:r>
      </w:hyperlink>
    </w:p>
    <w:p w14:paraId="105B0277" w14:textId="5039AEB7" w:rsidR="00A83D56" w:rsidRPr="00C6024C" w:rsidRDefault="00A83D56" w:rsidP="00A565F4">
      <w:pPr>
        <w:spacing w:line="360" w:lineRule="auto"/>
        <w:jc w:val="both"/>
        <w:rPr>
          <w:rFonts w:ascii="Arial" w:hAnsi="Arial" w:cs="Arial"/>
          <w:sz w:val="22"/>
          <w:szCs w:val="22"/>
        </w:rPr>
      </w:pPr>
      <w:r w:rsidRPr="00C6024C">
        <w:rPr>
          <w:rFonts w:ascii="Arial" w:hAnsi="Arial" w:cs="Arial"/>
          <w:sz w:val="22"/>
          <w:szCs w:val="22"/>
        </w:rPr>
        <w:t xml:space="preserve">Zekavat, S.M., Honigberg, M., Pirruccello, J.P., Kohli, P., Karlson, E.W., Newton-Cheh, C., Zhao, H. and Natarajan, P., </w:t>
      </w:r>
      <w:r w:rsidR="004C7E70" w:rsidRPr="00C6024C">
        <w:rPr>
          <w:rFonts w:ascii="Arial" w:hAnsi="Arial" w:cs="Arial"/>
          <w:sz w:val="22"/>
          <w:szCs w:val="22"/>
        </w:rPr>
        <w:t>(</w:t>
      </w:r>
      <w:r w:rsidRPr="00C6024C">
        <w:rPr>
          <w:rFonts w:ascii="Arial" w:hAnsi="Arial" w:cs="Arial"/>
          <w:sz w:val="22"/>
          <w:szCs w:val="22"/>
        </w:rPr>
        <w:t>2021</w:t>
      </w:r>
      <w:r w:rsidR="004C7E70" w:rsidRPr="00C6024C">
        <w:rPr>
          <w:rFonts w:ascii="Arial" w:hAnsi="Arial" w:cs="Arial"/>
          <w:sz w:val="22"/>
          <w:szCs w:val="22"/>
        </w:rPr>
        <w:t>)</w:t>
      </w:r>
      <w:r w:rsidRPr="00C6024C">
        <w:rPr>
          <w:rFonts w:ascii="Arial" w:hAnsi="Arial" w:cs="Arial"/>
          <w:sz w:val="22"/>
          <w:szCs w:val="22"/>
        </w:rPr>
        <w:t>. Elevated blood pressure increases pneumonia risk: epidemiological association and mendelian randomization in the UK Biobank. </w:t>
      </w:r>
      <w:r w:rsidRPr="00C6024C">
        <w:rPr>
          <w:rFonts w:ascii="Arial" w:hAnsi="Arial" w:cs="Arial"/>
          <w:i/>
          <w:iCs/>
          <w:sz w:val="22"/>
          <w:szCs w:val="22"/>
        </w:rPr>
        <w:t>Med</w:t>
      </w:r>
      <w:r w:rsidRPr="00C6024C">
        <w:rPr>
          <w:rFonts w:ascii="Arial" w:hAnsi="Arial" w:cs="Arial"/>
          <w:sz w:val="22"/>
          <w:szCs w:val="22"/>
        </w:rPr>
        <w:t>, </w:t>
      </w:r>
      <w:r w:rsidRPr="00C6024C">
        <w:rPr>
          <w:rFonts w:ascii="Arial" w:hAnsi="Arial" w:cs="Arial"/>
          <w:i/>
          <w:iCs/>
          <w:sz w:val="22"/>
          <w:szCs w:val="22"/>
        </w:rPr>
        <w:t>2</w:t>
      </w:r>
      <w:r w:rsidRPr="00C6024C">
        <w:rPr>
          <w:rFonts w:ascii="Arial" w:hAnsi="Arial" w:cs="Arial"/>
          <w:sz w:val="22"/>
          <w:szCs w:val="22"/>
        </w:rPr>
        <w:t>(2), pp.137-148.</w:t>
      </w:r>
    </w:p>
    <w:p w14:paraId="2F496B15" w14:textId="77777777" w:rsidR="0022280C" w:rsidRPr="00C6024C" w:rsidRDefault="0022280C" w:rsidP="00A565F4">
      <w:pPr>
        <w:spacing w:line="360" w:lineRule="auto"/>
        <w:jc w:val="both"/>
        <w:rPr>
          <w:rFonts w:ascii="Arial" w:hAnsi="Arial" w:cs="Arial"/>
          <w:sz w:val="22"/>
          <w:szCs w:val="22"/>
        </w:rPr>
      </w:pPr>
    </w:p>
    <w:p w14:paraId="35CE6607" w14:textId="77777777" w:rsidR="0022280C" w:rsidRPr="00C6024C" w:rsidRDefault="0022280C" w:rsidP="00A565F4">
      <w:pPr>
        <w:spacing w:line="360" w:lineRule="auto"/>
        <w:jc w:val="both"/>
        <w:rPr>
          <w:rFonts w:ascii="Arial" w:hAnsi="Arial" w:cs="Arial"/>
          <w:b/>
          <w:bCs/>
          <w:sz w:val="22"/>
          <w:szCs w:val="22"/>
        </w:rPr>
      </w:pPr>
    </w:p>
    <w:sectPr w:rsidR="0022280C" w:rsidRPr="00C6024C" w:rsidSect="007B510A">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D1D6C" w14:textId="77777777" w:rsidR="004C1A04" w:rsidRDefault="004C1A04" w:rsidP="00365DD2">
      <w:pPr>
        <w:spacing w:after="0" w:line="240" w:lineRule="auto"/>
      </w:pPr>
      <w:r>
        <w:separator/>
      </w:r>
    </w:p>
  </w:endnote>
  <w:endnote w:type="continuationSeparator" w:id="0">
    <w:p w14:paraId="76D65326" w14:textId="77777777" w:rsidR="004C1A04" w:rsidRDefault="004C1A04" w:rsidP="00365D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0696524"/>
      <w:docPartObj>
        <w:docPartGallery w:val="Page Numbers (Bottom of Page)"/>
        <w:docPartUnique/>
      </w:docPartObj>
    </w:sdtPr>
    <w:sdtEndPr/>
    <w:sdtContent>
      <w:p w14:paraId="7D6AF8DA" w14:textId="3DF8BCE8" w:rsidR="00365DD2" w:rsidRDefault="00365DD2">
        <w:pPr>
          <w:pStyle w:val="Footer"/>
          <w:jc w:val="right"/>
        </w:pPr>
        <w:r>
          <w:fldChar w:fldCharType="begin"/>
        </w:r>
        <w:r>
          <w:instrText>PAGE   \* MERGEFORMAT</w:instrText>
        </w:r>
        <w:r>
          <w:fldChar w:fldCharType="separate"/>
        </w:r>
        <w:r>
          <w:t>2</w:t>
        </w:r>
        <w:r>
          <w:fldChar w:fldCharType="end"/>
        </w:r>
      </w:p>
    </w:sdtContent>
  </w:sdt>
  <w:p w14:paraId="7C790FF6" w14:textId="77777777" w:rsidR="00365DD2" w:rsidRDefault="00365D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65F7E" w14:textId="77777777" w:rsidR="004C1A04" w:rsidRDefault="004C1A04" w:rsidP="00365DD2">
      <w:pPr>
        <w:spacing w:after="0" w:line="240" w:lineRule="auto"/>
      </w:pPr>
      <w:r>
        <w:separator/>
      </w:r>
    </w:p>
  </w:footnote>
  <w:footnote w:type="continuationSeparator" w:id="0">
    <w:p w14:paraId="26D31CD7" w14:textId="77777777" w:rsidR="004C1A04" w:rsidRDefault="004C1A04" w:rsidP="00365D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04C4D"/>
    <w:multiLevelType w:val="multilevel"/>
    <w:tmpl w:val="D22C8B3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727B1989"/>
    <w:multiLevelType w:val="multilevel"/>
    <w:tmpl w:val="9FB2D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3972608">
    <w:abstractNumId w:val="1"/>
  </w:num>
  <w:num w:numId="2" w16cid:durableId="1775245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88F"/>
    <w:rsid w:val="000142D7"/>
    <w:rsid w:val="000232B3"/>
    <w:rsid w:val="000338EC"/>
    <w:rsid w:val="00062109"/>
    <w:rsid w:val="000F137D"/>
    <w:rsid w:val="001206C6"/>
    <w:rsid w:val="00123B52"/>
    <w:rsid w:val="001C3150"/>
    <w:rsid w:val="001D52AA"/>
    <w:rsid w:val="001D5F4C"/>
    <w:rsid w:val="0022280C"/>
    <w:rsid w:val="00244A15"/>
    <w:rsid w:val="00281122"/>
    <w:rsid w:val="002C4322"/>
    <w:rsid w:val="002F76D4"/>
    <w:rsid w:val="003067EE"/>
    <w:rsid w:val="00310E2A"/>
    <w:rsid w:val="00365DD2"/>
    <w:rsid w:val="00373ED4"/>
    <w:rsid w:val="003A1313"/>
    <w:rsid w:val="003A369F"/>
    <w:rsid w:val="003A5376"/>
    <w:rsid w:val="003E6AC0"/>
    <w:rsid w:val="003F4998"/>
    <w:rsid w:val="0040603E"/>
    <w:rsid w:val="00412BA6"/>
    <w:rsid w:val="00453244"/>
    <w:rsid w:val="0049404D"/>
    <w:rsid w:val="004A2F06"/>
    <w:rsid w:val="004A78FF"/>
    <w:rsid w:val="004B3B11"/>
    <w:rsid w:val="004C1A04"/>
    <w:rsid w:val="004C7E70"/>
    <w:rsid w:val="004E277A"/>
    <w:rsid w:val="005240B3"/>
    <w:rsid w:val="00550039"/>
    <w:rsid w:val="00593C1C"/>
    <w:rsid w:val="005C2CF3"/>
    <w:rsid w:val="005F37B7"/>
    <w:rsid w:val="005F5461"/>
    <w:rsid w:val="006059FD"/>
    <w:rsid w:val="0062059C"/>
    <w:rsid w:val="00666DA7"/>
    <w:rsid w:val="00674B7A"/>
    <w:rsid w:val="006861D8"/>
    <w:rsid w:val="006A21D6"/>
    <w:rsid w:val="006B2207"/>
    <w:rsid w:val="006C2696"/>
    <w:rsid w:val="006C7A75"/>
    <w:rsid w:val="006E1164"/>
    <w:rsid w:val="006F2CDC"/>
    <w:rsid w:val="00724080"/>
    <w:rsid w:val="007B0846"/>
    <w:rsid w:val="007B510A"/>
    <w:rsid w:val="007C165F"/>
    <w:rsid w:val="007C2225"/>
    <w:rsid w:val="007F7B7C"/>
    <w:rsid w:val="00801D69"/>
    <w:rsid w:val="00806146"/>
    <w:rsid w:val="00806EE1"/>
    <w:rsid w:val="00864346"/>
    <w:rsid w:val="008725CD"/>
    <w:rsid w:val="008804E0"/>
    <w:rsid w:val="008859A8"/>
    <w:rsid w:val="008A0A0D"/>
    <w:rsid w:val="008B1E84"/>
    <w:rsid w:val="008C0415"/>
    <w:rsid w:val="008D47EB"/>
    <w:rsid w:val="008E5C60"/>
    <w:rsid w:val="00903671"/>
    <w:rsid w:val="00904640"/>
    <w:rsid w:val="00930DAD"/>
    <w:rsid w:val="009332B1"/>
    <w:rsid w:val="0093658E"/>
    <w:rsid w:val="0096368F"/>
    <w:rsid w:val="009C2C1D"/>
    <w:rsid w:val="009D3DE7"/>
    <w:rsid w:val="00A53A5C"/>
    <w:rsid w:val="00A565F4"/>
    <w:rsid w:val="00A7215B"/>
    <w:rsid w:val="00A83D56"/>
    <w:rsid w:val="00A85B59"/>
    <w:rsid w:val="00AA25D3"/>
    <w:rsid w:val="00AD32D1"/>
    <w:rsid w:val="00AE4697"/>
    <w:rsid w:val="00AE697E"/>
    <w:rsid w:val="00B67694"/>
    <w:rsid w:val="00B87D86"/>
    <w:rsid w:val="00BA4C1A"/>
    <w:rsid w:val="00BF6994"/>
    <w:rsid w:val="00C13FCC"/>
    <w:rsid w:val="00C222D1"/>
    <w:rsid w:val="00C46010"/>
    <w:rsid w:val="00C46CCE"/>
    <w:rsid w:val="00C6024C"/>
    <w:rsid w:val="00C66723"/>
    <w:rsid w:val="00C82724"/>
    <w:rsid w:val="00C9633A"/>
    <w:rsid w:val="00CF4C03"/>
    <w:rsid w:val="00D54000"/>
    <w:rsid w:val="00D75436"/>
    <w:rsid w:val="00DA53C6"/>
    <w:rsid w:val="00DB0023"/>
    <w:rsid w:val="00DB1C66"/>
    <w:rsid w:val="00DE49F1"/>
    <w:rsid w:val="00DE688F"/>
    <w:rsid w:val="00E17816"/>
    <w:rsid w:val="00E25452"/>
    <w:rsid w:val="00E34877"/>
    <w:rsid w:val="00E50944"/>
    <w:rsid w:val="00E61973"/>
    <w:rsid w:val="00E736A9"/>
    <w:rsid w:val="00E8778F"/>
    <w:rsid w:val="00ED7BE7"/>
    <w:rsid w:val="00F6671B"/>
    <w:rsid w:val="00F85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DA7DB"/>
  <w15:chartTrackingRefBased/>
  <w15:docId w15:val="{5800F6B7-09A9-4F20-A150-000ED55EC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unhideWhenUsed/>
    <w:qFormat/>
    <w:rsid w:val="00A565F4"/>
    <w:pPr>
      <w:keepNext/>
      <w:keepLines/>
      <w:spacing w:before="160" w:after="8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DE68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68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68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68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68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68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rsid w:val="00A565F4"/>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DE68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68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68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8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8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88F"/>
    <w:rPr>
      <w:rFonts w:eastAsiaTheme="majorEastAsia" w:cstheme="majorBidi"/>
      <w:color w:val="272727" w:themeColor="text1" w:themeTint="D8"/>
    </w:rPr>
  </w:style>
  <w:style w:type="paragraph" w:styleId="Title">
    <w:name w:val="Title"/>
    <w:basedOn w:val="Normal"/>
    <w:next w:val="Normal"/>
    <w:link w:val="TitleChar"/>
    <w:uiPriority w:val="10"/>
    <w:qFormat/>
    <w:rsid w:val="00DE68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8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8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8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88F"/>
    <w:pPr>
      <w:spacing w:before="160"/>
      <w:jc w:val="center"/>
    </w:pPr>
    <w:rPr>
      <w:i/>
      <w:iCs/>
      <w:color w:val="404040" w:themeColor="text1" w:themeTint="BF"/>
    </w:rPr>
  </w:style>
  <w:style w:type="character" w:customStyle="1" w:styleId="QuoteChar">
    <w:name w:val="Quote Char"/>
    <w:basedOn w:val="DefaultParagraphFont"/>
    <w:link w:val="Quote"/>
    <w:uiPriority w:val="29"/>
    <w:rsid w:val="00DE688F"/>
    <w:rPr>
      <w:i/>
      <w:iCs/>
      <w:color w:val="404040" w:themeColor="text1" w:themeTint="BF"/>
    </w:rPr>
  </w:style>
  <w:style w:type="paragraph" w:styleId="ListParagraph">
    <w:name w:val="List Paragraph"/>
    <w:basedOn w:val="Normal"/>
    <w:uiPriority w:val="34"/>
    <w:qFormat/>
    <w:rsid w:val="00DE688F"/>
    <w:pPr>
      <w:ind w:left="720"/>
      <w:contextualSpacing/>
    </w:pPr>
  </w:style>
  <w:style w:type="character" w:styleId="IntenseEmphasis">
    <w:name w:val="Intense Emphasis"/>
    <w:basedOn w:val="DefaultParagraphFont"/>
    <w:uiPriority w:val="21"/>
    <w:qFormat/>
    <w:rsid w:val="00DE688F"/>
    <w:rPr>
      <w:i/>
      <w:iCs/>
      <w:color w:val="0F4761" w:themeColor="accent1" w:themeShade="BF"/>
    </w:rPr>
  </w:style>
  <w:style w:type="paragraph" w:styleId="IntenseQuote">
    <w:name w:val="Intense Quote"/>
    <w:basedOn w:val="Normal"/>
    <w:next w:val="Normal"/>
    <w:link w:val="IntenseQuoteChar"/>
    <w:uiPriority w:val="30"/>
    <w:qFormat/>
    <w:rsid w:val="00DE68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688F"/>
    <w:rPr>
      <w:i/>
      <w:iCs/>
      <w:color w:val="0F4761" w:themeColor="accent1" w:themeShade="BF"/>
    </w:rPr>
  </w:style>
  <w:style w:type="character" w:styleId="IntenseReference">
    <w:name w:val="Intense Reference"/>
    <w:basedOn w:val="DefaultParagraphFont"/>
    <w:uiPriority w:val="32"/>
    <w:qFormat/>
    <w:rsid w:val="00DE688F"/>
    <w:rPr>
      <w:b/>
      <w:bCs/>
      <w:smallCaps/>
      <w:color w:val="0F4761" w:themeColor="accent1" w:themeShade="BF"/>
      <w:spacing w:val="5"/>
    </w:rPr>
  </w:style>
  <w:style w:type="character" w:styleId="Hyperlink">
    <w:name w:val="Hyperlink"/>
    <w:basedOn w:val="DefaultParagraphFont"/>
    <w:uiPriority w:val="99"/>
    <w:unhideWhenUsed/>
    <w:rsid w:val="0022280C"/>
    <w:rPr>
      <w:color w:val="467886" w:themeColor="hyperlink"/>
      <w:u w:val="single"/>
    </w:rPr>
  </w:style>
  <w:style w:type="character" w:styleId="UnresolvedMention">
    <w:name w:val="Unresolved Mention"/>
    <w:basedOn w:val="DefaultParagraphFont"/>
    <w:uiPriority w:val="99"/>
    <w:semiHidden/>
    <w:unhideWhenUsed/>
    <w:rsid w:val="0022280C"/>
    <w:rPr>
      <w:color w:val="605E5C"/>
      <w:shd w:val="clear" w:color="auto" w:fill="E1DFDD"/>
    </w:rPr>
  </w:style>
  <w:style w:type="paragraph" w:styleId="TOCHeading">
    <w:name w:val="TOC Heading"/>
    <w:basedOn w:val="Heading1"/>
    <w:next w:val="Normal"/>
    <w:uiPriority w:val="39"/>
    <w:unhideWhenUsed/>
    <w:qFormat/>
    <w:rsid w:val="008C0415"/>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8C0415"/>
    <w:pPr>
      <w:spacing w:after="100"/>
    </w:pPr>
  </w:style>
  <w:style w:type="paragraph" w:styleId="TOC2">
    <w:name w:val="toc 2"/>
    <w:basedOn w:val="Normal"/>
    <w:next w:val="Normal"/>
    <w:autoRedefine/>
    <w:uiPriority w:val="39"/>
    <w:unhideWhenUsed/>
    <w:rsid w:val="008C0415"/>
    <w:pPr>
      <w:spacing w:after="100"/>
      <w:ind w:left="240"/>
    </w:pPr>
  </w:style>
  <w:style w:type="paragraph" w:styleId="TOC3">
    <w:name w:val="toc 3"/>
    <w:basedOn w:val="Normal"/>
    <w:next w:val="Normal"/>
    <w:autoRedefine/>
    <w:uiPriority w:val="39"/>
    <w:unhideWhenUsed/>
    <w:rsid w:val="008C0415"/>
    <w:pPr>
      <w:spacing w:after="100"/>
      <w:ind w:left="480"/>
    </w:pPr>
  </w:style>
  <w:style w:type="paragraph" w:styleId="Header">
    <w:name w:val="header"/>
    <w:basedOn w:val="Normal"/>
    <w:link w:val="HeaderChar"/>
    <w:uiPriority w:val="99"/>
    <w:unhideWhenUsed/>
    <w:rsid w:val="00365D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DD2"/>
  </w:style>
  <w:style w:type="paragraph" w:styleId="Footer">
    <w:name w:val="footer"/>
    <w:basedOn w:val="Normal"/>
    <w:link w:val="FooterChar"/>
    <w:uiPriority w:val="99"/>
    <w:unhideWhenUsed/>
    <w:rsid w:val="00365D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D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sabilityrightsuk.org/news/2020/february/nearly-half-everyone-poverty-either-disabled-person-or-lives-disabled-person?srsltid=AfmBOop3atcsVzRUgGcbYeOrUf7BP8Hy20E4hJhIYJCftKrM_RS06lP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ho.int/news-room/fact-sheets/detail/hyperten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briefings.files.parliament.uk/documents/CBP-9602/CBP-9602.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ons.gov.uk/peoplepopulationandcommunity/healthandsocialcare/disability/bulletins/disabilityandemploymentuk/2019" TargetMode="External"/><Relationship Id="rId4" Type="http://schemas.openxmlformats.org/officeDocument/2006/relationships/webSettings" Target="webSettings.xml"/><Relationship Id="rId9" Type="http://schemas.openxmlformats.org/officeDocument/2006/relationships/hyperlink" Target="https://digital.nhs.uk/data-and-information/publications/statistical/health-survey-for-england/2021-part-2/adult-health-hypertens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4479</Words>
  <Characters>25534</Characters>
  <Application>Microsoft Office Word</Application>
  <DocSecurity>4</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Kashish Bhagat</cp:lastModifiedBy>
  <cp:revision>2</cp:revision>
  <dcterms:created xsi:type="dcterms:W3CDTF">2025-12-18T16:01:00Z</dcterms:created>
  <dcterms:modified xsi:type="dcterms:W3CDTF">2025-12-18T16:01:00Z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7ebd0f24-4203-4380-a947-44b6bb441e67</vt:lpwstr>
  </property>
</Properties>
</file>