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000001" w14:textId="52FB4AB4" w:rsidR="009D019D" w:rsidRPr="000779C2" w:rsidRDefault="009D019D" w:rsidP="00623EF6">
      <w:pPr>
        <w:spacing w:before="0" w:after="0"/>
        <w:rPr>
          <w:b/>
          <w:bCs/>
          <w:color w:val="000000" w:themeColor="text1"/>
          <w:sz w:val="32"/>
          <w:szCs w:val="32"/>
        </w:rPr>
      </w:pPr>
    </w:p>
    <w:p w14:paraId="00000002" w14:textId="3E8F581F" w:rsidR="009D019D" w:rsidRPr="000779C2" w:rsidRDefault="001C033A" w:rsidP="0055632B">
      <w:pPr>
        <w:spacing w:before="0" w:after="0"/>
        <w:jc w:val="center"/>
        <w:rPr>
          <w:b/>
          <w:bCs/>
          <w:color w:val="000000" w:themeColor="text1"/>
          <w:sz w:val="32"/>
          <w:szCs w:val="32"/>
        </w:rPr>
      </w:pPr>
      <w:r w:rsidRPr="000779C2">
        <w:rPr>
          <w:b/>
          <w:noProof/>
          <w:color w:val="000000" w:themeColor="text1"/>
        </w:rPr>
        <w:drawing>
          <wp:anchor distT="0" distB="0" distL="114300" distR="114300" simplePos="0" relativeHeight="251659264" behindDoc="0" locked="0" layoutInCell="1" allowOverlap="1" wp14:anchorId="42BB24DC" wp14:editId="5DA22F7F">
            <wp:simplePos x="0" y="0"/>
            <wp:positionH relativeFrom="column">
              <wp:posOffset>1844040</wp:posOffset>
            </wp:positionH>
            <wp:positionV relativeFrom="paragraph">
              <wp:posOffset>190500</wp:posOffset>
            </wp:positionV>
            <wp:extent cx="1981200" cy="812800"/>
            <wp:effectExtent l="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981200" cy="81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00003" w14:textId="77777777" w:rsidR="009D019D" w:rsidRPr="000779C2" w:rsidRDefault="009D019D" w:rsidP="0055632B">
      <w:pPr>
        <w:spacing w:before="0" w:after="0"/>
        <w:jc w:val="center"/>
        <w:rPr>
          <w:b/>
          <w:bCs/>
          <w:color w:val="000000" w:themeColor="text1"/>
          <w:sz w:val="32"/>
          <w:szCs w:val="32"/>
        </w:rPr>
      </w:pPr>
    </w:p>
    <w:p w14:paraId="00000007" w14:textId="77777777" w:rsidR="009D019D" w:rsidRPr="000779C2" w:rsidRDefault="009D019D" w:rsidP="001C033A">
      <w:pPr>
        <w:spacing w:before="0" w:after="0"/>
        <w:rPr>
          <w:b/>
          <w:bCs/>
          <w:color w:val="000000" w:themeColor="text1"/>
          <w:sz w:val="32"/>
          <w:szCs w:val="32"/>
        </w:rPr>
      </w:pPr>
    </w:p>
    <w:p w14:paraId="00000008" w14:textId="77777777" w:rsidR="009D019D" w:rsidRPr="000779C2" w:rsidRDefault="009D019D" w:rsidP="0055632B">
      <w:pPr>
        <w:spacing w:before="0" w:after="0"/>
        <w:jc w:val="center"/>
        <w:rPr>
          <w:b/>
          <w:bCs/>
          <w:color w:val="000000" w:themeColor="text1"/>
          <w:sz w:val="32"/>
          <w:szCs w:val="32"/>
        </w:rPr>
      </w:pPr>
    </w:p>
    <w:p w14:paraId="31A96A23" w14:textId="47432E7E" w:rsidR="00232BC0" w:rsidRPr="000779C2" w:rsidRDefault="00232BC0" w:rsidP="004D5E40">
      <w:pPr>
        <w:spacing w:before="0" w:after="0"/>
        <w:jc w:val="center"/>
        <w:rPr>
          <w:b/>
          <w:bCs/>
          <w:color w:val="000000" w:themeColor="text1"/>
          <w:sz w:val="36"/>
          <w:szCs w:val="36"/>
        </w:rPr>
      </w:pPr>
      <w:r w:rsidRPr="000779C2">
        <w:rPr>
          <w:b/>
          <w:bCs/>
          <w:color w:val="000000" w:themeColor="text1"/>
          <w:sz w:val="36"/>
          <w:szCs w:val="36"/>
        </w:rPr>
        <w:t xml:space="preserve">Name: </w:t>
      </w:r>
      <w:proofErr w:type="spellStart"/>
      <w:r w:rsidRPr="000779C2">
        <w:rPr>
          <w:b/>
          <w:bCs/>
          <w:color w:val="000000" w:themeColor="text1"/>
          <w:sz w:val="36"/>
          <w:szCs w:val="36"/>
        </w:rPr>
        <w:t>Lakmi</w:t>
      </w:r>
      <w:proofErr w:type="spellEnd"/>
      <w:r w:rsidRPr="000779C2">
        <w:rPr>
          <w:b/>
          <w:bCs/>
          <w:color w:val="000000" w:themeColor="text1"/>
          <w:sz w:val="36"/>
          <w:szCs w:val="36"/>
        </w:rPr>
        <w:t xml:space="preserve"> Singh</w:t>
      </w:r>
    </w:p>
    <w:p w14:paraId="236254AD" w14:textId="77777777" w:rsidR="00232BC0" w:rsidRPr="000779C2" w:rsidRDefault="00232BC0" w:rsidP="004D5E40">
      <w:pPr>
        <w:spacing w:before="0" w:after="0"/>
        <w:jc w:val="center"/>
        <w:rPr>
          <w:b/>
          <w:bCs/>
          <w:color w:val="000000" w:themeColor="text1"/>
          <w:sz w:val="36"/>
          <w:szCs w:val="36"/>
        </w:rPr>
      </w:pPr>
      <w:r w:rsidRPr="000779C2">
        <w:rPr>
          <w:b/>
          <w:bCs/>
          <w:color w:val="000000" w:themeColor="text1"/>
          <w:sz w:val="36"/>
          <w:szCs w:val="36"/>
        </w:rPr>
        <w:t>Student ID: 2534405</w:t>
      </w:r>
    </w:p>
    <w:p w14:paraId="4ECD4F10" w14:textId="77777777" w:rsidR="00232BC0" w:rsidRPr="000779C2" w:rsidRDefault="00232BC0" w:rsidP="004D5E40">
      <w:pPr>
        <w:spacing w:before="0" w:after="0"/>
        <w:jc w:val="center"/>
        <w:rPr>
          <w:b/>
          <w:bCs/>
          <w:color w:val="000000" w:themeColor="text1"/>
          <w:sz w:val="36"/>
          <w:szCs w:val="36"/>
        </w:rPr>
      </w:pPr>
      <w:r w:rsidRPr="000779C2">
        <w:rPr>
          <w:b/>
          <w:bCs/>
          <w:color w:val="000000" w:themeColor="text1"/>
          <w:sz w:val="36"/>
          <w:szCs w:val="36"/>
        </w:rPr>
        <w:t>Professor: Patrick Yeboah</w:t>
      </w:r>
    </w:p>
    <w:p w14:paraId="3443BA4E" w14:textId="20CF53D2" w:rsidR="00B4626F" w:rsidRPr="000779C2" w:rsidRDefault="00B4626F" w:rsidP="004D5E40">
      <w:pPr>
        <w:spacing w:before="0" w:after="0"/>
        <w:jc w:val="center"/>
        <w:rPr>
          <w:b/>
          <w:bCs/>
          <w:color w:val="000000" w:themeColor="text1"/>
          <w:sz w:val="36"/>
          <w:szCs w:val="36"/>
        </w:rPr>
      </w:pPr>
      <w:r w:rsidRPr="000779C2">
        <w:rPr>
          <w:b/>
          <w:bCs/>
          <w:color w:val="000000" w:themeColor="text1"/>
          <w:sz w:val="36"/>
          <w:szCs w:val="36"/>
        </w:rPr>
        <w:t>Module: Financial Management-(LCMB7002)</w:t>
      </w:r>
    </w:p>
    <w:p w14:paraId="79989962" w14:textId="135C1639" w:rsidR="00232BC0" w:rsidRPr="000779C2" w:rsidRDefault="00000000" w:rsidP="004D5E40">
      <w:pPr>
        <w:spacing w:before="0" w:after="0"/>
        <w:jc w:val="center"/>
        <w:rPr>
          <w:color w:val="000000" w:themeColor="text1"/>
          <w:sz w:val="28"/>
          <w:szCs w:val="24"/>
        </w:rPr>
      </w:pPr>
      <w:r w:rsidRPr="000779C2">
        <w:rPr>
          <w:b/>
          <w:bCs/>
          <w:color w:val="000000" w:themeColor="text1"/>
          <w:sz w:val="36"/>
          <w:szCs w:val="36"/>
        </w:rPr>
        <w:t>FINANCIAL PERFORMANCE EVALUATION, STRATEGIC FINANCIAL MANAGEMENT AND INVESTMENT APPRAISAL OF INTERCONTINENTAL HOTELS GROUP PLC (2021-2025)</w:t>
      </w:r>
    </w:p>
    <w:p w14:paraId="26FC03AC" w14:textId="77777777" w:rsidR="00232BC0" w:rsidRPr="000779C2" w:rsidRDefault="00232BC0" w:rsidP="00232BC0">
      <w:pPr>
        <w:spacing w:before="0" w:after="0"/>
        <w:jc w:val="center"/>
        <w:rPr>
          <w:color w:val="000000" w:themeColor="text1"/>
        </w:rPr>
      </w:pPr>
    </w:p>
    <w:p w14:paraId="19365100" w14:textId="77777777" w:rsidR="00232BC0" w:rsidRPr="000779C2" w:rsidRDefault="00232BC0" w:rsidP="00232BC0">
      <w:pPr>
        <w:spacing w:before="0" w:after="0"/>
        <w:jc w:val="center"/>
        <w:rPr>
          <w:color w:val="000000" w:themeColor="text1"/>
        </w:rPr>
      </w:pPr>
    </w:p>
    <w:p w14:paraId="2A0AC897" w14:textId="77777777" w:rsidR="00232BC0" w:rsidRPr="000779C2" w:rsidRDefault="00232BC0" w:rsidP="00232BC0">
      <w:pPr>
        <w:spacing w:before="0" w:after="0"/>
        <w:jc w:val="center"/>
        <w:rPr>
          <w:color w:val="000000" w:themeColor="text1"/>
        </w:rPr>
      </w:pPr>
    </w:p>
    <w:p w14:paraId="6B00DB70" w14:textId="77777777" w:rsidR="00232BC0" w:rsidRPr="000779C2" w:rsidRDefault="00232BC0" w:rsidP="00232BC0">
      <w:pPr>
        <w:spacing w:before="0" w:after="0"/>
        <w:jc w:val="center"/>
        <w:rPr>
          <w:color w:val="000000" w:themeColor="text1"/>
        </w:rPr>
      </w:pPr>
    </w:p>
    <w:p w14:paraId="688D7448" w14:textId="77777777" w:rsidR="00232BC0" w:rsidRPr="000779C2" w:rsidRDefault="00232BC0" w:rsidP="00232BC0">
      <w:pPr>
        <w:spacing w:before="0" w:after="0"/>
        <w:jc w:val="center"/>
        <w:rPr>
          <w:color w:val="000000" w:themeColor="text1"/>
        </w:rPr>
      </w:pPr>
    </w:p>
    <w:p w14:paraId="0C88EFEF" w14:textId="77777777" w:rsidR="00232BC0" w:rsidRPr="000779C2" w:rsidRDefault="00232BC0" w:rsidP="00232BC0">
      <w:pPr>
        <w:spacing w:before="0" w:after="0"/>
        <w:jc w:val="center"/>
        <w:rPr>
          <w:color w:val="000000" w:themeColor="text1"/>
        </w:rPr>
      </w:pPr>
    </w:p>
    <w:p w14:paraId="70669538" w14:textId="77777777" w:rsidR="00232BC0" w:rsidRPr="000779C2" w:rsidRDefault="00232BC0" w:rsidP="00232BC0">
      <w:pPr>
        <w:spacing w:before="0" w:after="0"/>
        <w:jc w:val="center"/>
        <w:rPr>
          <w:color w:val="000000" w:themeColor="text1"/>
        </w:rPr>
      </w:pPr>
    </w:p>
    <w:p w14:paraId="45316A48" w14:textId="77777777" w:rsidR="00232BC0" w:rsidRPr="000779C2" w:rsidRDefault="00232BC0" w:rsidP="00232BC0">
      <w:pPr>
        <w:spacing w:before="0" w:after="0"/>
        <w:jc w:val="center"/>
        <w:rPr>
          <w:color w:val="000000" w:themeColor="text1"/>
        </w:rPr>
      </w:pPr>
    </w:p>
    <w:p w14:paraId="584BED5A" w14:textId="77777777" w:rsidR="00232BC0" w:rsidRPr="000779C2" w:rsidRDefault="00232BC0" w:rsidP="00232BC0">
      <w:pPr>
        <w:spacing w:before="0" w:after="0"/>
        <w:jc w:val="center"/>
        <w:rPr>
          <w:color w:val="000000" w:themeColor="text1"/>
        </w:rPr>
      </w:pPr>
    </w:p>
    <w:p w14:paraId="14B8A228" w14:textId="77777777" w:rsidR="00232BC0" w:rsidRPr="000779C2" w:rsidRDefault="00232BC0" w:rsidP="00232BC0">
      <w:pPr>
        <w:spacing w:before="0" w:after="0"/>
        <w:jc w:val="center"/>
        <w:rPr>
          <w:color w:val="000000" w:themeColor="text1"/>
        </w:rPr>
      </w:pPr>
    </w:p>
    <w:p w14:paraId="290BC374" w14:textId="77777777" w:rsidR="00232BC0" w:rsidRPr="000779C2" w:rsidRDefault="00232BC0" w:rsidP="00232BC0">
      <w:pPr>
        <w:spacing w:before="0" w:after="0"/>
        <w:jc w:val="center"/>
        <w:rPr>
          <w:color w:val="000000" w:themeColor="text1"/>
        </w:rPr>
      </w:pPr>
    </w:p>
    <w:p w14:paraId="554E9972" w14:textId="77777777" w:rsidR="00232BC0" w:rsidRPr="000779C2" w:rsidRDefault="00232BC0" w:rsidP="00232BC0">
      <w:pPr>
        <w:spacing w:before="0" w:after="0"/>
        <w:jc w:val="center"/>
        <w:rPr>
          <w:color w:val="000000" w:themeColor="text1"/>
        </w:rPr>
      </w:pPr>
    </w:p>
    <w:p w14:paraId="0F71BF69" w14:textId="77777777" w:rsidR="00232BC0" w:rsidRPr="000779C2" w:rsidRDefault="00232BC0" w:rsidP="00232BC0">
      <w:pPr>
        <w:spacing w:before="0" w:after="0"/>
        <w:jc w:val="center"/>
        <w:rPr>
          <w:color w:val="000000" w:themeColor="text1"/>
        </w:rPr>
      </w:pPr>
    </w:p>
    <w:p w14:paraId="46EBFEF4" w14:textId="77777777" w:rsidR="00232BC0" w:rsidRPr="000779C2" w:rsidRDefault="00232BC0" w:rsidP="00232BC0">
      <w:pPr>
        <w:spacing w:before="0" w:after="0"/>
        <w:jc w:val="center"/>
        <w:rPr>
          <w:color w:val="000000" w:themeColor="text1"/>
        </w:rPr>
      </w:pPr>
    </w:p>
    <w:p w14:paraId="1E48BB44" w14:textId="77777777" w:rsidR="00232BC0" w:rsidRPr="000779C2" w:rsidRDefault="00232BC0" w:rsidP="00861D08">
      <w:pPr>
        <w:spacing w:before="0" w:after="0"/>
        <w:rPr>
          <w:color w:val="000000" w:themeColor="text1"/>
        </w:rPr>
      </w:pPr>
    </w:p>
    <w:p w14:paraId="58AB0342" w14:textId="77777777" w:rsidR="00232BC0" w:rsidRPr="000779C2" w:rsidRDefault="00232BC0" w:rsidP="00232BC0">
      <w:pPr>
        <w:spacing w:before="0" w:after="0"/>
        <w:jc w:val="center"/>
        <w:rPr>
          <w:color w:val="000000" w:themeColor="text1"/>
        </w:rPr>
      </w:pPr>
    </w:p>
    <w:sdt>
      <w:sdtPr>
        <w:rPr>
          <w:rFonts w:ascii="Arial" w:eastAsia="Arial" w:hAnsi="Arial" w:cs="Arial"/>
          <w:color w:val="000000" w:themeColor="text1"/>
          <w:sz w:val="24"/>
          <w:szCs w:val="22"/>
          <w:lang w:val="en-GB" w:eastAsia="zh-CN"/>
        </w:rPr>
        <w:id w:val="560602389"/>
        <w:docPartObj>
          <w:docPartGallery w:val="Table of Contents"/>
          <w:docPartUnique/>
        </w:docPartObj>
      </w:sdtPr>
      <w:sdtEndPr>
        <w:rPr>
          <w:b/>
          <w:bCs/>
          <w:noProof/>
        </w:rPr>
      </w:sdtEndPr>
      <w:sdtContent>
        <w:p w14:paraId="4EB3F46E" w14:textId="0C2D0018" w:rsidR="008B57D8" w:rsidRPr="000779C2" w:rsidRDefault="008B57D8" w:rsidP="0055632B">
          <w:pPr>
            <w:pStyle w:val="TOCHeading"/>
            <w:spacing w:before="0"/>
            <w:jc w:val="center"/>
            <w:rPr>
              <w:rFonts w:ascii="Arial" w:hAnsi="Arial" w:cs="Arial"/>
              <w:b/>
              <w:bCs/>
              <w:color w:val="000000" w:themeColor="text1"/>
              <w:sz w:val="28"/>
              <w:szCs w:val="28"/>
            </w:rPr>
          </w:pPr>
          <w:r w:rsidRPr="000779C2">
            <w:rPr>
              <w:rFonts w:ascii="Arial" w:hAnsi="Arial" w:cs="Arial"/>
              <w:b/>
              <w:bCs/>
              <w:color w:val="000000" w:themeColor="text1"/>
              <w:sz w:val="28"/>
              <w:szCs w:val="28"/>
            </w:rPr>
            <w:t>Table of Contents</w:t>
          </w:r>
        </w:p>
        <w:p w14:paraId="66B23AA5" w14:textId="15B15415" w:rsidR="00861D08" w:rsidRPr="000779C2" w:rsidRDefault="008B57D8">
          <w:pPr>
            <w:pStyle w:val="TOC1"/>
            <w:tabs>
              <w:tab w:val="left" w:pos="480"/>
              <w:tab w:val="right" w:leader="dot" w:pos="9019"/>
            </w:tabs>
            <w:rPr>
              <w:rFonts w:asciiTheme="minorHAnsi" w:eastAsiaTheme="minorEastAsia" w:hAnsiTheme="minorHAnsi" w:cstheme="minorBidi"/>
              <w:noProof/>
              <w:color w:val="000000" w:themeColor="text1"/>
              <w:kern w:val="2"/>
              <w:szCs w:val="24"/>
              <w:lang w:val="en-IN"/>
              <w14:ligatures w14:val="standardContextual"/>
            </w:rPr>
          </w:pPr>
          <w:r w:rsidRPr="000779C2">
            <w:rPr>
              <w:color w:val="000000" w:themeColor="text1"/>
            </w:rPr>
            <w:fldChar w:fldCharType="begin"/>
          </w:r>
          <w:r w:rsidRPr="000779C2">
            <w:rPr>
              <w:color w:val="000000" w:themeColor="text1"/>
            </w:rPr>
            <w:instrText xml:space="preserve"> TOC \o "1-3" \h \z \u </w:instrText>
          </w:r>
          <w:r w:rsidRPr="000779C2">
            <w:rPr>
              <w:color w:val="000000" w:themeColor="text1"/>
            </w:rPr>
            <w:fldChar w:fldCharType="separate"/>
          </w:r>
          <w:hyperlink w:anchor="_Toc235615301" w:history="1">
            <w:r w:rsidR="00861D08" w:rsidRPr="000779C2">
              <w:rPr>
                <w:rStyle w:val="Hyperlink"/>
                <w:rFonts w:ascii="Wingdings" w:hAnsi="Wingdings"/>
                <w:noProof/>
                <w:color w:val="000000" w:themeColor="text1"/>
              </w:rPr>
              <w:t></w:t>
            </w:r>
            <w:r w:rsidR="00861D08" w:rsidRPr="000779C2">
              <w:rPr>
                <w:rFonts w:asciiTheme="minorHAnsi" w:eastAsiaTheme="minorEastAsia" w:hAnsiTheme="minorHAnsi" w:cstheme="minorBidi"/>
                <w:noProof/>
                <w:color w:val="000000" w:themeColor="text1"/>
                <w:kern w:val="2"/>
                <w:szCs w:val="24"/>
                <w:lang w:val="en-IN"/>
                <w14:ligatures w14:val="standardContextual"/>
              </w:rPr>
              <w:tab/>
            </w:r>
            <w:r w:rsidR="00861D08" w:rsidRPr="000779C2">
              <w:rPr>
                <w:rStyle w:val="Hyperlink"/>
                <w:noProof/>
                <w:color w:val="000000" w:themeColor="text1"/>
              </w:rPr>
              <w:t>Introduction</w:t>
            </w:r>
            <w:r w:rsidR="00861D08" w:rsidRPr="000779C2">
              <w:rPr>
                <w:noProof/>
                <w:webHidden/>
                <w:color w:val="000000" w:themeColor="text1"/>
              </w:rPr>
              <w:tab/>
            </w:r>
            <w:r w:rsidR="00861D08" w:rsidRPr="000779C2">
              <w:rPr>
                <w:noProof/>
                <w:webHidden/>
                <w:color w:val="000000" w:themeColor="text1"/>
              </w:rPr>
              <w:fldChar w:fldCharType="begin"/>
            </w:r>
            <w:r w:rsidR="00861D08" w:rsidRPr="000779C2">
              <w:rPr>
                <w:noProof/>
                <w:webHidden/>
                <w:color w:val="000000" w:themeColor="text1"/>
              </w:rPr>
              <w:instrText xml:space="preserve"> PAGEREF _Toc235615301 \h </w:instrText>
            </w:r>
            <w:r w:rsidR="00861D08" w:rsidRPr="000779C2">
              <w:rPr>
                <w:noProof/>
                <w:webHidden/>
                <w:color w:val="000000" w:themeColor="text1"/>
              </w:rPr>
            </w:r>
            <w:r w:rsidR="00861D08" w:rsidRPr="000779C2">
              <w:rPr>
                <w:noProof/>
                <w:webHidden/>
                <w:color w:val="000000" w:themeColor="text1"/>
              </w:rPr>
              <w:fldChar w:fldCharType="separate"/>
            </w:r>
            <w:r w:rsidR="00861D08" w:rsidRPr="000779C2">
              <w:rPr>
                <w:noProof/>
                <w:webHidden/>
                <w:color w:val="000000" w:themeColor="text1"/>
              </w:rPr>
              <w:t>4</w:t>
            </w:r>
            <w:r w:rsidR="00861D08" w:rsidRPr="000779C2">
              <w:rPr>
                <w:noProof/>
                <w:webHidden/>
                <w:color w:val="000000" w:themeColor="text1"/>
              </w:rPr>
              <w:fldChar w:fldCharType="end"/>
            </w:r>
          </w:hyperlink>
        </w:p>
        <w:p w14:paraId="5E80CC4B" w14:textId="68F72A19"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2" w:history="1">
            <w:r w:rsidRPr="000779C2">
              <w:rPr>
                <w:rStyle w:val="Hyperlink"/>
                <w:noProof/>
                <w:color w:val="000000" w:themeColor="text1"/>
              </w:rPr>
              <w:t>1. Financial Health Check</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_Toc235615302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5</w:t>
            </w:r>
            <w:r w:rsidRPr="000779C2">
              <w:rPr>
                <w:noProof/>
                <w:webHidden/>
                <w:color w:val="000000" w:themeColor="text1"/>
              </w:rPr>
              <w:fldChar w:fldCharType="end"/>
            </w:r>
          </w:hyperlink>
        </w:p>
        <w:p w14:paraId="0E2A38DC" w14:textId="26935F74"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3" w:history="1">
            <w:r w:rsidRPr="000779C2">
              <w:rPr>
                <w:rStyle w:val="Hyperlink"/>
                <w:noProof/>
                <w:color w:val="000000" w:themeColor="text1"/>
              </w:rPr>
              <w:t>1.1 Introduction to Financial Performance Analysis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_Toc235615303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5</w:t>
            </w:r>
            <w:r w:rsidRPr="000779C2">
              <w:rPr>
                <w:noProof/>
                <w:webHidden/>
                <w:color w:val="000000" w:themeColor="text1"/>
              </w:rPr>
              <w:fldChar w:fldCharType="end"/>
            </w:r>
          </w:hyperlink>
        </w:p>
        <w:p w14:paraId="04D3FAB6" w14:textId="6533A99E"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4" w:history="1">
            <w:r w:rsidRPr="000779C2">
              <w:rPr>
                <w:rStyle w:val="Hyperlink"/>
                <w:noProof/>
                <w:color w:val="000000" w:themeColor="text1"/>
              </w:rPr>
              <w:t>1.2 Analysis of Financial Statements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_Toc235615304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5</w:t>
            </w:r>
            <w:r w:rsidRPr="000779C2">
              <w:rPr>
                <w:noProof/>
                <w:webHidden/>
                <w:color w:val="000000" w:themeColor="text1"/>
              </w:rPr>
              <w:fldChar w:fldCharType="end"/>
            </w:r>
          </w:hyperlink>
        </w:p>
        <w:p w14:paraId="5345C0BA" w14:textId="1870FB85"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5" w:history="1">
            <w:r w:rsidRPr="000779C2">
              <w:rPr>
                <w:rStyle w:val="Hyperlink"/>
                <w:noProof/>
                <w:color w:val="000000" w:themeColor="text1"/>
              </w:rPr>
              <w:t>1.3 Comprehensive Ratio Analysis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_Toc235615305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7</w:t>
            </w:r>
            <w:r w:rsidRPr="000779C2">
              <w:rPr>
                <w:noProof/>
                <w:webHidden/>
                <w:color w:val="000000" w:themeColor="text1"/>
              </w:rPr>
              <w:fldChar w:fldCharType="end"/>
            </w:r>
          </w:hyperlink>
        </w:p>
        <w:p w14:paraId="35FF8AA5" w14:textId="2C3215F4"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6" w:history="1">
            <w:r w:rsidRPr="000779C2">
              <w:rPr>
                <w:rStyle w:val="Hyperlink"/>
                <w:noProof/>
                <w:color w:val="000000" w:themeColor="text1"/>
              </w:rPr>
              <w:t>1.4 Trend Analysis: Strengths and Threats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_Toc235615306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14</w:t>
            </w:r>
            <w:r w:rsidRPr="000779C2">
              <w:rPr>
                <w:noProof/>
                <w:webHidden/>
                <w:color w:val="000000" w:themeColor="text1"/>
              </w:rPr>
              <w:fldChar w:fldCharType="end"/>
            </w:r>
          </w:hyperlink>
        </w:p>
        <w:p w14:paraId="2776A513" w14:textId="2A153A2F"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7" w:history="1">
            <w:r w:rsidRPr="000779C2">
              <w:rPr>
                <w:rStyle w:val="Hyperlink"/>
                <w:noProof/>
                <w:color w:val="000000" w:themeColor="text1"/>
              </w:rPr>
              <w:t>1.5 Liquidity Benchmarking Against Industry</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_Toc235615307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15</w:t>
            </w:r>
            <w:r w:rsidRPr="000779C2">
              <w:rPr>
                <w:noProof/>
                <w:webHidden/>
                <w:color w:val="000000" w:themeColor="text1"/>
              </w:rPr>
              <w:fldChar w:fldCharType="end"/>
            </w:r>
          </w:hyperlink>
        </w:p>
        <w:p w14:paraId="0DA7882C" w14:textId="5FF8151D"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8" w:history="1">
            <w:r w:rsidRPr="000779C2">
              <w:rPr>
                <w:rStyle w:val="Hyperlink"/>
                <w:noProof/>
                <w:color w:val="000000" w:themeColor="text1"/>
              </w:rPr>
              <w:t>2. Working Capital Management Analysis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_Toc235615308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15</w:t>
            </w:r>
            <w:r w:rsidRPr="000779C2">
              <w:rPr>
                <w:noProof/>
                <w:webHidden/>
                <w:color w:val="000000" w:themeColor="text1"/>
              </w:rPr>
              <w:fldChar w:fldCharType="end"/>
            </w:r>
          </w:hyperlink>
        </w:p>
        <w:p w14:paraId="6F1FB149" w14:textId="29D65E23"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09" w:history="1">
            <w:r w:rsidRPr="000779C2">
              <w:rPr>
                <w:rStyle w:val="Hyperlink"/>
                <w:noProof/>
                <w:color w:val="000000" w:themeColor="text1"/>
              </w:rPr>
              <w:t>2.1 Introduction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_Toc235615309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15</w:t>
            </w:r>
            <w:r w:rsidRPr="000779C2">
              <w:rPr>
                <w:noProof/>
                <w:webHidden/>
                <w:color w:val="000000" w:themeColor="text1"/>
              </w:rPr>
              <w:fldChar w:fldCharType="end"/>
            </w:r>
          </w:hyperlink>
        </w:p>
        <w:p w14:paraId="2DE12B4A" w14:textId="5A04186B"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0" w:history="1">
            <w:r w:rsidRPr="000779C2">
              <w:rPr>
                <w:rStyle w:val="Hyperlink"/>
                <w:noProof/>
                <w:color w:val="000000" w:themeColor="text1"/>
              </w:rPr>
              <w:t>2.2 Cash Operating Cycle Assessment</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_Toc235615310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15</w:t>
            </w:r>
            <w:r w:rsidRPr="000779C2">
              <w:rPr>
                <w:noProof/>
                <w:webHidden/>
                <w:color w:val="000000" w:themeColor="text1"/>
              </w:rPr>
              <w:fldChar w:fldCharType="end"/>
            </w:r>
          </w:hyperlink>
        </w:p>
        <w:p w14:paraId="324693C5" w14:textId="5BD2EAC0"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1" w:history="1">
            <w:r w:rsidRPr="000779C2">
              <w:rPr>
                <w:rStyle w:val="Hyperlink"/>
                <w:noProof/>
                <w:color w:val="000000" w:themeColor="text1"/>
              </w:rPr>
              <w:t>2.3 Improving Liquidity Through Working Capital Reforms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_Toc235615311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17</w:t>
            </w:r>
            <w:r w:rsidRPr="000779C2">
              <w:rPr>
                <w:noProof/>
                <w:webHidden/>
                <w:color w:val="000000" w:themeColor="text1"/>
              </w:rPr>
              <w:fldChar w:fldCharType="end"/>
            </w:r>
          </w:hyperlink>
        </w:p>
        <w:p w14:paraId="589FB6E5" w14:textId="0D68A1D2"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2" w:history="1">
            <w:r w:rsidRPr="000779C2">
              <w:rPr>
                <w:rStyle w:val="Hyperlink"/>
                <w:noProof/>
                <w:color w:val="000000" w:themeColor="text1"/>
              </w:rPr>
              <w:t>2.4 Comparison between Short-term and Long-term Financing</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_Toc235615312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17</w:t>
            </w:r>
            <w:r w:rsidRPr="000779C2">
              <w:rPr>
                <w:noProof/>
                <w:webHidden/>
                <w:color w:val="000000" w:themeColor="text1"/>
              </w:rPr>
              <w:fldChar w:fldCharType="end"/>
            </w:r>
          </w:hyperlink>
        </w:p>
        <w:p w14:paraId="0238503A" w14:textId="7110910A"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3" w:history="1">
            <w:r w:rsidRPr="000779C2">
              <w:rPr>
                <w:rStyle w:val="Hyperlink"/>
                <w:noProof/>
                <w:color w:val="000000" w:themeColor="text1"/>
              </w:rPr>
              <w:t>3. Strategic Financial Restructuring Plan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_Toc235615313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18</w:t>
            </w:r>
            <w:r w:rsidRPr="000779C2">
              <w:rPr>
                <w:noProof/>
                <w:webHidden/>
                <w:color w:val="000000" w:themeColor="text1"/>
              </w:rPr>
              <w:fldChar w:fldCharType="end"/>
            </w:r>
          </w:hyperlink>
        </w:p>
        <w:p w14:paraId="456A7D2A" w14:textId="45CA3CE2"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4" w:history="1">
            <w:r w:rsidRPr="000779C2">
              <w:rPr>
                <w:rStyle w:val="Hyperlink"/>
                <w:noProof/>
                <w:color w:val="000000" w:themeColor="text1"/>
              </w:rPr>
              <w:t>3.1 Introduction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_Toc235615314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18</w:t>
            </w:r>
            <w:r w:rsidRPr="000779C2">
              <w:rPr>
                <w:noProof/>
                <w:webHidden/>
                <w:color w:val="000000" w:themeColor="text1"/>
              </w:rPr>
              <w:fldChar w:fldCharType="end"/>
            </w:r>
          </w:hyperlink>
        </w:p>
        <w:p w14:paraId="215081AA" w14:textId="491D9E13"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5" w:history="1">
            <w:r w:rsidRPr="000779C2">
              <w:rPr>
                <w:rStyle w:val="Hyperlink"/>
                <w:noProof/>
                <w:color w:val="000000" w:themeColor="text1"/>
              </w:rPr>
              <w:t>3.2 Recommended Restructuring Options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_Toc235615315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18</w:t>
            </w:r>
            <w:r w:rsidRPr="000779C2">
              <w:rPr>
                <w:noProof/>
                <w:webHidden/>
                <w:color w:val="000000" w:themeColor="text1"/>
              </w:rPr>
              <w:fldChar w:fldCharType="end"/>
            </w:r>
          </w:hyperlink>
        </w:p>
        <w:p w14:paraId="288B133A" w14:textId="6D77B3F3"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6" w:history="1">
            <w:r w:rsidRPr="000779C2">
              <w:rPr>
                <w:rStyle w:val="Hyperlink"/>
                <w:noProof/>
                <w:color w:val="000000" w:themeColor="text1"/>
              </w:rPr>
              <w:t>3.3 Impact Assessment</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_Toc235615316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19</w:t>
            </w:r>
            <w:r w:rsidRPr="000779C2">
              <w:rPr>
                <w:noProof/>
                <w:webHidden/>
                <w:color w:val="000000" w:themeColor="text1"/>
              </w:rPr>
              <w:fldChar w:fldCharType="end"/>
            </w:r>
          </w:hyperlink>
        </w:p>
        <w:p w14:paraId="7A6D61F2" w14:textId="2F75DE81"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7" w:history="1">
            <w:r w:rsidRPr="000779C2">
              <w:rPr>
                <w:rStyle w:val="Hyperlink"/>
                <w:noProof/>
                <w:color w:val="000000" w:themeColor="text1"/>
              </w:rPr>
              <w:t>3.4 International and Ethical Considerations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_Toc235615317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20</w:t>
            </w:r>
            <w:r w:rsidRPr="000779C2">
              <w:rPr>
                <w:noProof/>
                <w:webHidden/>
                <w:color w:val="000000" w:themeColor="text1"/>
              </w:rPr>
              <w:fldChar w:fldCharType="end"/>
            </w:r>
          </w:hyperlink>
        </w:p>
        <w:p w14:paraId="515384DD" w14:textId="23609A21"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8" w:history="1">
            <w:r w:rsidRPr="000779C2">
              <w:rPr>
                <w:rStyle w:val="Hyperlink"/>
                <w:noProof/>
                <w:color w:val="000000" w:themeColor="text1"/>
                <w:lang w:val="en-IN"/>
              </w:rPr>
              <w:t>4. Investment Appraisal and Capital Budgeting</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_Toc235615318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20</w:t>
            </w:r>
            <w:r w:rsidRPr="000779C2">
              <w:rPr>
                <w:noProof/>
                <w:webHidden/>
                <w:color w:val="000000" w:themeColor="text1"/>
              </w:rPr>
              <w:fldChar w:fldCharType="end"/>
            </w:r>
          </w:hyperlink>
        </w:p>
        <w:p w14:paraId="0C1CE72F" w14:textId="11EEAF99"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19" w:history="1">
            <w:r w:rsidRPr="000779C2">
              <w:rPr>
                <w:rStyle w:val="Hyperlink"/>
                <w:noProof/>
                <w:color w:val="000000" w:themeColor="text1"/>
                <w:lang w:val="en-IN"/>
              </w:rPr>
              <w:t>4.1 Introduction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_Toc235615319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20</w:t>
            </w:r>
            <w:r w:rsidRPr="000779C2">
              <w:rPr>
                <w:noProof/>
                <w:webHidden/>
                <w:color w:val="000000" w:themeColor="text1"/>
              </w:rPr>
              <w:fldChar w:fldCharType="end"/>
            </w:r>
          </w:hyperlink>
        </w:p>
        <w:p w14:paraId="4BDDA1D5" w14:textId="1EA907CE"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0" w:history="1">
            <w:r w:rsidRPr="000779C2">
              <w:rPr>
                <w:rStyle w:val="Hyperlink"/>
                <w:noProof/>
                <w:color w:val="000000" w:themeColor="text1"/>
                <w:lang w:val="en-IN"/>
              </w:rPr>
              <w:t>4.2 Investment Appraisal Calculations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_Toc235615320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21</w:t>
            </w:r>
            <w:r w:rsidRPr="000779C2">
              <w:rPr>
                <w:noProof/>
                <w:webHidden/>
                <w:color w:val="000000" w:themeColor="text1"/>
              </w:rPr>
              <w:fldChar w:fldCharType="end"/>
            </w:r>
          </w:hyperlink>
        </w:p>
        <w:p w14:paraId="10964538" w14:textId="070A3CC8"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1" w:history="1">
            <w:r w:rsidRPr="000779C2">
              <w:rPr>
                <w:rStyle w:val="Hyperlink"/>
                <w:noProof/>
                <w:color w:val="000000" w:themeColor="text1"/>
                <w:lang w:val="en-IN"/>
              </w:rPr>
              <w:t>4.3 Comparative Evaluation of Projects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_Toc235615321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22</w:t>
            </w:r>
            <w:r w:rsidRPr="000779C2">
              <w:rPr>
                <w:noProof/>
                <w:webHidden/>
                <w:color w:val="000000" w:themeColor="text1"/>
              </w:rPr>
              <w:fldChar w:fldCharType="end"/>
            </w:r>
          </w:hyperlink>
        </w:p>
        <w:p w14:paraId="6FEA2AD7" w14:textId="29751642"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2" w:history="1">
            <w:r w:rsidRPr="000779C2">
              <w:rPr>
                <w:rStyle w:val="Hyperlink"/>
                <w:noProof/>
                <w:color w:val="000000" w:themeColor="text1"/>
                <w:lang w:val="en-IN"/>
              </w:rPr>
              <w:t>4.4 Project Recommendation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_Toc235615322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23</w:t>
            </w:r>
            <w:r w:rsidRPr="000779C2">
              <w:rPr>
                <w:noProof/>
                <w:webHidden/>
                <w:color w:val="000000" w:themeColor="text1"/>
              </w:rPr>
              <w:fldChar w:fldCharType="end"/>
            </w:r>
          </w:hyperlink>
        </w:p>
        <w:p w14:paraId="057A6E79" w14:textId="3622A6B8"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3" w:history="1">
            <w:r w:rsidRPr="000779C2">
              <w:rPr>
                <w:rStyle w:val="Hyperlink"/>
                <w:noProof/>
                <w:color w:val="000000" w:themeColor="text1"/>
                <w:lang w:val="en-IN"/>
              </w:rPr>
              <w:t>4.5 Capital Rationing Analysis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_Toc235615323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23</w:t>
            </w:r>
            <w:r w:rsidRPr="000779C2">
              <w:rPr>
                <w:noProof/>
                <w:webHidden/>
                <w:color w:val="000000" w:themeColor="text1"/>
              </w:rPr>
              <w:fldChar w:fldCharType="end"/>
            </w:r>
          </w:hyperlink>
        </w:p>
        <w:p w14:paraId="44ECCEE1" w14:textId="647BECF7"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4" w:history="1">
            <w:r w:rsidRPr="000779C2">
              <w:rPr>
                <w:rStyle w:val="Hyperlink"/>
                <w:noProof/>
                <w:color w:val="000000" w:themeColor="text1"/>
                <w:lang w:val="en-IN"/>
              </w:rPr>
              <w:t>5. Critical Reflection on AI Usage</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_Toc235615324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24</w:t>
            </w:r>
            <w:r w:rsidRPr="000779C2">
              <w:rPr>
                <w:noProof/>
                <w:webHidden/>
                <w:color w:val="000000" w:themeColor="text1"/>
              </w:rPr>
              <w:fldChar w:fldCharType="end"/>
            </w:r>
          </w:hyperlink>
        </w:p>
        <w:p w14:paraId="4BC96D0C" w14:textId="5D30FE32"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5" w:history="1">
            <w:r w:rsidRPr="000779C2">
              <w:rPr>
                <w:rStyle w:val="Hyperlink"/>
                <w:noProof/>
                <w:color w:val="000000" w:themeColor="text1"/>
                <w:lang w:val="en-IN"/>
              </w:rPr>
              <w:t>5.1 Tool Disclosure</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_Toc235615325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24</w:t>
            </w:r>
            <w:r w:rsidRPr="000779C2">
              <w:rPr>
                <w:noProof/>
                <w:webHidden/>
                <w:color w:val="000000" w:themeColor="text1"/>
              </w:rPr>
              <w:fldChar w:fldCharType="end"/>
            </w:r>
          </w:hyperlink>
        </w:p>
        <w:p w14:paraId="09694100" w14:textId="5266E801"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6" w:history="1">
            <w:r w:rsidRPr="000779C2">
              <w:rPr>
                <w:rStyle w:val="Hyperlink"/>
                <w:noProof/>
                <w:color w:val="000000" w:themeColor="text1"/>
                <w:lang w:val="en-IN"/>
              </w:rPr>
              <w:t>5.2 Verification of AI Outputs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_Toc235615326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24</w:t>
            </w:r>
            <w:r w:rsidRPr="000779C2">
              <w:rPr>
                <w:noProof/>
                <w:webHidden/>
                <w:color w:val="000000" w:themeColor="text1"/>
              </w:rPr>
              <w:fldChar w:fldCharType="end"/>
            </w:r>
          </w:hyperlink>
        </w:p>
        <w:p w14:paraId="25EF5619" w14:textId="20A28769"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7" w:history="1">
            <w:r w:rsidRPr="000779C2">
              <w:rPr>
                <w:rStyle w:val="Hyperlink"/>
                <w:noProof/>
                <w:color w:val="000000" w:themeColor="text1"/>
                <w:lang w:val="en-IN"/>
              </w:rPr>
              <w:t>5.3 Contribution Analysis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_Toc235615327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25</w:t>
            </w:r>
            <w:r w:rsidRPr="000779C2">
              <w:rPr>
                <w:noProof/>
                <w:webHidden/>
                <w:color w:val="000000" w:themeColor="text1"/>
              </w:rPr>
              <w:fldChar w:fldCharType="end"/>
            </w:r>
          </w:hyperlink>
        </w:p>
        <w:p w14:paraId="69C6C04A" w14:textId="053F6029"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8" w:history="1">
            <w:r w:rsidRPr="000779C2">
              <w:rPr>
                <w:rStyle w:val="Hyperlink"/>
                <w:noProof/>
                <w:color w:val="000000" w:themeColor="text1"/>
                <w:lang w:val="en-IN"/>
              </w:rPr>
              <w:t>5.4 Ethical and Professional Reflection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_Toc235615328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25</w:t>
            </w:r>
            <w:r w:rsidRPr="000779C2">
              <w:rPr>
                <w:noProof/>
                <w:webHidden/>
                <w:color w:val="000000" w:themeColor="text1"/>
              </w:rPr>
              <w:fldChar w:fldCharType="end"/>
            </w:r>
          </w:hyperlink>
        </w:p>
        <w:p w14:paraId="08CBD477" w14:textId="43A63D34"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29" w:history="1">
            <w:r w:rsidRPr="000779C2">
              <w:rPr>
                <w:rStyle w:val="Hyperlink"/>
                <w:noProof/>
                <w:color w:val="000000" w:themeColor="text1"/>
                <w:lang w:val="en-IN"/>
              </w:rPr>
              <w:t>Conclusion</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_Toc235615329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26</w:t>
            </w:r>
            <w:r w:rsidRPr="000779C2">
              <w:rPr>
                <w:noProof/>
                <w:webHidden/>
                <w:color w:val="000000" w:themeColor="text1"/>
              </w:rPr>
              <w:fldChar w:fldCharType="end"/>
            </w:r>
          </w:hyperlink>
        </w:p>
        <w:p w14:paraId="0EA29D32" w14:textId="5E30495D"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30" w:history="1">
            <w:r w:rsidRPr="000779C2">
              <w:rPr>
                <w:rStyle w:val="Hyperlink"/>
                <w:noProof/>
                <w:color w:val="000000" w:themeColor="text1"/>
              </w:rPr>
              <w:t>Reference List</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_Toc235615330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27</w:t>
            </w:r>
            <w:r w:rsidRPr="000779C2">
              <w:rPr>
                <w:noProof/>
                <w:webHidden/>
                <w:color w:val="000000" w:themeColor="text1"/>
              </w:rPr>
              <w:fldChar w:fldCharType="end"/>
            </w:r>
          </w:hyperlink>
        </w:p>
        <w:p w14:paraId="0F7530FA" w14:textId="7E5BE39B" w:rsidR="00861D08" w:rsidRPr="000779C2" w:rsidRDefault="00861D08">
          <w:pPr>
            <w:pStyle w:val="TOC1"/>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31" w:history="1">
            <w:r w:rsidRPr="000779C2">
              <w:rPr>
                <w:rStyle w:val="Hyperlink"/>
                <w:noProof/>
                <w:color w:val="000000" w:themeColor="text1"/>
              </w:rPr>
              <w:t>Appendices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_Toc235615331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31</w:t>
            </w:r>
            <w:r w:rsidRPr="000779C2">
              <w:rPr>
                <w:noProof/>
                <w:webHidden/>
                <w:color w:val="000000" w:themeColor="text1"/>
              </w:rPr>
              <w:fldChar w:fldCharType="end"/>
            </w:r>
          </w:hyperlink>
        </w:p>
        <w:p w14:paraId="1DE4A7EF" w14:textId="3EB661F6"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32" w:history="1">
            <w:r w:rsidRPr="000779C2">
              <w:rPr>
                <w:rStyle w:val="Hyperlink"/>
                <w:noProof/>
                <w:color w:val="000000" w:themeColor="text1"/>
              </w:rPr>
              <w:t>Appendix 1: Calculation of Financial Ratios for InterContinental Hotels Group for the Financial Period 2021-2025</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_Toc235615332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31</w:t>
            </w:r>
            <w:r w:rsidRPr="000779C2">
              <w:rPr>
                <w:noProof/>
                <w:webHidden/>
                <w:color w:val="000000" w:themeColor="text1"/>
              </w:rPr>
              <w:fldChar w:fldCharType="end"/>
            </w:r>
          </w:hyperlink>
        </w:p>
        <w:p w14:paraId="680B4FBE" w14:textId="1FB00055"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33" w:history="1">
            <w:r w:rsidRPr="000779C2">
              <w:rPr>
                <w:rStyle w:val="Hyperlink"/>
                <w:noProof/>
                <w:color w:val="000000" w:themeColor="text1"/>
                <w:lang w:val="en-IN"/>
              </w:rPr>
              <w:t>Appendix 2: Calculation of Working Capital Management Ratios for InterContinental Hotels Group for the Financial Period 2021-2025</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_Toc235615333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33</w:t>
            </w:r>
            <w:r w:rsidRPr="000779C2">
              <w:rPr>
                <w:noProof/>
                <w:webHidden/>
                <w:color w:val="000000" w:themeColor="text1"/>
              </w:rPr>
              <w:fldChar w:fldCharType="end"/>
            </w:r>
          </w:hyperlink>
        </w:p>
        <w:p w14:paraId="14FF16A6" w14:textId="0E1942DA" w:rsidR="00861D08" w:rsidRPr="000779C2" w:rsidRDefault="00861D08">
          <w:pPr>
            <w:pStyle w:val="TOC2"/>
            <w:tabs>
              <w:tab w:val="right" w:leader="dot" w:pos="9019"/>
            </w:tabs>
            <w:rPr>
              <w:rFonts w:asciiTheme="minorHAnsi" w:eastAsiaTheme="minorEastAsia" w:hAnsiTheme="minorHAnsi" w:cstheme="minorBidi"/>
              <w:noProof/>
              <w:color w:val="000000" w:themeColor="text1"/>
              <w:kern w:val="2"/>
              <w:szCs w:val="24"/>
              <w:lang w:val="en-IN"/>
              <w14:ligatures w14:val="standardContextual"/>
            </w:rPr>
          </w:pPr>
          <w:hyperlink w:anchor="_Toc235615334" w:history="1">
            <w:r w:rsidRPr="000779C2">
              <w:rPr>
                <w:rStyle w:val="Hyperlink"/>
                <w:noProof/>
                <w:color w:val="000000" w:themeColor="text1"/>
                <w:lang w:val="en-IN"/>
              </w:rPr>
              <w:t>Appendix 3: Investment Appraisal Calculations</w:t>
            </w:r>
            <w:r w:rsidRPr="000779C2">
              <w:rPr>
                <w:noProof/>
                <w:webHidden/>
                <w:color w:val="000000" w:themeColor="text1"/>
              </w:rPr>
              <w:tab/>
            </w:r>
            <w:r w:rsidRPr="000779C2">
              <w:rPr>
                <w:noProof/>
                <w:webHidden/>
                <w:color w:val="000000" w:themeColor="text1"/>
              </w:rPr>
              <w:fldChar w:fldCharType="begin"/>
            </w:r>
            <w:r w:rsidRPr="000779C2">
              <w:rPr>
                <w:noProof/>
                <w:webHidden/>
                <w:color w:val="000000" w:themeColor="text1"/>
              </w:rPr>
              <w:instrText xml:space="preserve"> PAGEREF _Toc235615334 \h </w:instrText>
            </w:r>
            <w:r w:rsidRPr="000779C2">
              <w:rPr>
                <w:noProof/>
                <w:webHidden/>
                <w:color w:val="000000" w:themeColor="text1"/>
              </w:rPr>
            </w:r>
            <w:r w:rsidRPr="000779C2">
              <w:rPr>
                <w:noProof/>
                <w:webHidden/>
                <w:color w:val="000000" w:themeColor="text1"/>
              </w:rPr>
              <w:fldChar w:fldCharType="separate"/>
            </w:r>
            <w:r w:rsidRPr="000779C2">
              <w:rPr>
                <w:noProof/>
                <w:webHidden/>
                <w:color w:val="000000" w:themeColor="text1"/>
              </w:rPr>
              <w:t>33</w:t>
            </w:r>
            <w:r w:rsidRPr="000779C2">
              <w:rPr>
                <w:noProof/>
                <w:webHidden/>
                <w:color w:val="000000" w:themeColor="text1"/>
              </w:rPr>
              <w:fldChar w:fldCharType="end"/>
            </w:r>
          </w:hyperlink>
        </w:p>
        <w:p w14:paraId="68B4F9CC" w14:textId="1914A3FE" w:rsidR="008B57D8" w:rsidRPr="000779C2" w:rsidRDefault="008B57D8" w:rsidP="0055632B">
          <w:pPr>
            <w:spacing w:before="0" w:after="0"/>
            <w:rPr>
              <w:color w:val="000000" w:themeColor="text1"/>
            </w:rPr>
          </w:pPr>
          <w:r w:rsidRPr="000779C2">
            <w:rPr>
              <w:b/>
              <w:bCs/>
              <w:noProof/>
              <w:color w:val="000000" w:themeColor="text1"/>
            </w:rPr>
            <w:fldChar w:fldCharType="end"/>
          </w:r>
        </w:p>
      </w:sdtContent>
    </w:sdt>
    <w:p w14:paraId="387184AC" w14:textId="77777777" w:rsidR="008B57D8" w:rsidRPr="000779C2" w:rsidRDefault="008B57D8" w:rsidP="0055632B">
      <w:pPr>
        <w:spacing w:before="0" w:after="0"/>
        <w:rPr>
          <w:color w:val="000000" w:themeColor="text1"/>
        </w:rPr>
      </w:pPr>
    </w:p>
    <w:p w14:paraId="38EFA7DF" w14:textId="77777777" w:rsidR="008B57D8" w:rsidRPr="000779C2" w:rsidRDefault="008B57D8" w:rsidP="0055632B">
      <w:pPr>
        <w:spacing w:before="0" w:after="0" w:line="276" w:lineRule="auto"/>
        <w:jc w:val="left"/>
        <w:rPr>
          <w:b/>
          <w:color w:val="000000" w:themeColor="text1"/>
          <w:sz w:val="28"/>
          <w:szCs w:val="40"/>
        </w:rPr>
      </w:pPr>
      <w:r w:rsidRPr="000779C2">
        <w:rPr>
          <w:color w:val="000000" w:themeColor="text1"/>
        </w:rPr>
        <w:br w:type="page"/>
      </w:r>
    </w:p>
    <w:p w14:paraId="1674472F" w14:textId="78498E93" w:rsidR="00F5184F" w:rsidRPr="000779C2" w:rsidRDefault="00000000" w:rsidP="005471DC">
      <w:pPr>
        <w:pStyle w:val="Heading1"/>
        <w:spacing w:before="0" w:after="0"/>
        <w:ind w:left="360"/>
        <w:rPr>
          <w:b w:val="0"/>
          <w:color w:val="000000" w:themeColor="text1"/>
        </w:rPr>
      </w:pPr>
      <w:bookmarkStart w:id="0" w:name="_Toc235615301"/>
      <w:r w:rsidRPr="000779C2">
        <w:rPr>
          <w:color w:val="000000" w:themeColor="text1"/>
        </w:rPr>
        <w:lastRenderedPageBreak/>
        <w:t>Introduction</w:t>
      </w:r>
      <w:bookmarkEnd w:id="0"/>
    </w:p>
    <w:p w14:paraId="0000000B" w14:textId="2BDE9E86" w:rsidR="009D019D" w:rsidRPr="000779C2" w:rsidRDefault="00000000" w:rsidP="00CC6D1B">
      <w:pPr>
        <w:pStyle w:val="ListParagraph"/>
        <w:numPr>
          <w:ilvl w:val="0"/>
          <w:numId w:val="3"/>
        </w:numPr>
        <w:spacing w:before="0" w:after="0"/>
        <w:rPr>
          <w:b/>
          <w:bCs/>
          <w:color w:val="000000" w:themeColor="text1"/>
          <w:szCs w:val="24"/>
        </w:rPr>
      </w:pPr>
      <w:r w:rsidRPr="000779C2">
        <w:rPr>
          <w:b/>
          <w:bCs/>
          <w:color w:val="000000" w:themeColor="text1"/>
          <w:szCs w:val="24"/>
        </w:rPr>
        <w:t>Background</w:t>
      </w:r>
    </w:p>
    <w:p w14:paraId="5192D3BA" w14:textId="08D1632F" w:rsidR="00CC6D1B" w:rsidRPr="000779C2" w:rsidRDefault="00000000" w:rsidP="0055632B">
      <w:pPr>
        <w:spacing w:before="0" w:after="0"/>
        <w:rPr>
          <w:color w:val="000000" w:themeColor="text1"/>
          <w:szCs w:val="24"/>
        </w:rPr>
      </w:pPr>
      <w:r w:rsidRPr="000779C2">
        <w:rPr>
          <w:color w:val="000000" w:themeColor="text1"/>
          <w:szCs w:val="24"/>
        </w:rPr>
        <w:t>The worldwide hospitality industry is a key player in economic success, job generation, and international tourism expansion. The industry has faced severe challenges due to the COVID-19 pandemic, but effectively showcased recovery for resurgence of travel intentions for both leisure and business purposes. Hence, hotel and restaurant operators face a tough business environment with inflation, rising interest rates, workforce shortages, changes in consumers' demand, and the need for better ESG (environmental, social, and governance) performance. All these have strengthened the need for strong financial management to sustain profitability, make efficient use of resources, and create long-term value for shareholders. For this reason, it becomes essential for hospitality businesses to keep track of their financial health continuously and make correct strategic financial decisions to stay resilient in an increasingly competitive world market.</w:t>
      </w:r>
    </w:p>
    <w:p w14:paraId="0000000D" w14:textId="77777777" w:rsidR="009D019D" w:rsidRPr="000779C2" w:rsidRDefault="00000000" w:rsidP="00CC6D1B">
      <w:pPr>
        <w:pStyle w:val="ListParagraph"/>
        <w:numPr>
          <w:ilvl w:val="0"/>
          <w:numId w:val="3"/>
        </w:numPr>
        <w:spacing w:before="0" w:after="0"/>
        <w:rPr>
          <w:b/>
          <w:bCs/>
          <w:color w:val="000000" w:themeColor="text1"/>
          <w:szCs w:val="24"/>
        </w:rPr>
      </w:pPr>
      <w:r w:rsidRPr="000779C2">
        <w:rPr>
          <w:b/>
          <w:bCs/>
          <w:color w:val="000000" w:themeColor="text1"/>
          <w:szCs w:val="24"/>
        </w:rPr>
        <w:t>Company Overview</w:t>
      </w:r>
    </w:p>
    <w:p w14:paraId="0000000E" w14:textId="4F13228A" w:rsidR="009D019D" w:rsidRPr="000779C2" w:rsidRDefault="00000000" w:rsidP="0055632B">
      <w:pPr>
        <w:spacing w:before="0" w:after="0"/>
        <w:rPr>
          <w:color w:val="000000" w:themeColor="text1"/>
          <w:szCs w:val="24"/>
        </w:rPr>
      </w:pPr>
      <w:r w:rsidRPr="000779C2">
        <w:rPr>
          <w:color w:val="000000" w:themeColor="text1"/>
          <w:szCs w:val="24"/>
        </w:rPr>
        <w:t xml:space="preserve">InterContinental Hotels Group (IHG Hotels &amp; Resorts) ranks among the biggest multinational hospitality firms that operate, franchise, and manage a vast network of over 6,000 hotels across over 100 countries under well-known brands including InterContinental, Holiday Inn, Crowne Plaza, Hotel Indigo, </w:t>
      </w:r>
      <w:proofErr w:type="spellStart"/>
      <w:r w:rsidRPr="000779C2">
        <w:rPr>
          <w:color w:val="000000" w:themeColor="text1"/>
          <w:szCs w:val="24"/>
        </w:rPr>
        <w:t>voco</w:t>
      </w:r>
      <w:proofErr w:type="spellEnd"/>
      <w:r w:rsidRPr="000779C2">
        <w:rPr>
          <w:color w:val="000000" w:themeColor="text1"/>
          <w:szCs w:val="24"/>
        </w:rPr>
        <w:t>, Six Senses, and Kimpton. IHG mainly implements an asset-light business model, generating revenue from franchise and management fees without the need of owning hotels directly. In the last five years, IHG has displayed a strong capability of recovery after the pandemic by relying on the robust global travel demand, expansion of brands in the targeted markets, and strict control of financials.</w:t>
      </w:r>
    </w:p>
    <w:p w14:paraId="0000000F" w14:textId="77777777" w:rsidR="009D019D" w:rsidRPr="000779C2" w:rsidRDefault="00000000" w:rsidP="00CC6D1B">
      <w:pPr>
        <w:pStyle w:val="ListParagraph"/>
        <w:numPr>
          <w:ilvl w:val="0"/>
          <w:numId w:val="3"/>
        </w:numPr>
        <w:spacing w:before="0" w:after="0"/>
        <w:rPr>
          <w:b/>
          <w:bCs/>
          <w:color w:val="000000" w:themeColor="text1"/>
          <w:szCs w:val="24"/>
        </w:rPr>
      </w:pPr>
      <w:r w:rsidRPr="000779C2">
        <w:rPr>
          <w:b/>
          <w:bCs/>
          <w:color w:val="000000" w:themeColor="text1"/>
          <w:szCs w:val="24"/>
        </w:rPr>
        <w:t>Purpose and Scope of the Report</w:t>
      </w:r>
    </w:p>
    <w:p w14:paraId="00000010" w14:textId="77777777" w:rsidR="009D019D" w:rsidRPr="000779C2" w:rsidRDefault="00000000" w:rsidP="0055632B">
      <w:pPr>
        <w:spacing w:before="0" w:after="0"/>
        <w:rPr>
          <w:color w:val="000000" w:themeColor="text1"/>
          <w:szCs w:val="24"/>
        </w:rPr>
      </w:pPr>
      <w:r w:rsidRPr="000779C2">
        <w:rPr>
          <w:color w:val="000000" w:themeColor="text1"/>
          <w:szCs w:val="24"/>
        </w:rPr>
        <w:t>The report aims to critically evaluate the financial performance of IHG based on the information gathered from published annual reports and other reliable sources during the five years 2021-2025. It performs a financial health check of the company through ratio analysis and industry benchmarking, analyses its working capital management practices, suggests a suitable financial restructuring strategy, and evaluates three investment projects using different capital budgeting techniques. Lastly, the report mainly focuses on the responsible use of artificial intelligence to prepare the analysis and reflect its major advantages and ethical issues in financial decision-making.</w:t>
      </w:r>
    </w:p>
    <w:p w14:paraId="00000012" w14:textId="196B97B6" w:rsidR="009D019D" w:rsidRPr="000779C2" w:rsidRDefault="00000000" w:rsidP="0055632B">
      <w:pPr>
        <w:pStyle w:val="Heading1"/>
        <w:spacing w:before="0" w:after="0"/>
        <w:rPr>
          <w:color w:val="000000" w:themeColor="text1"/>
        </w:rPr>
      </w:pPr>
      <w:bookmarkStart w:id="1" w:name="_Toc235615302"/>
      <w:r w:rsidRPr="000779C2">
        <w:rPr>
          <w:color w:val="000000" w:themeColor="text1"/>
        </w:rPr>
        <w:lastRenderedPageBreak/>
        <w:t>1. Financial Health Check</w:t>
      </w:r>
      <w:bookmarkEnd w:id="1"/>
    </w:p>
    <w:p w14:paraId="00000013" w14:textId="77777777" w:rsidR="009D019D" w:rsidRPr="000779C2" w:rsidRDefault="00000000" w:rsidP="0055632B">
      <w:pPr>
        <w:pStyle w:val="Heading2"/>
        <w:spacing w:before="0" w:after="0"/>
        <w:rPr>
          <w:b w:val="0"/>
          <w:color w:val="000000" w:themeColor="text1"/>
        </w:rPr>
      </w:pPr>
      <w:bookmarkStart w:id="2" w:name="_Toc235615303"/>
      <w:r w:rsidRPr="000779C2">
        <w:rPr>
          <w:color w:val="000000" w:themeColor="text1"/>
        </w:rPr>
        <w:t>1.1 Introduction to Financial Performance Analysis</w:t>
      </w:r>
      <w:bookmarkEnd w:id="2"/>
    </w:p>
    <w:p w14:paraId="00000014" w14:textId="77777777" w:rsidR="009D019D" w:rsidRPr="000779C2" w:rsidRDefault="00000000" w:rsidP="0055632B">
      <w:pPr>
        <w:spacing w:before="0" w:after="0"/>
        <w:rPr>
          <w:color w:val="000000" w:themeColor="text1"/>
          <w:szCs w:val="24"/>
        </w:rPr>
      </w:pPr>
      <w:r w:rsidRPr="000779C2">
        <w:rPr>
          <w:color w:val="000000" w:themeColor="text1"/>
          <w:szCs w:val="24"/>
        </w:rPr>
        <w:t>The analysis of financial statements is one of the most essential tools for understanding an organisation's financial status, performance, operational efficiency, and sustainability. It provides value to stakeholders for understanding business performance in generating revenue, managing assets and liabilities, controlling operating costs, and creating market value (Olayinka, 2022). An income statement reflects the financial performance during a particular period, whereas a balance sheet and cash flow statement underpins financial position or liquidity. By considering these financial statements across several years, stakeholders can determine changes and trends along with potential strengths and weaknesses, reflecting sound strategic decisions (Jackson, 2022). In this section, the financial achievements of IHG are analysed over the five years from 2021 to 2025, derived from its annual reports published over the period.</w:t>
      </w:r>
    </w:p>
    <w:p w14:paraId="00000015" w14:textId="77777777" w:rsidR="009D019D" w:rsidRPr="000779C2" w:rsidRDefault="00000000" w:rsidP="0055632B">
      <w:pPr>
        <w:pStyle w:val="Heading2"/>
        <w:spacing w:before="0" w:after="0"/>
        <w:rPr>
          <w:color w:val="000000" w:themeColor="text1"/>
        </w:rPr>
      </w:pPr>
      <w:bookmarkStart w:id="3" w:name="_Toc235615304"/>
      <w:r w:rsidRPr="000779C2">
        <w:rPr>
          <w:color w:val="000000" w:themeColor="text1"/>
        </w:rPr>
        <w:t>1.2 Analysis of Financial Statements</w:t>
      </w:r>
      <w:bookmarkEnd w:id="3"/>
    </w:p>
    <w:p w14:paraId="00000016" w14:textId="0078B495" w:rsidR="009D019D" w:rsidRPr="000779C2" w:rsidRDefault="00B139B0" w:rsidP="0055632B">
      <w:pPr>
        <w:spacing w:before="0" w:after="0"/>
        <w:rPr>
          <w:b/>
          <w:bCs/>
          <w:color w:val="000000" w:themeColor="text1"/>
          <w:szCs w:val="24"/>
        </w:rPr>
      </w:pPr>
      <w:r w:rsidRPr="000779C2">
        <w:rPr>
          <w:b/>
          <w:bCs/>
          <w:color w:val="000000" w:themeColor="text1"/>
          <w:szCs w:val="24"/>
        </w:rPr>
        <w:t>A. Income Statement</w:t>
      </w:r>
    </w:p>
    <w:p w14:paraId="51A928B7" w14:textId="77777777" w:rsidR="00961D88" w:rsidRPr="000779C2" w:rsidRDefault="00961D88" w:rsidP="00961D88">
      <w:pPr>
        <w:spacing w:before="0" w:after="0"/>
        <w:rPr>
          <w:b/>
          <w:bCs/>
          <w:color w:val="000000" w:themeColor="text1"/>
          <w:szCs w:val="24"/>
        </w:rPr>
      </w:pPr>
      <w:r w:rsidRPr="000779C2">
        <w:rPr>
          <w:b/>
          <w:bCs/>
          <w:color w:val="000000" w:themeColor="text1"/>
          <w:szCs w:val="24"/>
        </w:rPr>
        <w:t>Revenue</w:t>
      </w:r>
    </w:p>
    <w:p w14:paraId="19860636" w14:textId="155875F4" w:rsidR="005A512A" w:rsidRPr="000779C2" w:rsidRDefault="005A512A" w:rsidP="00961D88">
      <w:pPr>
        <w:spacing w:before="0" w:after="0"/>
        <w:rPr>
          <w:color w:val="000000" w:themeColor="text1"/>
          <w:szCs w:val="24"/>
        </w:rPr>
      </w:pPr>
      <w:r w:rsidRPr="000779C2">
        <w:rPr>
          <w:color w:val="000000" w:themeColor="text1"/>
          <w:szCs w:val="24"/>
        </w:rPr>
        <w:t>The results of the income statement of IHG reflect its strong financial recovery and continued revenue growth. The total revenue had grown from US$2,907 billion (2021) to US$3,892 billion (2022), reaching to US$5,189 billion (2025). This upward trend was mostly due to recovery of international travel and tourism industry from the pandemic, higher average rate per room (ADR), hotel occupancy rates and consistent expansion of hotel franchise and management. For IHG, utilisation of asset-light model generates franchise fees and higher revenue, showcasing substantial capital investment.</w:t>
      </w:r>
    </w:p>
    <w:p w14:paraId="618BE073" w14:textId="77777777" w:rsidR="00961D88" w:rsidRPr="000779C2" w:rsidRDefault="00961D88" w:rsidP="00961D88">
      <w:pPr>
        <w:spacing w:before="0" w:after="0"/>
        <w:rPr>
          <w:b/>
          <w:bCs/>
          <w:color w:val="000000" w:themeColor="text1"/>
          <w:szCs w:val="24"/>
        </w:rPr>
      </w:pPr>
      <w:r w:rsidRPr="000779C2">
        <w:rPr>
          <w:b/>
          <w:bCs/>
          <w:color w:val="000000" w:themeColor="text1"/>
          <w:szCs w:val="24"/>
        </w:rPr>
        <w:t>Gross Profit</w:t>
      </w:r>
    </w:p>
    <w:p w14:paraId="0263E675" w14:textId="7318E02F" w:rsidR="008122B8" w:rsidRPr="000779C2" w:rsidRDefault="008122B8" w:rsidP="00961D88">
      <w:pPr>
        <w:spacing w:before="0" w:after="0"/>
        <w:rPr>
          <w:color w:val="000000" w:themeColor="text1"/>
          <w:szCs w:val="24"/>
        </w:rPr>
      </w:pPr>
      <w:r w:rsidRPr="000779C2">
        <w:rPr>
          <w:color w:val="000000" w:themeColor="text1"/>
          <w:szCs w:val="24"/>
        </w:rPr>
        <w:t>The gross profit also showed a steady growth throughout the time. It reflects that the company has managed costs successfully and derived more income from high-profit-margin fee-based activities. Since franchised and managed hotels require lower operating expenditure than owned hotels, the continued expansion of this business model has enhanced overall profitability.</w:t>
      </w:r>
    </w:p>
    <w:p w14:paraId="4E2E922A" w14:textId="77777777" w:rsidR="00961D88" w:rsidRPr="000779C2" w:rsidRDefault="00961D88" w:rsidP="00961D88">
      <w:pPr>
        <w:spacing w:before="0" w:after="0"/>
        <w:rPr>
          <w:b/>
          <w:bCs/>
          <w:color w:val="000000" w:themeColor="text1"/>
          <w:szCs w:val="24"/>
        </w:rPr>
      </w:pPr>
      <w:r w:rsidRPr="000779C2">
        <w:rPr>
          <w:b/>
          <w:bCs/>
          <w:color w:val="000000" w:themeColor="text1"/>
          <w:szCs w:val="24"/>
        </w:rPr>
        <w:t>Operating profit</w:t>
      </w:r>
    </w:p>
    <w:p w14:paraId="540DAD66" w14:textId="64330F82" w:rsidR="0025228D" w:rsidRPr="000779C2" w:rsidRDefault="00375F6E" w:rsidP="00961D88">
      <w:pPr>
        <w:spacing w:before="0" w:after="0"/>
        <w:rPr>
          <w:color w:val="000000" w:themeColor="text1"/>
          <w:szCs w:val="24"/>
        </w:rPr>
      </w:pPr>
      <w:r w:rsidRPr="000779C2">
        <w:rPr>
          <w:color w:val="000000" w:themeColor="text1"/>
          <w:szCs w:val="24"/>
        </w:rPr>
        <w:lastRenderedPageBreak/>
        <w:t>Operating profit has also significantly increased from US$494 million (2021) to US$1,198 million (2025). Higher revenues, tighter administrative cost control and lower exceptional charges compared with the pandemic recovery years supported the improvement. While administrative expenses remained unchanged during the entire period, higher revenue made these costs a smaller proportion of total revenue, resulting in better operating efficiency. In addition, a reduced level of impairment losses and higher contributions from associates and joint ventures positively contributed also towards operating performance.</w:t>
      </w:r>
    </w:p>
    <w:p w14:paraId="6BAA2ECB" w14:textId="77777777" w:rsidR="00961D88" w:rsidRPr="000779C2" w:rsidRDefault="00961D88" w:rsidP="00961D88">
      <w:pPr>
        <w:spacing w:before="0" w:after="0"/>
        <w:rPr>
          <w:b/>
          <w:bCs/>
          <w:color w:val="000000" w:themeColor="text1"/>
          <w:szCs w:val="24"/>
        </w:rPr>
      </w:pPr>
      <w:r w:rsidRPr="000779C2">
        <w:rPr>
          <w:b/>
          <w:bCs/>
          <w:color w:val="000000" w:themeColor="text1"/>
          <w:szCs w:val="24"/>
        </w:rPr>
        <w:t>Profit for the year</w:t>
      </w:r>
    </w:p>
    <w:p w14:paraId="649ED86A" w14:textId="294D34B2" w:rsidR="0025228D" w:rsidRPr="000779C2" w:rsidRDefault="0025228D" w:rsidP="00961D88">
      <w:pPr>
        <w:spacing w:before="0" w:after="0"/>
        <w:rPr>
          <w:color w:val="000000" w:themeColor="text1"/>
          <w:szCs w:val="24"/>
        </w:rPr>
      </w:pPr>
      <w:r w:rsidRPr="000779C2">
        <w:rPr>
          <w:color w:val="000000" w:themeColor="text1"/>
          <w:szCs w:val="24"/>
        </w:rPr>
        <w:t xml:space="preserve">Profit for the period increased from US$265 million (2021) to US$759 million (2025), which mainly reflects enhanced performance in the operations and prudent financial management. Finance expenses although remained a larger proportion caused by borrowing and lease </w:t>
      </w:r>
      <w:proofErr w:type="gramStart"/>
      <w:r w:rsidRPr="000779C2">
        <w:rPr>
          <w:color w:val="000000" w:themeColor="text1"/>
          <w:szCs w:val="24"/>
        </w:rPr>
        <w:t>obligations</w:t>
      </w:r>
      <w:proofErr w:type="gramEnd"/>
      <w:r w:rsidRPr="000779C2">
        <w:rPr>
          <w:color w:val="000000" w:themeColor="text1"/>
          <w:szCs w:val="24"/>
        </w:rPr>
        <w:t xml:space="preserve"> but operating income covered these expenditures. Therefore, the earnings per share soared from 145.4 to 490.9 cents showing increased value creation for the shareholders.</w:t>
      </w:r>
    </w:p>
    <w:p w14:paraId="00000018" w14:textId="2679DC84" w:rsidR="009D019D" w:rsidRPr="000779C2" w:rsidRDefault="00B139B0" w:rsidP="0055632B">
      <w:pPr>
        <w:spacing w:before="0" w:after="0"/>
        <w:rPr>
          <w:b/>
          <w:bCs/>
          <w:color w:val="000000" w:themeColor="text1"/>
          <w:szCs w:val="24"/>
        </w:rPr>
      </w:pPr>
      <w:r w:rsidRPr="000779C2">
        <w:rPr>
          <w:b/>
          <w:bCs/>
          <w:color w:val="000000" w:themeColor="text1"/>
          <w:szCs w:val="24"/>
        </w:rPr>
        <w:t>B. Balance Sheet</w:t>
      </w:r>
    </w:p>
    <w:p w14:paraId="33C6C9B1" w14:textId="426B2A23" w:rsidR="00961D88" w:rsidRPr="000779C2" w:rsidRDefault="00961D88" w:rsidP="0055632B">
      <w:pPr>
        <w:spacing w:before="0" w:after="0"/>
        <w:rPr>
          <w:b/>
          <w:bCs/>
          <w:color w:val="000000" w:themeColor="text1"/>
          <w:szCs w:val="24"/>
        </w:rPr>
      </w:pPr>
      <w:r w:rsidRPr="000779C2">
        <w:rPr>
          <w:b/>
          <w:bCs/>
          <w:color w:val="000000" w:themeColor="text1"/>
          <w:szCs w:val="24"/>
        </w:rPr>
        <w:t xml:space="preserve">Asset </w:t>
      </w:r>
    </w:p>
    <w:p w14:paraId="769E289A" w14:textId="6A07452D" w:rsidR="00774F87" w:rsidRPr="000779C2" w:rsidRDefault="00774F87" w:rsidP="0055632B">
      <w:pPr>
        <w:spacing w:before="0" w:after="0"/>
        <w:rPr>
          <w:color w:val="000000" w:themeColor="text1"/>
          <w:szCs w:val="24"/>
        </w:rPr>
      </w:pPr>
      <w:r w:rsidRPr="000779C2">
        <w:rPr>
          <w:color w:val="000000" w:themeColor="text1"/>
          <w:szCs w:val="24"/>
        </w:rPr>
        <w:t xml:space="preserve">IHG’S balance sheets indicate consistent expansion while maintaining its asset-light operating approach. Its total assets went from $4,216 million (2022) to $5,345 million (2025), mainly due to increase in goodwill, contract assets, deferred contract costs, and cash balances. The growth in goodwill and intangible assets is evidence of brand expansion and investments, whereas higher contracted assets point at frequent franchise and management agreements. </w:t>
      </w:r>
      <w:r w:rsidR="000E0530" w:rsidRPr="000779C2">
        <w:rPr>
          <w:color w:val="000000" w:themeColor="text1"/>
          <w:szCs w:val="24"/>
        </w:rPr>
        <w:t>Current assets also increased during the reviewed period, as cash and cash equivalents which went from $976 million (2022) to $2,049 million (2025). The improved performance demonstrates the company is generating more cash flow from its operating activities and controlling cash efficiently, leaving it financially capable to make investments and share profits with shareholders.</w:t>
      </w:r>
    </w:p>
    <w:p w14:paraId="3C08B8A3" w14:textId="14701F63" w:rsidR="00961D88" w:rsidRPr="000779C2" w:rsidRDefault="00961D88" w:rsidP="0055632B">
      <w:pPr>
        <w:spacing w:before="0" w:after="0"/>
        <w:rPr>
          <w:b/>
          <w:bCs/>
          <w:color w:val="000000" w:themeColor="text1"/>
          <w:szCs w:val="24"/>
        </w:rPr>
      </w:pPr>
      <w:r w:rsidRPr="000779C2">
        <w:rPr>
          <w:b/>
          <w:bCs/>
          <w:color w:val="000000" w:themeColor="text1"/>
          <w:szCs w:val="24"/>
        </w:rPr>
        <w:t xml:space="preserve">Liabilities and equities </w:t>
      </w:r>
    </w:p>
    <w:p w14:paraId="73D577AF" w14:textId="4C39F22B" w:rsidR="000E0530" w:rsidRPr="000779C2" w:rsidRDefault="003805B8" w:rsidP="0055632B">
      <w:pPr>
        <w:spacing w:before="0" w:after="0"/>
        <w:rPr>
          <w:color w:val="000000" w:themeColor="text1"/>
          <w:szCs w:val="24"/>
        </w:rPr>
      </w:pPr>
      <w:r w:rsidRPr="000779C2">
        <w:rPr>
          <w:color w:val="000000" w:themeColor="text1"/>
          <w:szCs w:val="24"/>
        </w:rPr>
        <w:t>The company's liabilities rose from $5,824 million (2022) to $8,081 million (2025), mainly from increased borrowings and liabilities such as payables, deferred revenue and lease-related obligations from international operations, as shareholders' equity was negative, the financial health of IHG should not be judged based on such figures, as it gave significant returns to shareholders through dividends and share buybacks while growth is financed through debt and internally generated cash flows.</w:t>
      </w:r>
    </w:p>
    <w:p w14:paraId="0B6F4CF7" w14:textId="1CD611D7" w:rsidR="0097198F" w:rsidRPr="000779C2" w:rsidRDefault="00B139B0" w:rsidP="0055632B">
      <w:pPr>
        <w:spacing w:before="0" w:after="0"/>
        <w:rPr>
          <w:b/>
          <w:bCs/>
          <w:color w:val="000000" w:themeColor="text1"/>
          <w:szCs w:val="24"/>
        </w:rPr>
      </w:pPr>
      <w:r w:rsidRPr="000779C2">
        <w:rPr>
          <w:b/>
          <w:bCs/>
          <w:color w:val="000000" w:themeColor="text1"/>
          <w:szCs w:val="24"/>
        </w:rPr>
        <w:lastRenderedPageBreak/>
        <w:t xml:space="preserve">C. </w:t>
      </w:r>
      <w:r w:rsidR="0097198F" w:rsidRPr="000779C2">
        <w:rPr>
          <w:b/>
          <w:bCs/>
          <w:color w:val="000000" w:themeColor="text1"/>
          <w:szCs w:val="24"/>
        </w:rPr>
        <w:t xml:space="preserve">Cash flow statement </w:t>
      </w:r>
    </w:p>
    <w:p w14:paraId="7DECE1E4" w14:textId="4E51162D" w:rsidR="00961D88" w:rsidRPr="000779C2" w:rsidRDefault="00961D88" w:rsidP="0055632B">
      <w:pPr>
        <w:spacing w:before="0" w:after="0"/>
        <w:rPr>
          <w:b/>
          <w:bCs/>
          <w:color w:val="000000" w:themeColor="text1"/>
          <w:szCs w:val="24"/>
        </w:rPr>
      </w:pPr>
      <w:r w:rsidRPr="000779C2">
        <w:rPr>
          <w:b/>
          <w:bCs/>
          <w:color w:val="000000" w:themeColor="text1"/>
          <w:szCs w:val="24"/>
        </w:rPr>
        <w:t>Operating</w:t>
      </w:r>
      <w:r w:rsidR="00F76193" w:rsidRPr="000779C2">
        <w:rPr>
          <w:b/>
          <w:bCs/>
          <w:color w:val="000000" w:themeColor="text1"/>
          <w:szCs w:val="24"/>
        </w:rPr>
        <w:t xml:space="preserve"> </w:t>
      </w:r>
      <w:r w:rsidRPr="000779C2">
        <w:rPr>
          <w:b/>
          <w:bCs/>
          <w:color w:val="000000" w:themeColor="text1"/>
          <w:szCs w:val="24"/>
        </w:rPr>
        <w:t xml:space="preserve">activities </w:t>
      </w:r>
    </w:p>
    <w:p w14:paraId="14CD2AF8" w14:textId="70FEEE42" w:rsidR="00F76193" w:rsidRPr="000779C2" w:rsidRDefault="00F76193" w:rsidP="0055632B">
      <w:pPr>
        <w:spacing w:before="0" w:after="0"/>
        <w:rPr>
          <w:color w:val="000000" w:themeColor="text1"/>
          <w:szCs w:val="24"/>
        </w:rPr>
      </w:pPr>
      <w:r w:rsidRPr="000779C2">
        <w:rPr>
          <w:color w:val="000000" w:themeColor="text1"/>
          <w:szCs w:val="24"/>
        </w:rPr>
        <w:t>In terms of financial management and cash generation, IHG's cash flow statement provides strong indication of its disciplined financial management. Cash from operations net increased from US$646 million (2022) to US$893 million (2023) which further grew to US$898 million (2025), showing higher profitable activities and improved cash conversion despite a slight decline in 2024.</w:t>
      </w:r>
    </w:p>
    <w:p w14:paraId="21750864" w14:textId="3E168D9A" w:rsidR="00F76193" w:rsidRPr="000779C2" w:rsidRDefault="00F76193" w:rsidP="0055632B">
      <w:pPr>
        <w:spacing w:before="0" w:after="0"/>
        <w:rPr>
          <w:b/>
          <w:bCs/>
          <w:color w:val="000000" w:themeColor="text1"/>
          <w:szCs w:val="24"/>
        </w:rPr>
      </w:pPr>
      <w:r w:rsidRPr="000779C2">
        <w:rPr>
          <w:b/>
          <w:bCs/>
          <w:color w:val="000000" w:themeColor="text1"/>
          <w:szCs w:val="24"/>
        </w:rPr>
        <w:t>Investing activities</w:t>
      </w:r>
    </w:p>
    <w:p w14:paraId="384ED46E" w14:textId="0405F5E6" w:rsidR="00BD2EA0" w:rsidRPr="000779C2" w:rsidRDefault="00BD2EA0" w:rsidP="0055632B">
      <w:pPr>
        <w:spacing w:before="0" w:after="0"/>
        <w:rPr>
          <w:color w:val="000000" w:themeColor="text1"/>
          <w:szCs w:val="24"/>
        </w:rPr>
      </w:pPr>
      <w:r w:rsidRPr="000779C2">
        <w:rPr>
          <w:color w:val="000000" w:themeColor="text1"/>
          <w:szCs w:val="24"/>
        </w:rPr>
        <w:t>Investing activities consistently recorded cash outflows due to expenditure on property, brands, intangible assets and strategic investments, highlighting IHG's continued investment in long-term growth and brand development.</w:t>
      </w:r>
    </w:p>
    <w:p w14:paraId="659E19E8" w14:textId="23567F6D" w:rsidR="00F76193" w:rsidRPr="000779C2" w:rsidRDefault="00F76193" w:rsidP="0055632B">
      <w:pPr>
        <w:spacing w:before="0" w:after="0"/>
        <w:rPr>
          <w:b/>
          <w:bCs/>
          <w:color w:val="000000" w:themeColor="text1"/>
          <w:szCs w:val="24"/>
        </w:rPr>
      </w:pPr>
      <w:r w:rsidRPr="000779C2">
        <w:rPr>
          <w:b/>
          <w:bCs/>
          <w:color w:val="000000" w:themeColor="text1"/>
          <w:szCs w:val="24"/>
        </w:rPr>
        <w:t xml:space="preserve">Financing activities </w:t>
      </w:r>
    </w:p>
    <w:p w14:paraId="54CAC475" w14:textId="7F633479" w:rsidR="00BD2EA0" w:rsidRPr="000779C2" w:rsidRDefault="00FC07CD" w:rsidP="0055632B">
      <w:pPr>
        <w:spacing w:before="0" w:after="0"/>
        <w:rPr>
          <w:color w:val="000000" w:themeColor="text1"/>
          <w:szCs w:val="24"/>
        </w:rPr>
      </w:pPr>
      <w:r w:rsidRPr="000779C2">
        <w:rPr>
          <w:color w:val="000000" w:themeColor="text1"/>
          <w:szCs w:val="24"/>
        </w:rPr>
        <w:t>The financing activities were net cash outflows because of dividend payment, share buyback, debt repayments. Hence, new long-term borrowings supported capital management. Overall, the company created enough operating cash flows to pay off investments, reward shareholders and stay financially flexible.</w:t>
      </w:r>
    </w:p>
    <w:p w14:paraId="0000001A" w14:textId="77777777" w:rsidR="009D019D" w:rsidRPr="000779C2" w:rsidRDefault="00000000" w:rsidP="0055632B">
      <w:pPr>
        <w:pStyle w:val="Heading2"/>
        <w:spacing w:before="0" w:after="0"/>
        <w:rPr>
          <w:color w:val="000000" w:themeColor="text1"/>
        </w:rPr>
      </w:pPr>
      <w:bookmarkStart w:id="4" w:name="_Toc235615305"/>
      <w:r w:rsidRPr="000779C2">
        <w:rPr>
          <w:color w:val="000000" w:themeColor="text1"/>
        </w:rPr>
        <w:t>1.3 Comprehensive Ratio Analysis</w:t>
      </w:r>
      <w:bookmarkEnd w:id="4"/>
    </w:p>
    <w:p w14:paraId="0000001B" w14:textId="2FD1A8C1" w:rsidR="009D019D" w:rsidRPr="000779C2" w:rsidRDefault="00F47473" w:rsidP="0055632B">
      <w:pPr>
        <w:spacing w:before="0" w:after="0"/>
        <w:rPr>
          <w:color w:val="000000" w:themeColor="text1"/>
          <w:szCs w:val="24"/>
        </w:rPr>
      </w:pPr>
      <w:r w:rsidRPr="000779C2">
        <w:rPr>
          <w:color w:val="000000" w:themeColor="text1"/>
          <w:szCs w:val="24"/>
        </w:rPr>
        <w:t>The ratio analysis can generally provide a wide range of figures on the overall state of companies' financial health in terms of profitability, liquidity, financing structure, operational efficiency, investment performance and cash-generating power (Rashid, 2021). The 5-year trend demonstrates that the business is broadly performing better on its finances in the aftermath of the pandemic with a lean asset policy</w:t>
      </w:r>
      <w:r w:rsidR="00861D08" w:rsidRPr="000779C2">
        <w:rPr>
          <w:color w:val="000000" w:themeColor="text1"/>
          <w:szCs w:val="24"/>
        </w:rPr>
        <w:t xml:space="preserve"> </w:t>
      </w:r>
      <w:r w:rsidR="00861D08" w:rsidRPr="000779C2">
        <w:rPr>
          <w:i/>
          <w:iCs/>
          <w:color w:val="000000" w:themeColor="text1"/>
          <w:szCs w:val="24"/>
        </w:rPr>
        <w:t>[Referred to Appendix 1]</w:t>
      </w:r>
      <w:r w:rsidRPr="000779C2">
        <w:rPr>
          <w:color w:val="000000" w:themeColor="text1"/>
          <w:szCs w:val="24"/>
        </w:rPr>
        <w:t>.</w:t>
      </w:r>
    </w:p>
    <w:p w14:paraId="0000001C" w14:textId="1ABC3BC6" w:rsidR="009D019D" w:rsidRPr="000779C2" w:rsidRDefault="003805B8" w:rsidP="0055632B">
      <w:pPr>
        <w:spacing w:before="0" w:after="0"/>
        <w:rPr>
          <w:b/>
          <w:bCs/>
          <w:color w:val="000000" w:themeColor="text1"/>
          <w:szCs w:val="24"/>
        </w:rPr>
      </w:pPr>
      <w:r w:rsidRPr="000779C2">
        <w:rPr>
          <w:b/>
          <w:bCs/>
          <w:color w:val="000000" w:themeColor="text1"/>
          <w:szCs w:val="24"/>
        </w:rPr>
        <w:t>A. Profitability Ratios</w:t>
      </w:r>
    </w:p>
    <w:p w14:paraId="7D2C8461" w14:textId="77777777" w:rsidR="003805B8" w:rsidRPr="000779C2" w:rsidRDefault="00542D1B" w:rsidP="0055632B">
      <w:pPr>
        <w:spacing w:before="0" w:after="0"/>
        <w:rPr>
          <w:color w:val="000000" w:themeColor="text1"/>
          <w:szCs w:val="24"/>
        </w:rPr>
      </w:pPr>
      <w:r w:rsidRPr="000779C2">
        <w:rPr>
          <w:color w:val="000000" w:themeColor="text1"/>
          <w:szCs w:val="24"/>
        </w:rPr>
        <w:t xml:space="preserve">IHG's profitability ratios show that performance has markedly enhanced over the review period. </w:t>
      </w:r>
    </w:p>
    <w:p w14:paraId="1640F626" w14:textId="7AFB967C" w:rsidR="003805B8" w:rsidRPr="000779C2" w:rsidRDefault="003805B8" w:rsidP="0055632B">
      <w:pPr>
        <w:spacing w:before="0" w:after="0"/>
        <w:rPr>
          <w:color w:val="000000" w:themeColor="text1"/>
          <w:szCs w:val="24"/>
        </w:rPr>
      </w:pPr>
      <w:r w:rsidRPr="000779C2">
        <w:rPr>
          <w:b/>
          <w:bCs/>
          <w:color w:val="000000" w:themeColor="text1"/>
          <w:szCs w:val="24"/>
        </w:rPr>
        <w:t>Gross profit margin:</w:t>
      </w:r>
      <w:r w:rsidRPr="000779C2">
        <w:rPr>
          <w:color w:val="000000" w:themeColor="text1"/>
          <w:szCs w:val="24"/>
        </w:rPr>
        <w:t xml:space="preserve"> </w:t>
      </w:r>
      <w:r w:rsidR="00542D1B" w:rsidRPr="000779C2">
        <w:rPr>
          <w:color w:val="000000" w:themeColor="text1"/>
          <w:szCs w:val="24"/>
        </w:rPr>
        <w:t xml:space="preserve">The ‘Gross profit margin’ has been gradually increasing from 83.28% in 2021 gradually to 85.28% for 2025 that indicates good cost management and fee-based activities have increased. </w:t>
      </w:r>
      <w:r w:rsidR="005A6ADA" w:rsidRPr="000779C2">
        <w:rPr>
          <w:color w:val="000000" w:themeColor="text1"/>
          <w:szCs w:val="24"/>
        </w:rPr>
        <w:t>The recovery in global travel demand and higher average daily room rates (ADR) also contributed to stronger gross profitability (</w:t>
      </w:r>
      <w:r w:rsidR="00EE3DE2" w:rsidRPr="000779C2">
        <w:rPr>
          <w:color w:val="000000" w:themeColor="text1"/>
          <w:szCs w:val="24"/>
        </w:rPr>
        <w:t>Saar and Vaher, 2025</w:t>
      </w:r>
      <w:r w:rsidR="005A6ADA" w:rsidRPr="000779C2">
        <w:rPr>
          <w:color w:val="000000" w:themeColor="text1"/>
          <w:szCs w:val="24"/>
        </w:rPr>
        <w:t xml:space="preserve">). </w:t>
      </w:r>
    </w:p>
    <w:p w14:paraId="0F3DD0D3" w14:textId="20E28274" w:rsidR="003805B8" w:rsidRPr="000779C2" w:rsidRDefault="003805B8" w:rsidP="0055632B">
      <w:pPr>
        <w:spacing w:before="0" w:after="0"/>
        <w:rPr>
          <w:color w:val="000000" w:themeColor="text1"/>
          <w:szCs w:val="24"/>
        </w:rPr>
      </w:pPr>
      <w:r w:rsidRPr="000779C2">
        <w:rPr>
          <w:b/>
          <w:bCs/>
          <w:color w:val="000000" w:themeColor="text1"/>
          <w:szCs w:val="24"/>
        </w:rPr>
        <w:t xml:space="preserve">Operating profit margin: </w:t>
      </w:r>
      <w:r w:rsidR="00542D1B" w:rsidRPr="000779C2">
        <w:rPr>
          <w:b/>
          <w:bCs/>
          <w:color w:val="000000" w:themeColor="text1"/>
          <w:szCs w:val="24"/>
        </w:rPr>
        <w:t>‘</w:t>
      </w:r>
      <w:r w:rsidR="00542D1B" w:rsidRPr="000779C2">
        <w:rPr>
          <w:color w:val="000000" w:themeColor="text1"/>
          <w:szCs w:val="24"/>
        </w:rPr>
        <w:t xml:space="preserve">Operating profit margin’ margins have been strengthened as well, from 16.99% to 23.09% suggesting greater operating efficiency and better administration of expenses even in the face of inflationary pressures. </w:t>
      </w:r>
      <w:r w:rsidR="005A6ADA" w:rsidRPr="000779C2">
        <w:rPr>
          <w:color w:val="000000" w:themeColor="text1"/>
          <w:szCs w:val="24"/>
        </w:rPr>
        <w:t xml:space="preserve">The increase </w:t>
      </w:r>
      <w:r w:rsidR="005A6ADA" w:rsidRPr="000779C2">
        <w:rPr>
          <w:color w:val="000000" w:themeColor="text1"/>
          <w:szCs w:val="24"/>
        </w:rPr>
        <w:lastRenderedPageBreak/>
        <w:t>reflects improved operating leverage resulting from higher occupancy levels, disciplined cost management and lower exceptional charges following the post-pandemic recovery (</w:t>
      </w:r>
      <w:r w:rsidR="00CE3339" w:rsidRPr="000779C2">
        <w:rPr>
          <w:color w:val="000000" w:themeColor="text1"/>
          <w:szCs w:val="24"/>
        </w:rPr>
        <w:t xml:space="preserve">Muñoz-Muñoz </w:t>
      </w:r>
      <w:r w:rsidR="00462977" w:rsidRPr="000779C2">
        <w:rPr>
          <w:i/>
          <w:iCs/>
          <w:color w:val="000000" w:themeColor="text1"/>
          <w:szCs w:val="24"/>
        </w:rPr>
        <w:t>et al.</w:t>
      </w:r>
      <w:r w:rsidR="00CE3339" w:rsidRPr="000779C2">
        <w:rPr>
          <w:color w:val="000000" w:themeColor="text1"/>
          <w:szCs w:val="24"/>
        </w:rPr>
        <w:t xml:space="preserve"> 2026</w:t>
      </w:r>
      <w:r w:rsidR="005A6ADA" w:rsidRPr="000779C2">
        <w:rPr>
          <w:color w:val="000000" w:themeColor="text1"/>
          <w:szCs w:val="24"/>
        </w:rPr>
        <w:t xml:space="preserve">). </w:t>
      </w:r>
    </w:p>
    <w:p w14:paraId="59D733F8" w14:textId="78C55241" w:rsidR="00F77CAC" w:rsidRPr="000779C2" w:rsidRDefault="003805B8" w:rsidP="0055632B">
      <w:pPr>
        <w:spacing w:before="0" w:after="0"/>
        <w:rPr>
          <w:color w:val="000000" w:themeColor="text1"/>
          <w:szCs w:val="24"/>
        </w:rPr>
      </w:pPr>
      <w:r w:rsidRPr="000779C2">
        <w:rPr>
          <w:b/>
          <w:bCs/>
          <w:color w:val="000000" w:themeColor="text1"/>
          <w:szCs w:val="24"/>
        </w:rPr>
        <w:t>Net profit margin:</w:t>
      </w:r>
      <w:r w:rsidRPr="000779C2">
        <w:rPr>
          <w:color w:val="000000" w:themeColor="text1"/>
          <w:szCs w:val="24"/>
        </w:rPr>
        <w:t xml:space="preserve"> </w:t>
      </w:r>
      <w:r w:rsidR="00542D1B" w:rsidRPr="000779C2">
        <w:rPr>
          <w:color w:val="000000" w:themeColor="text1"/>
          <w:szCs w:val="24"/>
        </w:rPr>
        <w:t>‘Net profit margin’ in 2025 decreased from 16.22% in 2023 but is comparatively higher on the gross than 2021 and 2022 results.</w:t>
      </w:r>
      <w:r w:rsidR="005A6ADA" w:rsidRPr="000779C2">
        <w:rPr>
          <w:color w:val="000000" w:themeColor="text1"/>
          <w:szCs w:val="24"/>
        </w:rPr>
        <w:t xml:space="preserve"> Although the margin declined slightly after 2023, it remained above pre-recovery levels because stronger operating earnings continued to offset rising finance costs, inflationary pressures and increased taxation (</w:t>
      </w:r>
      <w:proofErr w:type="spellStart"/>
      <w:r w:rsidR="00CE3339" w:rsidRPr="000779C2">
        <w:rPr>
          <w:color w:val="000000" w:themeColor="text1"/>
          <w:szCs w:val="24"/>
        </w:rPr>
        <w:t>Makdissi</w:t>
      </w:r>
      <w:proofErr w:type="spellEnd"/>
      <w:r w:rsidR="00CE3339" w:rsidRPr="000779C2">
        <w:rPr>
          <w:color w:val="000000" w:themeColor="text1"/>
          <w:szCs w:val="24"/>
        </w:rPr>
        <w:t xml:space="preserve"> </w:t>
      </w:r>
      <w:r w:rsidR="00462977" w:rsidRPr="000779C2">
        <w:rPr>
          <w:i/>
          <w:iCs/>
          <w:color w:val="000000" w:themeColor="text1"/>
          <w:szCs w:val="24"/>
        </w:rPr>
        <w:t>et al.</w:t>
      </w:r>
      <w:r w:rsidR="00CE3339" w:rsidRPr="000779C2">
        <w:rPr>
          <w:color w:val="000000" w:themeColor="text1"/>
          <w:szCs w:val="24"/>
        </w:rPr>
        <w:t xml:space="preserve"> 2023</w:t>
      </w:r>
      <w:r w:rsidR="005A6ADA" w:rsidRPr="000779C2">
        <w:rPr>
          <w:color w:val="000000" w:themeColor="text1"/>
          <w:szCs w:val="24"/>
        </w:rPr>
        <w:t xml:space="preserve">). </w:t>
      </w:r>
    </w:p>
    <w:p w14:paraId="268539CC" w14:textId="600716FB" w:rsidR="009E1777" w:rsidRPr="000779C2" w:rsidRDefault="009E1777" w:rsidP="0055632B">
      <w:pPr>
        <w:spacing w:before="0" w:after="0"/>
        <w:jc w:val="center"/>
        <w:rPr>
          <w:color w:val="000000" w:themeColor="text1"/>
          <w:szCs w:val="24"/>
        </w:rPr>
      </w:pPr>
      <w:r w:rsidRPr="000779C2">
        <w:rPr>
          <w:noProof/>
          <w:color w:val="000000" w:themeColor="text1"/>
        </w:rPr>
        <w:drawing>
          <wp:inline distT="0" distB="0" distL="0" distR="0" wp14:anchorId="0B098D27" wp14:editId="0878CF36">
            <wp:extent cx="4572000" cy="2743200"/>
            <wp:effectExtent l="0" t="0" r="0" b="0"/>
            <wp:docPr id="115701956" name="Chart 1">
              <a:extLst xmlns:a="http://schemas.openxmlformats.org/drawingml/2006/main">
                <a:ext uri="{FF2B5EF4-FFF2-40B4-BE49-F238E27FC236}">
                  <a16:creationId xmlns:a16="http://schemas.microsoft.com/office/drawing/2014/main" id="{9142FBCF-5081-C792-2DE0-BA8B4E32E8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71E25B" w14:textId="45DD6540" w:rsidR="003B6CD3" w:rsidRPr="000779C2" w:rsidRDefault="003B6CD3" w:rsidP="0055632B">
      <w:pPr>
        <w:spacing w:before="0" w:after="0"/>
        <w:jc w:val="center"/>
        <w:rPr>
          <w:b/>
          <w:bCs/>
          <w:color w:val="000000" w:themeColor="text1"/>
          <w:szCs w:val="24"/>
        </w:rPr>
      </w:pPr>
      <w:r w:rsidRPr="000779C2">
        <w:rPr>
          <w:b/>
          <w:bCs/>
          <w:color w:val="000000" w:themeColor="text1"/>
          <w:szCs w:val="24"/>
        </w:rPr>
        <w:t>Chart 1: Trends in GP Margin, OP Margin and NP Margin</w:t>
      </w:r>
    </w:p>
    <w:p w14:paraId="7339DD4E" w14:textId="5DC20C47" w:rsidR="003B6CD3" w:rsidRPr="000779C2" w:rsidRDefault="003B6CD3" w:rsidP="0055632B">
      <w:pPr>
        <w:spacing w:before="0" w:after="0"/>
        <w:jc w:val="center"/>
        <w:rPr>
          <w:color w:val="000000" w:themeColor="text1"/>
          <w:szCs w:val="24"/>
        </w:rPr>
      </w:pPr>
      <w:r w:rsidRPr="000779C2">
        <w:rPr>
          <w:color w:val="000000" w:themeColor="text1"/>
          <w:szCs w:val="24"/>
        </w:rPr>
        <w:t>(Source: Excel)</w:t>
      </w:r>
    </w:p>
    <w:p w14:paraId="0000001D" w14:textId="442D42D2" w:rsidR="009D019D" w:rsidRPr="000779C2" w:rsidRDefault="003805B8" w:rsidP="0055632B">
      <w:pPr>
        <w:spacing w:before="0" w:after="0"/>
        <w:rPr>
          <w:color w:val="000000" w:themeColor="text1"/>
          <w:szCs w:val="24"/>
        </w:rPr>
      </w:pPr>
      <w:r w:rsidRPr="000779C2">
        <w:rPr>
          <w:b/>
          <w:bCs/>
          <w:color w:val="000000" w:themeColor="text1"/>
          <w:szCs w:val="24"/>
        </w:rPr>
        <w:t>Return on assets and return on equity:</w:t>
      </w:r>
      <w:r w:rsidRPr="000779C2">
        <w:rPr>
          <w:color w:val="000000" w:themeColor="text1"/>
          <w:szCs w:val="24"/>
        </w:rPr>
        <w:t xml:space="preserve"> ROA has been improving consistently from 5.62% to 14.20%, which means that the company is effectively optimising its assets to generate money. The ROE also has an upward trend of 27.74% for 2025, signifying its performance in generating attractive returns to shareholders.</w:t>
      </w:r>
      <w:r w:rsidR="00571F5E" w:rsidRPr="000779C2">
        <w:rPr>
          <w:color w:val="000000" w:themeColor="text1"/>
          <w:szCs w:val="24"/>
        </w:rPr>
        <w:t xml:space="preserve"> </w:t>
      </w:r>
      <w:r w:rsidR="00A27684" w:rsidRPr="000779C2">
        <w:rPr>
          <w:color w:val="000000" w:themeColor="text1"/>
          <w:szCs w:val="24"/>
        </w:rPr>
        <w:t>The improvement in both ratios reflects IHG's efficient utilisation of its asset-light business model, whereby growth in franchise and management contracts increased earnings (</w:t>
      </w:r>
      <w:r w:rsidR="00CE3339" w:rsidRPr="000779C2">
        <w:rPr>
          <w:color w:val="000000" w:themeColor="text1"/>
          <w:szCs w:val="24"/>
        </w:rPr>
        <w:t>IHG Annual Report, 2025</w:t>
      </w:r>
      <w:r w:rsidR="00A27684" w:rsidRPr="000779C2">
        <w:rPr>
          <w:color w:val="000000" w:themeColor="text1"/>
          <w:szCs w:val="24"/>
        </w:rPr>
        <w:t xml:space="preserve">). </w:t>
      </w:r>
    </w:p>
    <w:p w14:paraId="00278CFA" w14:textId="3765DF89" w:rsidR="009E1777" w:rsidRPr="000779C2" w:rsidRDefault="00C23FF9" w:rsidP="0055632B">
      <w:pPr>
        <w:spacing w:before="0" w:after="0"/>
        <w:jc w:val="center"/>
        <w:rPr>
          <w:color w:val="000000" w:themeColor="text1"/>
          <w:szCs w:val="24"/>
        </w:rPr>
      </w:pPr>
      <w:r w:rsidRPr="000779C2">
        <w:rPr>
          <w:noProof/>
          <w:color w:val="000000" w:themeColor="text1"/>
        </w:rPr>
        <w:lastRenderedPageBreak/>
        <w:drawing>
          <wp:inline distT="0" distB="0" distL="0" distR="0" wp14:anchorId="5A3D5B04" wp14:editId="7ED996E5">
            <wp:extent cx="4572000" cy="2743200"/>
            <wp:effectExtent l="0" t="0" r="0" b="0"/>
            <wp:docPr id="1056964896" name="Chart 1">
              <a:extLst xmlns:a="http://schemas.openxmlformats.org/drawingml/2006/main">
                <a:ext uri="{FF2B5EF4-FFF2-40B4-BE49-F238E27FC236}">
                  <a16:creationId xmlns:a16="http://schemas.microsoft.com/office/drawing/2014/main" id="{D06116A4-B0F3-8B5F-E32E-91F1D07E67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E34F43" w14:textId="1ADE4044" w:rsidR="0080566E" w:rsidRPr="000779C2" w:rsidRDefault="0080566E" w:rsidP="0055632B">
      <w:pPr>
        <w:spacing w:before="0" w:after="0"/>
        <w:jc w:val="center"/>
        <w:rPr>
          <w:b/>
          <w:bCs/>
          <w:color w:val="000000" w:themeColor="text1"/>
          <w:szCs w:val="24"/>
        </w:rPr>
      </w:pPr>
      <w:r w:rsidRPr="000779C2">
        <w:rPr>
          <w:b/>
          <w:bCs/>
          <w:color w:val="000000" w:themeColor="text1"/>
          <w:szCs w:val="24"/>
        </w:rPr>
        <w:t>Chart 2: Trends in ROA and ROE</w:t>
      </w:r>
    </w:p>
    <w:p w14:paraId="3F187F00" w14:textId="4433103E" w:rsidR="0080566E" w:rsidRPr="000779C2" w:rsidRDefault="0080566E" w:rsidP="00A27684">
      <w:pPr>
        <w:spacing w:before="0" w:after="0"/>
        <w:jc w:val="center"/>
        <w:rPr>
          <w:color w:val="000000" w:themeColor="text1"/>
          <w:szCs w:val="24"/>
        </w:rPr>
      </w:pPr>
      <w:r w:rsidRPr="000779C2">
        <w:rPr>
          <w:color w:val="000000" w:themeColor="text1"/>
          <w:szCs w:val="24"/>
        </w:rPr>
        <w:t>(Source: Excel)</w:t>
      </w:r>
    </w:p>
    <w:p w14:paraId="0000001E" w14:textId="2686AB17" w:rsidR="009D019D" w:rsidRPr="000779C2" w:rsidRDefault="00BB2920" w:rsidP="0055632B">
      <w:pPr>
        <w:spacing w:before="0" w:after="0"/>
        <w:rPr>
          <w:b/>
          <w:bCs/>
          <w:color w:val="000000" w:themeColor="text1"/>
          <w:szCs w:val="24"/>
        </w:rPr>
      </w:pPr>
      <w:r w:rsidRPr="000779C2">
        <w:rPr>
          <w:b/>
          <w:bCs/>
          <w:color w:val="000000" w:themeColor="text1"/>
          <w:szCs w:val="24"/>
        </w:rPr>
        <w:t>B. Liquidity Ratios</w:t>
      </w:r>
    </w:p>
    <w:p w14:paraId="0422792B" w14:textId="77777777" w:rsidR="007B4CC7" w:rsidRPr="000779C2" w:rsidRDefault="00000000" w:rsidP="0055632B">
      <w:pPr>
        <w:spacing w:before="0" w:after="0"/>
        <w:rPr>
          <w:color w:val="000000" w:themeColor="text1"/>
          <w:szCs w:val="24"/>
        </w:rPr>
      </w:pPr>
      <w:r w:rsidRPr="000779C2">
        <w:rPr>
          <w:color w:val="000000" w:themeColor="text1"/>
          <w:szCs w:val="24"/>
        </w:rPr>
        <w:t xml:space="preserve">Liquidity ratios suggest a relatively short-term but reasonably sound financial position. </w:t>
      </w:r>
    </w:p>
    <w:p w14:paraId="0A2C561E" w14:textId="0BC11E36" w:rsidR="007B4CC7" w:rsidRPr="000779C2" w:rsidRDefault="007B4CC7" w:rsidP="0055632B">
      <w:pPr>
        <w:spacing w:before="0" w:after="0"/>
        <w:rPr>
          <w:color w:val="000000" w:themeColor="text1"/>
          <w:szCs w:val="24"/>
        </w:rPr>
      </w:pPr>
      <w:r w:rsidRPr="000779C2">
        <w:rPr>
          <w:b/>
          <w:bCs/>
          <w:color w:val="000000" w:themeColor="text1"/>
          <w:szCs w:val="24"/>
        </w:rPr>
        <w:t>Current and quick ratios:</w:t>
      </w:r>
      <w:r w:rsidRPr="000779C2">
        <w:rPr>
          <w:color w:val="000000" w:themeColor="text1"/>
          <w:szCs w:val="24"/>
        </w:rPr>
        <w:t xml:space="preserve"> The current ratio declined from 1.27 in 2021 to approximately 0.98 in 2025, followed by a similar quick ratio trend, showing that the company has managed its working capital efficiently without being dependent on inventory. </w:t>
      </w:r>
      <w:r w:rsidR="00735970" w:rsidRPr="000779C2">
        <w:rPr>
          <w:color w:val="000000" w:themeColor="text1"/>
          <w:szCs w:val="24"/>
        </w:rPr>
        <w:t>The gradual decline mainly reflects increased current liabilities associated with trade payables, deferred revenue and shareholder distributions rather than weakening operational performance (</w:t>
      </w:r>
      <w:r w:rsidR="00CE3339" w:rsidRPr="000779C2">
        <w:rPr>
          <w:color w:val="000000" w:themeColor="text1"/>
          <w:szCs w:val="24"/>
        </w:rPr>
        <w:t>IHG Annual Report, 2025</w:t>
      </w:r>
      <w:r w:rsidR="00735970" w:rsidRPr="000779C2">
        <w:rPr>
          <w:color w:val="000000" w:themeColor="text1"/>
          <w:szCs w:val="24"/>
        </w:rPr>
        <w:t xml:space="preserve">). </w:t>
      </w:r>
    </w:p>
    <w:p w14:paraId="0000001F" w14:textId="0BCA9A19" w:rsidR="009D019D" w:rsidRPr="000779C2" w:rsidRDefault="007B4CC7" w:rsidP="0055632B">
      <w:pPr>
        <w:spacing w:before="0" w:after="0"/>
        <w:rPr>
          <w:color w:val="000000" w:themeColor="text1"/>
          <w:szCs w:val="24"/>
        </w:rPr>
      </w:pPr>
      <w:r w:rsidRPr="000779C2">
        <w:rPr>
          <w:b/>
          <w:bCs/>
          <w:color w:val="000000" w:themeColor="text1"/>
          <w:szCs w:val="24"/>
        </w:rPr>
        <w:t>Cash ratio:</w:t>
      </w:r>
      <w:r w:rsidRPr="000779C2">
        <w:rPr>
          <w:color w:val="000000" w:themeColor="text1"/>
          <w:szCs w:val="24"/>
        </w:rPr>
        <w:t xml:space="preserve"> The cash ratio also fell from 0.89 to 0.54, indicating IHG is increasingly financing its needs with operating cash flow and making less use of cash reserves. As per industrial standards, the ratios remained below </w:t>
      </w:r>
      <w:proofErr w:type="gramStart"/>
      <w:r w:rsidRPr="000779C2">
        <w:rPr>
          <w:color w:val="000000" w:themeColor="text1"/>
          <w:szCs w:val="24"/>
        </w:rPr>
        <w:t>1.0, but</w:t>
      </w:r>
      <w:proofErr w:type="gramEnd"/>
      <w:r w:rsidRPr="000779C2">
        <w:rPr>
          <w:color w:val="000000" w:themeColor="text1"/>
          <w:szCs w:val="24"/>
        </w:rPr>
        <w:t xml:space="preserve"> were common for asset-light hospitality companies with predictable cash inflows.</w:t>
      </w:r>
    </w:p>
    <w:p w14:paraId="41ED65C5" w14:textId="5CFBB4D0" w:rsidR="00C23FF9" w:rsidRPr="000779C2" w:rsidRDefault="00C23FF9" w:rsidP="0055632B">
      <w:pPr>
        <w:spacing w:before="0" w:after="0"/>
        <w:jc w:val="center"/>
        <w:rPr>
          <w:color w:val="000000" w:themeColor="text1"/>
          <w:szCs w:val="24"/>
        </w:rPr>
      </w:pPr>
      <w:r w:rsidRPr="000779C2">
        <w:rPr>
          <w:noProof/>
          <w:color w:val="000000" w:themeColor="text1"/>
        </w:rPr>
        <w:lastRenderedPageBreak/>
        <w:drawing>
          <wp:inline distT="0" distB="0" distL="0" distR="0" wp14:anchorId="3F5478C3" wp14:editId="26A9AB94">
            <wp:extent cx="4572000" cy="2743200"/>
            <wp:effectExtent l="0" t="0" r="0" b="0"/>
            <wp:docPr id="373911421" name="Chart 1">
              <a:extLst xmlns:a="http://schemas.openxmlformats.org/drawingml/2006/main">
                <a:ext uri="{FF2B5EF4-FFF2-40B4-BE49-F238E27FC236}">
                  <a16:creationId xmlns:a16="http://schemas.microsoft.com/office/drawing/2014/main" id="{8F61FE0E-9440-FB4E-A4AB-9A270725C8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BF77B4" w14:textId="3D5404F9" w:rsidR="0080566E" w:rsidRPr="000779C2" w:rsidRDefault="0080566E" w:rsidP="0055632B">
      <w:pPr>
        <w:spacing w:before="0" w:after="0"/>
        <w:jc w:val="center"/>
        <w:rPr>
          <w:b/>
          <w:bCs/>
          <w:color w:val="000000" w:themeColor="text1"/>
          <w:szCs w:val="24"/>
        </w:rPr>
      </w:pPr>
      <w:r w:rsidRPr="000779C2">
        <w:rPr>
          <w:b/>
          <w:bCs/>
          <w:color w:val="000000" w:themeColor="text1"/>
          <w:szCs w:val="24"/>
        </w:rPr>
        <w:t>Chart 3: Trends in Liquidity Ratios</w:t>
      </w:r>
    </w:p>
    <w:p w14:paraId="3158A62D" w14:textId="5E5FFFFE" w:rsidR="0080566E" w:rsidRPr="000779C2" w:rsidRDefault="0080566E" w:rsidP="0055632B">
      <w:pPr>
        <w:spacing w:before="0" w:after="0"/>
        <w:jc w:val="center"/>
        <w:rPr>
          <w:color w:val="000000" w:themeColor="text1"/>
          <w:szCs w:val="24"/>
        </w:rPr>
      </w:pPr>
      <w:r w:rsidRPr="000779C2">
        <w:rPr>
          <w:color w:val="000000" w:themeColor="text1"/>
          <w:szCs w:val="24"/>
        </w:rPr>
        <w:t>(Source: Excel)</w:t>
      </w:r>
    </w:p>
    <w:p w14:paraId="00000020" w14:textId="1F8D33C9" w:rsidR="009D019D" w:rsidRPr="000779C2" w:rsidRDefault="00BB2920" w:rsidP="0055632B">
      <w:pPr>
        <w:spacing w:before="0" w:after="0"/>
        <w:rPr>
          <w:b/>
          <w:bCs/>
          <w:color w:val="000000" w:themeColor="text1"/>
          <w:szCs w:val="24"/>
        </w:rPr>
      </w:pPr>
      <w:r w:rsidRPr="000779C2">
        <w:rPr>
          <w:b/>
          <w:bCs/>
          <w:color w:val="000000" w:themeColor="text1"/>
          <w:szCs w:val="24"/>
        </w:rPr>
        <w:t>C. Gearing Ratios</w:t>
      </w:r>
    </w:p>
    <w:p w14:paraId="3F6CDD76" w14:textId="77777777" w:rsidR="00BB2920" w:rsidRPr="000779C2" w:rsidRDefault="00000000" w:rsidP="0055632B">
      <w:pPr>
        <w:spacing w:before="0" w:after="0"/>
        <w:rPr>
          <w:color w:val="000000" w:themeColor="text1"/>
          <w:szCs w:val="24"/>
        </w:rPr>
      </w:pPr>
      <w:r w:rsidRPr="000779C2">
        <w:rPr>
          <w:color w:val="000000" w:themeColor="text1"/>
          <w:szCs w:val="24"/>
        </w:rPr>
        <w:t xml:space="preserve">The gearing ratios have also revealed that the company’s financial position is conservative, whereas the financial leverage is comparatively low. </w:t>
      </w:r>
    </w:p>
    <w:p w14:paraId="4655AF48" w14:textId="6B9107FF" w:rsidR="00BB2920" w:rsidRPr="000779C2" w:rsidRDefault="00BB2920" w:rsidP="0055632B">
      <w:pPr>
        <w:spacing w:before="0" w:after="0"/>
        <w:rPr>
          <w:color w:val="000000" w:themeColor="text1"/>
          <w:szCs w:val="24"/>
        </w:rPr>
      </w:pPr>
      <w:r w:rsidRPr="000779C2">
        <w:rPr>
          <w:b/>
          <w:bCs/>
          <w:color w:val="000000" w:themeColor="text1"/>
          <w:szCs w:val="24"/>
        </w:rPr>
        <w:t xml:space="preserve">Debt ratio: </w:t>
      </w:r>
      <w:r w:rsidR="00C06865" w:rsidRPr="000779C2">
        <w:rPr>
          <w:color w:val="000000" w:themeColor="text1"/>
          <w:szCs w:val="24"/>
        </w:rPr>
        <w:t>The ‘Debt ratio’ declined gradually over the period from 0.007 (2021) to 0.005 (2025).</w:t>
      </w:r>
      <w:r w:rsidR="00C06865" w:rsidRPr="000779C2">
        <w:rPr>
          <w:b/>
          <w:bCs/>
          <w:color w:val="000000" w:themeColor="text1"/>
          <w:szCs w:val="24"/>
        </w:rPr>
        <w:t xml:space="preserve"> </w:t>
      </w:r>
      <w:r w:rsidR="00C06865" w:rsidRPr="000779C2">
        <w:rPr>
          <w:color w:val="000000" w:themeColor="text1"/>
          <w:szCs w:val="24"/>
        </w:rPr>
        <w:t>The declining debt ratio indicates that total assets increased at a faster rate than interest-bearing debt, reducing the company's dependence on debt financing as profitability improved (</w:t>
      </w:r>
      <w:r w:rsidR="00CE3339" w:rsidRPr="000779C2">
        <w:rPr>
          <w:color w:val="000000" w:themeColor="text1"/>
          <w:szCs w:val="24"/>
        </w:rPr>
        <w:t>IHG Annual Report, 2025</w:t>
      </w:r>
      <w:r w:rsidR="00C06865" w:rsidRPr="000779C2">
        <w:rPr>
          <w:color w:val="000000" w:themeColor="text1"/>
          <w:szCs w:val="24"/>
        </w:rPr>
        <w:t xml:space="preserve">). </w:t>
      </w:r>
    </w:p>
    <w:p w14:paraId="1644A911" w14:textId="5C954AE7" w:rsidR="00BB2920" w:rsidRPr="000779C2" w:rsidRDefault="00BB2920" w:rsidP="0055632B">
      <w:pPr>
        <w:spacing w:before="0" w:after="0"/>
        <w:rPr>
          <w:color w:val="000000" w:themeColor="text1"/>
          <w:szCs w:val="24"/>
        </w:rPr>
      </w:pPr>
      <w:r w:rsidRPr="000779C2">
        <w:rPr>
          <w:b/>
          <w:bCs/>
          <w:color w:val="000000" w:themeColor="text1"/>
          <w:szCs w:val="24"/>
        </w:rPr>
        <w:t>Debt-to-equity ratio:</w:t>
      </w:r>
      <w:r w:rsidR="00C06865" w:rsidRPr="000779C2">
        <w:rPr>
          <w:color w:val="000000" w:themeColor="text1"/>
          <w:szCs w:val="24"/>
        </w:rPr>
        <w:t xml:space="preserve"> The ‘Debt-to-equity ratio’ also declined from 0.024 (2021) to 0.010 (2025). The reduction in the debt-to-equity ratio reflects stronger retained earnings and improved financial performance, which enhanced the company's capital base despite continued shareholder distributions. </w:t>
      </w:r>
    </w:p>
    <w:p w14:paraId="2619DFAC" w14:textId="5D1865DF" w:rsidR="00BB2920" w:rsidRPr="000779C2" w:rsidRDefault="00BB2920" w:rsidP="0055632B">
      <w:pPr>
        <w:spacing w:before="0" w:after="0"/>
        <w:rPr>
          <w:color w:val="000000" w:themeColor="text1"/>
          <w:szCs w:val="24"/>
        </w:rPr>
      </w:pPr>
      <w:r w:rsidRPr="000779C2">
        <w:rPr>
          <w:b/>
          <w:bCs/>
          <w:color w:val="000000" w:themeColor="text1"/>
          <w:szCs w:val="24"/>
        </w:rPr>
        <w:t>Equity ratio:</w:t>
      </w:r>
      <w:r w:rsidR="00C06865" w:rsidRPr="000779C2">
        <w:rPr>
          <w:color w:val="000000" w:themeColor="text1"/>
          <w:szCs w:val="24"/>
        </w:rPr>
        <w:t xml:space="preserve"> Meanwhile, the ‘Equity ratio’ grew from 31.3% in 2021 to 51.2% in 2025, enhancing the entire capital base of the company and decreasing the long-run financial risks. The increase demonstrates gradual strengthening of shareholders' capital relative to total assets, supporting greater long-term financial stability and reducing financial risk (</w:t>
      </w:r>
      <w:r w:rsidR="00CE3339" w:rsidRPr="000779C2">
        <w:rPr>
          <w:color w:val="000000" w:themeColor="text1"/>
          <w:szCs w:val="24"/>
        </w:rPr>
        <w:t>IHG Annual Report, 2025</w:t>
      </w:r>
      <w:r w:rsidR="00C06865" w:rsidRPr="000779C2">
        <w:rPr>
          <w:color w:val="000000" w:themeColor="text1"/>
          <w:szCs w:val="24"/>
        </w:rPr>
        <w:t xml:space="preserve">). </w:t>
      </w:r>
    </w:p>
    <w:p w14:paraId="2502FF7A" w14:textId="148A4DEA" w:rsidR="00BB2920" w:rsidRPr="000779C2" w:rsidRDefault="00BB2920" w:rsidP="0055632B">
      <w:pPr>
        <w:spacing w:before="0" w:after="0"/>
        <w:rPr>
          <w:color w:val="000000" w:themeColor="text1"/>
          <w:szCs w:val="24"/>
        </w:rPr>
      </w:pPr>
      <w:r w:rsidRPr="000779C2">
        <w:rPr>
          <w:b/>
          <w:bCs/>
          <w:color w:val="000000" w:themeColor="text1"/>
          <w:szCs w:val="24"/>
        </w:rPr>
        <w:t>Debt-to-capital ratio:</w:t>
      </w:r>
      <w:r w:rsidR="00C06865" w:rsidRPr="000779C2">
        <w:rPr>
          <w:color w:val="000000" w:themeColor="text1"/>
          <w:szCs w:val="24"/>
        </w:rPr>
        <w:t xml:space="preserve"> A declining debt-to-capital ratio from 0.023 (2021) to 0.010 (2025) suggests that IHG has maintained a prudent financing strategy by balancing internally generated funds with external borrowing, thereby improving financial flexibility. </w:t>
      </w:r>
    </w:p>
    <w:p w14:paraId="19F205C3" w14:textId="1447E949" w:rsidR="00171997" w:rsidRPr="000779C2" w:rsidRDefault="00171997" w:rsidP="0055632B">
      <w:pPr>
        <w:spacing w:before="0" w:after="0"/>
        <w:jc w:val="center"/>
        <w:rPr>
          <w:color w:val="000000" w:themeColor="text1"/>
          <w:szCs w:val="24"/>
        </w:rPr>
      </w:pPr>
      <w:r w:rsidRPr="000779C2">
        <w:rPr>
          <w:noProof/>
          <w:color w:val="000000" w:themeColor="text1"/>
        </w:rPr>
        <w:lastRenderedPageBreak/>
        <w:drawing>
          <wp:inline distT="0" distB="0" distL="0" distR="0" wp14:anchorId="25CD555C" wp14:editId="51507AF8">
            <wp:extent cx="4572000" cy="3005138"/>
            <wp:effectExtent l="0" t="0" r="0" b="5080"/>
            <wp:docPr id="827927521" name="Chart 1">
              <a:extLst xmlns:a="http://schemas.openxmlformats.org/drawingml/2006/main">
                <a:ext uri="{FF2B5EF4-FFF2-40B4-BE49-F238E27FC236}">
                  <a16:creationId xmlns:a16="http://schemas.microsoft.com/office/drawing/2014/main" id="{07756AAD-D096-3737-95ED-DFD8C442C4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3A8E81" w14:textId="6B82E89E" w:rsidR="001127AA" w:rsidRPr="000779C2" w:rsidRDefault="001127AA" w:rsidP="0055632B">
      <w:pPr>
        <w:spacing w:before="0" w:after="0"/>
        <w:jc w:val="center"/>
        <w:rPr>
          <w:b/>
          <w:bCs/>
          <w:color w:val="000000" w:themeColor="text1"/>
          <w:szCs w:val="24"/>
        </w:rPr>
      </w:pPr>
      <w:r w:rsidRPr="000779C2">
        <w:rPr>
          <w:b/>
          <w:bCs/>
          <w:color w:val="000000" w:themeColor="text1"/>
          <w:szCs w:val="24"/>
        </w:rPr>
        <w:t>Chart 4: Trends in Gearing Ratios</w:t>
      </w:r>
    </w:p>
    <w:p w14:paraId="3510A461" w14:textId="04E5BCDA" w:rsidR="001127AA" w:rsidRPr="000779C2" w:rsidRDefault="001127AA" w:rsidP="0055632B">
      <w:pPr>
        <w:spacing w:before="0" w:after="0"/>
        <w:jc w:val="center"/>
        <w:rPr>
          <w:color w:val="000000" w:themeColor="text1"/>
          <w:szCs w:val="24"/>
        </w:rPr>
      </w:pPr>
      <w:r w:rsidRPr="000779C2">
        <w:rPr>
          <w:color w:val="000000" w:themeColor="text1"/>
          <w:szCs w:val="24"/>
        </w:rPr>
        <w:t>(Source: Excel)</w:t>
      </w:r>
    </w:p>
    <w:p w14:paraId="00000022" w14:textId="7EF2E4D4" w:rsidR="009D019D" w:rsidRPr="000779C2" w:rsidRDefault="00BB2920" w:rsidP="0055632B">
      <w:pPr>
        <w:spacing w:before="0" w:after="0"/>
        <w:rPr>
          <w:b/>
          <w:bCs/>
          <w:color w:val="000000" w:themeColor="text1"/>
          <w:szCs w:val="24"/>
        </w:rPr>
      </w:pPr>
      <w:r w:rsidRPr="000779C2">
        <w:rPr>
          <w:b/>
          <w:bCs/>
          <w:color w:val="000000" w:themeColor="text1"/>
          <w:szCs w:val="24"/>
        </w:rPr>
        <w:t>D. Efficiency Ratios</w:t>
      </w:r>
    </w:p>
    <w:p w14:paraId="17B5CDFB" w14:textId="77777777" w:rsidR="00BB2920" w:rsidRPr="000779C2" w:rsidRDefault="00000000" w:rsidP="0055632B">
      <w:pPr>
        <w:spacing w:before="0" w:after="0"/>
        <w:rPr>
          <w:color w:val="000000" w:themeColor="text1"/>
          <w:szCs w:val="24"/>
        </w:rPr>
      </w:pPr>
      <w:r w:rsidRPr="000779C2">
        <w:rPr>
          <w:color w:val="000000" w:themeColor="text1"/>
          <w:szCs w:val="24"/>
        </w:rPr>
        <w:t xml:space="preserve">IHG achieved satisfactory utilisation of its operating resources, as observed by its efficiency ratios. </w:t>
      </w:r>
    </w:p>
    <w:p w14:paraId="2CCC5220" w14:textId="41166768" w:rsidR="00BB2920" w:rsidRPr="000779C2" w:rsidRDefault="00BB2920" w:rsidP="0055632B">
      <w:pPr>
        <w:spacing w:before="0" w:after="0"/>
        <w:rPr>
          <w:color w:val="000000" w:themeColor="text1"/>
          <w:szCs w:val="24"/>
        </w:rPr>
      </w:pPr>
      <w:r w:rsidRPr="000779C2">
        <w:rPr>
          <w:b/>
          <w:bCs/>
          <w:color w:val="000000" w:themeColor="text1"/>
          <w:szCs w:val="24"/>
        </w:rPr>
        <w:t>Inventory turnover:</w:t>
      </w:r>
      <w:r w:rsidRPr="000779C2">
        <w:rPr>
          <w:color w:val="000000" w:themeColor="text1"/>
          <w:szCs w:val="24"/>
        </w:rPr>
        <w:t xml:space="preserve"> The ‘Inventory turnover’ remained extremely high, </w:t>
      </w:r>
      <w:r w:rsidR="00C06865" w:rsidRPr="000779C2">
        <w:rPr>
          <w:color w:val="000000" w:themeColor="text1"/>
          <w:szCs w:val="24"/>
        </w:rPr>
        <w:t>as</w:t>
      </w:r>
      <w:r w:rsidRPr="000779C2">
        <w:rPr>
          <w:color w:val="000000" w:themeColor="text1"/>
          <w:szCs w:val="24"/>
        </w:rPr>
        <w:t xml:space="preserve"> </w:t>
      </w:r>
      <w:r w:rsidR="00C06865" w:rsidRPr="000779C2">
        <w:rPr>
          <w:color w:val="000000" w:themeColor="text1"/>
          <w:szCs w:val="24"/>
        </w:rPr>
        <w:t>hotels maintain limited inventories consisting mainly of food, beverages and operational supplies, resulting in rapid inventory utilisation</w:t>
      </w:r>
      <w:r w:rsidRPr="000779C2">
        <w:rPr>
          <w:color w:val="000000" w:themeColor="text1"/>
          <w:szCs w:val="24"/>
        </w:rPr>
        <w:t xml:space="preserve">. </w:t>
      </w:r>
    </w:p>
    <w:p w14:paraId="7E153A12" w14:textId="60F7378D" w:rsidR="00BB2920" w:rsidRPr="000779C2" w:rsidRDefault="00BB2920" w:rsidP="0055632B">
      <w:pPr>
        <w:spacing w:before="0" w:after="0"/>
        <w:rPr>
          <w:color w:val="000000" w:themeColor="text1"/>
          <w:szCs w:val="24"/>
        </w:rPr>
      </w:pPr>
      <w:r w:rsidRPr="000779C2">
        <w:rPr>
          <w:b/>
          <w:bCs/>
          <w:color w:val="000000" w:themeColor="text1"/>
          <w:szCs w:val="24"/>
        </w:rPr>
        <w:t>Receivable turnover:</w:t>
      </w:r>
      <w:r w:rsidRPr="000779C2">
        <w:rPr>
          <w:color w:val="000000" w:themeColor="text1"/>
          <w:szCs w:val="24"/>
        </w:rPr>
        <w:t xml:space="preserve"> As global travel demand rebounded, the ‘Receivables turnover’ improved from 5.06 to 6.23 times, which is an indicator of faster collection of outstanding amounts. </w:t>
      </w:r>
      <w:r w:rsidR="00C06865" w:rsidRPr="000779C2">
        <w:rPr>
          <w:color w:val="000000" w:themeColor="text1"/>
          <w:szCs w:val="24"/>
        </w:rPr>
        <w:t>The improvement also reflects stronger customer demand, enhanced digital payment systems and more effective credit management policies</w:t>
      </w:r>
      <w:r w:rsidR="00CE3339" w:rsidRPr="000779C2">
        <w:rPr>
          <w:color w:val="000000" w:themeColor="text1"/>
          <w:szCs w:val="24"/>
        </w:rPr>
        <w:t xml:space="preserve"> (IHG Annual Report, 2025)</w:t>
      </w:r>
      <w:r w:rsidR="00C06865" w:rsidRPr="000779C2">
        <w:rPr>
          <w:color w:val="000000" w:themeColor="text1"/>
          <w:szCs w:val="24"/>
        </w:rPr>
        <w:t>.</w:t>
      </w:r>
    </w:p>
    <w:p w14:paraId="00000023" w14:textId="170A141B" w:rsidR="009D019D" w:rsidRPr="000779C2" w:rsidRDefault="00BB2920" w:rsidP="0055632B">
      <w:pPr>
        <w:spacing w:before="0" w:after="0"/>
        <w:rPr>
          <w:color w:val="000000" w:themeColor="text1"/>
          <w:szCs w:val="24"/>
        </w:rPr>
      </w:pPr>
      <w:r w:rsidRPr="000779C2">
        <w:rPr>
          <w:b/>
          <w:bCs/>
          <w:color w:val="000000" w:themeColor="text1"/>
          <w:szCs w:val="24"/>
        </w:rPr>
        <w:t>Asset turnover:</w:t>
      </w:r>
      <w:r w:rsidRPr="000779C2">
        <w:rPr>
          <w:color w:val="000000" w:themeColor="text1"/>
          <w:szCs w:val="24"/>
        </w:rPr>
        <w:t xml:space="preserve"> Likewise, the ‘Total asset turnover’ improved from 0.62 to 0.97 times, reflecting greater efficiency in generating revenues from the various assets.</w:t>
      </w:r>
      <w:r w:rsidR="00C06865" w:rsidRPr="000779C2">
        <w:rPr>
          <w:color w:val="000000" w:themeColor="text1"/>
          <w:szCs w:val="24"/>
        </w:rPr>
        <w:t xml:space="preserve"> Higher asset turnover demonstrates that the company generated greater revenue from its existing asset base through increased occupancy, franchise growth and improved operational efficiency. </w:t>
      </w:r>
    </w:p>
    <w:p w14:paraId="20FE953C" w14:textId="70E5328B" w:rsidR="00FD21C0" w:rsidRPr="000779C2" w:rsidRDefault="00171997" w:rsidP="0055632B">
      <w:pPr>
        <w:spacing w:before="0" w:after="0"/>
        <w:jc w:val="center"/>
        <w:rPr>
          <w:color w:val="000000" w:themeColor="text1"/>
          <w:szCs w:val="24"/>
        </w:rPr>
      </w:pPr>
      <w:r w:rsidRPr="000779C2">
        <w:rPr>
          <w:noProof/>
          <w:color w:val="000000" w:themeColor="text1"/>
        </w:rPr>
        <w:lastRenderedPageBreak/>
        <w:drawing>
          <wp:inline distT="0" distB="0" distL="0" distR="0" wp14:anchorId="23D0F7CF" wp14:editId="22BF76AD">
            <wp:extent cx="4572000" cy="2743200"/>
            <wp:effectExtent l="0" t="0" r="0" b="0"/>
            <wp:docPr id="207856019" name="Chart 1">
              <a:extLst xmlns:a="http://schemas.openxmlformats.org/drawingml/2006/main">
                <a:ext uri="{FF2B5EF4-FFF2-40B4-BE49-F238E27FC236}">
                  <a16:creationId xmlns:a16="http://schemas.microsoft.com/office/drawing/2014/main" id="{22CEAEF9-C54A-A9C5-E83A-EAC7A1D428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DDEC0A" w14:textId="31E5CD75" w:rsidR="001127AA" w:rsidRPr="000779C2" w:rsidRDefault="001127AA" w:rsidP="00F77CAC">
      <w:pPr>
        <w:spacing w:before="0" w:after="0"/>
        <w:jc w:val="center"/>
        <w:rPr>
          <w:b/>
          <w:bCs/>
          <w:color w:val="000000" w:themeColor="text1"/>
          <w:szCs w:val="24"/>
        </w:rPr>
      </w:pPr>
      <w:r w:rsidRPr="000779C2">
        <w:rPr>
          <w:b/>
          <w:bCs/>
          <w:color w:val="000000" w:themeColor="text1"/>
          <w:szCs w:val="24"/>
        </w:rPr>
        <w:t>Chart 5: Trends in Efficiency Ratios</w:t>
      </w:r>
      <w:r w:rsidR="00F77CAC" w:rsidRPr="000779C2">
        <w:rPr>
          <w:b/>
          <w:bCs/>
          <w:color w:val="000000" w:themeColor="text1"/>
          <w:szCs w:val="24"/>
        </w:rPr>
        <w:t xml:space="preserve"> </w:t>
      </w:r>
      <w:r w:rsidRPr="000779C2">
        <w:rPr>
          <w:color w:val="000000" w:themeColor="text1"/>
          <w:szCs w:val="24"/>
        </w:rPr>
        <w:t>(Source: Excel)</w:t>
      </w:r>
    </w:p>
    <w:p w14:paraId="00000024" w14:textId="5CA2F5D4" w:rsidR="009D019D" w:rsidRPr="000779C2" w:rsidRDefault="00BB2920" w:rsidP="0055632B">
      <w:pPr>
        <w:spacing w:before="0" w:after="0"/>
        <w:rPr>
          <w:b/>
          <w:bCs/>
          <w:color w:val="000000" w:themeColor="text1"/>
          <w:szCs w:val="24"/>
        </w:rPr>
      </w:pPr>
      <w:r w:rsidRPr="000779C2">
        <w:rPr>
          <w:b/>
          <w:bCs/>
          <w:color w:val="000000" w:themeColor="text1"/>
          <w:szCs w:val="24"/>
        </w:rPr>
        <w:t>E. Investment Ratios</w:t>
      </w:r>
    </w:p>
    <w:p w14:paraId="743971B9" w14:textId="77777777" w:rsidR="00BB2920" w:rsidRPr="000779C2" w:rsidRDefault="00000000" w:rsidP="0055632B">
      <w:pPr>
        <w:spacing w:before="0" w:after="0"/>
        <w:rPr>
          <w:color w:val="000000" w:themeColor="text1"/>
          <w:szCs w:val="24"/>
        </w:rPr>
      </w:pPr>
      <w:r w:rsidRPr="000779C2">
        <w:rPr>
          <w:color w:val="000000" w:themeColor="text1"/>
          <w:szCs w:val="24"/>
        </w:rPr>
        <w:t xml:space="preserve">The investment ratios reflected an upward trend in shareholder value. </w:t>
      </w:r>
    </w:p>
    <w:p w14:paraId="7A0D91D8" w14:textId="0A30AC50" w:rsidR="00BB2920" w:rsidRPr="000779C2" w:rsidRDefault="00BB2920" w:rsidP="0055632B">
      <w:pPr>
        <w:spacing w:before="0" w:after="0"/>
        <w:rPr>
          <w:color w:val="000000" w:themeColor="text1"/>
          <w:szCs w:val="24"/>
        </w:rPr>
      </w:pPr>
      <w:r w:rsidRPr="000779C2">
        <w:rPr>
          <w:b/>
          <w:bCs/>
          <w:color w:val="000000" w:themeColor="text1"/>
          <w:szCs w:val="24"/>
        </w:rPr>
        <w:t>EPS and DPS:</w:t>
      </w:r>
      <w:r w:rsidRPr="000779C2">
        <w:rPr>
          <w:color w:val="000000" w:themeColor="text1"/>
          <w:szCs w:val="24"/>
        </w:rPr>
        <w:t xml:space="preserve"> EPS rose by more than 3X to reach 490.9 cents in 2025, while ‘Dividend per share’ grew steadily through the period. </w:t>
      </w:r>
      <w:r w:rsidR="00C06865" w:rsidRPr="000779C2">
        <w:rPr>
          <w:color w:val="000000" w:themeColor="text1"/>
          <w:szCs w:val="24"/>
        </w:rPr>
        <w:t xml:space="preserve">The substantial growth in EPS reflects higher net earnings following the recovery of global hotel demand, while the steady increase in dividends demonstrates management's confidence in the sustainability of future cash flows and profitability. </w:t>
      </w:r>
    </w:p>
    <w:p w14:paraId="00000025" w14:textId="4C8DE464" w:rsidR="009D019D" w:rsidRPr="000779C2" w:rsidRDefault="00BB2920" w:rsidP="0055632B">
      <w:pPr>
        <w:spacing w:before="0" w:after="0"/>
        <w:rPr>
          <w:color w:val="000000" w:themeColor="text1"/>
          <w:szCs w:val="24"/>
        </w:rPr>
      </w:pPr>
      <w:r w:rsidRPr="000779C2">
        <w:rPr>
          <w:b/>
          <w:bCs/>
          <w:color w:val="000000" w:themeColor="text1"/>
          <w:szCs w:val="24"/>
        </w:rPr>
        <w:t>DPR and Dividend cover:</w:t>
      </w:r>
      <w:r w:rsidRPr="000779C2">
        <w:rPr>
          <w:color w:val="000000" w:themeColor="text1"/>
          <w:szCs w:val="24"/>
        </w:rPr>
        <w:t xml:space="preserve"> Concurrently, the ‘Dividend payout ratio’ decreased from 59.08% to 37.58%, thereby strengthening the ‘Dividend cover’ to 2.66 times, which offers more flexibility for reinvestment and sustainable dividend growth.</w:t>
      </w:r>
      <w:r w:rsidR="00C06865" w:rsidRPr="000779C2">
        <w:rPr>
          <w:color w:val="000000" w:themeColor="text1"/>
          <w:szCs w:val="24"/>
        </w:rPr>
        <w:t xml:space="preserve"> The declining payout ratio together with stronger dividend cover indicates that a larger proportion of earnings has been retained to finance future expansion and strengthen long-term financial resilience. </w:t>
      </w:r>
    </w:p>
    <w:p w14:paraId="3FF53676" w14:textId="6547B0F0" w:rsidR="00F77CAC" w:rsidRPr="000779C2" w:rsidRDefault="00171997" w:rsidP="00F77CAC">
      <w:pPr>
        <w:spacing w:before="0" w:after="0"/>
        <w:jc w:val="center"/>
        <w:rPr>
          <w:color w:val="000000" w:themeColor="text1"/>
          <w:szCs w:val="24"/>
        </w:rPr>
      </w:pPr>
      <w:r w:rsidRPr="000779C2">
        <w:rPr>
          <w:noProof/>
          <w:color w:val="000000" w:themeColor="text1"/>
        </w:rPr>
        <w:lastRenderedPageBreak/>
        <w:drawing>
          <wp:inline distT="0" distB="0" distL="0" distR="0" wp14:anchorId="3A08785B" wp14:editId="4866AA02">
            <wp:extent cx="4572000" cy="2743200"/>
            <wp:effectExtent l="0" t="0" r="0" b="0"/>
            <wp:docPr id="1960945286" name="Chart 1">
              <a:extLst xmlns:a="http://schemas.openxmlformats.org/drawingml/2006/main">
                <a:ext uri="{FF2B5EF4-FFF2-40B4-BE49-F238E27FC236}">
                  <a16:creationId xmlns:a16="http://schemas.microsoft.com/office/drawing/2014/main" id="{1B184996-E72E-F67A-F613-2723A1A26F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70D734" w14:textId="1CCB4BF9" w:rsidR="00171997" w:rsidRPr="000779C2" w:rsidRDefault="00171997" w:rsidP="0055632B">
      <w:pPr>
        <w:spacing w:before="0" w:after="0"/>
        <w:jc w:val="center"/>
        <w:rPr>
          <w:color w:val="000000" w:themeColor="text1"/>
          <w:szCs w:val="24"/>
        </w:rPr>
      </w:pPr>
      <w:r w:rsidRPr="000779C2">
        <w:rPr>
          <w:noProof/>
          <w:color w:val="000000" w:themeColor="text1"/>
        </w:rPr>
        <w:drawing>
          <wp:inline distT="0" distB="0" distL="0" distR="0" wp14:anchorId="3E2E5D75" wp14:editId="5C6E617B">
            <wp:extent cx="4572000" cy="2743200"/>
            <wp:effectExtent l="0" t="0" r="0" b="9525"/>
            <wp:docPr id="2107472780" name="Chart 1">
              <a:extLst xmlns:a="http://schemas.openxmlformats.org/drawingml/2006/main">
                <a:ext uri="{FF2B5EF4-FFF2-40B4-BE49-F238E27FC236}">
                  <a16:creationId xmlns:a16="http://schemas.microsoft.com/office/drawing/2014/main" id="{CED8330E-34F7-3A64-DB60-E570E4734D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8544F41" w14:textId="5AF8BFB8" w:rsidR="001127AA" w:rsidRPr="000779C2" w:rsidRDefault="001127AA" w:rsidP="0055632B">
      <w:pPr>
        <w:spacing w:before="0" w:after="0"/>
        <w:jc w:val="center"/>
        <w:rPr>
          <w:b/>
          <w:bCs/>
          <w:color w:val="000000" w:themeColor="text1"/>
          <w:szCs w:val="24"/>
        </w:rPr>
      </w:pPr>
      <w:r w:rsidRPr="000779C2">
        <w:rPr>
          <w:b/>
          <w:bCs/>
          <w:color w:val="000000" w:themeColor="text1"/>
          <w:szCs w:val="24"/>
        </w:rPr>
        <w:t>Chart 6: Trends in Investment Ratios</w:t>
      </w:r>
    </w:p>
    <w:p w14:paraId="73EFA794" w14:textId="1A9A413B" w:rsidR="001127AA" w:rsidRPr="000779C2" w:rsidRDefault="001127AA" w:rsidP="0055632B">
      <w:pPr>
        <w:spacing w:before="0" w:after="0"/>
        <w:jc w:val="center"/>
        <w:rPr>
          <w:color w:val="000000" w:themeColor="text1"/>
          <w:szCs w:val="24"/>
        </w:rPr>
      </w:pPr>
      <w:r w:rsidRPr="000779C2">
        <w:rPr>
          <w:color w:val="000000" w:themeColor="text1"/>
          <w:szCs w:val="24"/>
        </w:rPr>
        <w:t>(Source: Excel)</w:t>
      </w:r>
    </w:p>
    <w:p w14:paraId="00000026" w14:textId="0FA9BF73" w:rsidR="009D019D" w:rsidRPr="000779C2" w:rsidRDefault="00BB2920" w:rsidP="0055632B">
      <w:pPr>
        <w:spacing w:before="0" w:after="0"/>
        <w:rPr>
          <w:b/>
          <w:bCs/>
          <w:color w:val="000000" w:themeColor="text1"/>
          <w:szCs w:val="24"/>
        </w:rPr>
      </w:pPr>
      <w:r w:rsidRPr="000779C2">
        <w:rPr>
          <w:b/>
          <w:bCs/>
          <w:color w:val="000000" w:themeColor="text1"/>
          <w:szCs w:val="24"/>
        </w:rPr>
        <w:t>F. Cash Flow Ratios</w:t>
      </w:r>
    </w:p>
    <w:p w14:paraId="1F662FA8" w14:textId="77777777" w:rsidR="00D808E0" w:rsidRPr="000779C2" w:rsidRDefault="00AB5EF7" w:rsidP="0055632B">
      <w:pPr>
        <w:spacing w:before="0" w:after="0"/>
        <w:rPr>
          <w:color w:val="000000" w:themeColor="text1"/>
          <w:szCs w:val="24"/>
        </w:rPr>
      </w:pPr>
      <w:r w:rsidRPr="000779C2">
        <w:rPr>
          <w:color w:val="000000" w:themeColor="text1"/>
          <w:szCs w:val="24"/>
        </w:rPr>
        <w:t xml:space="preserve">Finally, cash flow ratios suggested a steady cash generation given the fluctuation in trading conditions. </w:t>
      </w:r>
    </w:p>
    <w:p w14:paraId="0EA11883" w14:textId="5131E77E" w:rsidR="00D808E0" w:rsidRPr="000779C2" w:rsidRDefault="00D808E0" w:rsidP="0055632B">
      <w:pPr>
        <w:spacing w:before="0" w:after="0"/>
        <w:rPr>
          <w:color w:val="000000" w:themeColor="text1"/>
          <w:szCs w:val="24"/>
        </w:rPr>
      </w:pPr>
      <w:r w:rsidRPr="000779C2">
        <w:rPr>
          <w:b/>
          <w:bCs/>
          <w:color w:val="000000" w:themeColor="text1"/>
          <w:szCs w:val="24"/>
        </w:rPr>
        <w:t>OCF ratio and CF margin:</w:t>
      </w:r>
      <w:r w:rsidRPr="000779C2">
        <w:rPr>
          <w:color w:val="000000" w:themeColor="text1"/>
          <w:szCs w:val="24"/>
        </w:rPr>
        <w:t xml:space="preserve"> </w:t>
      </w:r>
      <w:r w:rsidR="00AB5EF7" w:rsidRPr="000779C2">
        <w:rPr>
          <w:color w:val="000000" w:themeColor="text1"/>
          <w:szCs w:val="24"/>
        </w:rPr>
        <w:t>The profitability indices ‘Operating cash flow ratio' and ‘Cash flow margin' were relatively constant between 2024 (0.38) and 2025 (0.43</w:t>
      </w:r>
      <w:proofErr w:type="gramStart"/>
      <w:r w:rsidR="00AB5EF7" w:rsidRPr="000779C2">
        <w:rPr>
          <w:color w:val="000000" w:themeColor="text1"/>
          <w:szCs w:val="24"/>
        </w:rPr>
        <w:t>), and</w:t>
      </w:r>
      <w:proofErr w:type="gramEnd"/>
      <w:r w:rsidR="00AB5EF7" w:rsidRPr="000779C2">
        <w:rPr>
          <w:color w:val="000000" w:themeColor="text1"/>
          <w:szCs w:val="24"/>
        </w:rPr>
        <w:t xml:space="preserve"> maintained a relatively high value in 2025 (17.31%). </w:t>
      </w:r>
      <w:r w:rsidR="00524BEC" w:rsidRPr="000779C2">
        <w:rPr>
          <w:color w:val="000000" w:themeColor="text1"/>
          <w:szCs w:val="24"/>
        </w:rPr>
        <w:t xml:space="preserve">The stability of these ratios reflects IHG's consistent ability to convert operating profits into cash despite fluctuations in economic conditions. </w:t>
      </w:r>
    </w:p>
    <w:p w14:paraId="00000027" w14:textId="34C7A8E0" w:rsidR="009D019D" w:rsidRPr="000779C2" w:rsidRDefault="00D808E0" w:rsidP="0055632B">
      <w:pPr>
        <w:spacing w:before="0" w:after="0"/>
        <w:rPr>
          <w:color w:val="000000" w:themeColor="text1"/>
          <w:szCs w:val="24"/>
        </w:rPr>
      </w:pPr>
      <w:r w:rsidRPr="000779C2">
        <w:rPr>
          <w:b/>
          <w:bCs/>
          <w:color w:val="000000" w:themeColor="text1"/>
          <w:szCs w:val="24"/>
        </w:rPr>
        <w:t>Operating cash flow to total liabilities:</w:t>
      </w:r>
      <w:r w:rsidRPr="000779C2">
        <w:rPr>
          <w:color w:val="000000" w:themeColor="text1"/>
          <w:szCs w:val="24"/>
        </w:rPr>
        <w:t xml:space="preserve"> </w:t>
      </w:r>
      <w:r w:rsidR="00AB5EF7" w:rsidRPr="000779C2">
        <w:rPr>
          <w:color w:val="000000" w:themeColor="text1"/>
          <w:szCs w:val="24"/>
        </w:rPr>
        <w:t xml:space="preserve">The ratio of the ‘Operating cash flow to total liabilities’ has been modest which indicates that IHG's operating cash flow can support </w:t>
      </w:r>
      <w:r w:rsidR="00AB5EF7" w:rsidRPr="000779C2">
        <w:rPr>
          <w:color w:val="000000" w:themeColor="text1"/>
          <w:szCs w:val="24"/>
        </w:rPr>
        <w:lastRenderedPageBreak/>
        <w:t>the company, meet financial obligations and support future investment.</w:t>
      </w:r>
      <w:r w:rsidR="00524BEC" w:rsidRPr="000779C2">
        <w:rPr>
          <w:color w:val="000000" w:themeColor="text1"/>
          <w:szCs w:val="24"/>
        </w:rPr>
        <w:t xml:space="preserve"> Although the ratio remained relatively modest, the improvement over time indicates that growing operating cash flows have strengthened the company's capacity to service liabilities. </w:t>
      </w:r>
    </w:p>
    <w:p w14:paraId="35843F35" w14:textId="657790AB" w:rsidR="00171997" w:rsidRPr="000779C2" w:rsidRDefault="00171997" w:rsidP="0055632B">
      <w:pPr>
        <w:spacing w:before="0" w:after="0"/>
        <w:jc w:val="center"/>
        <w:rPr>
          <w:color w:val="000000" w:themeColor="text1"/>
          <w:szCs w:val="24"/>
        </w:rPr>
      </w:pPr>
      <w:r w:rsidRPr="000779C2">
        <w:rPr>
          <w:noProof/>
          <w:color w:val="000000" w:themeColor="text1"/>
        </w:rPr>
        <w:drawing>
          <wp:inline distT="0" distB="0" distL="0" distR="0" wp14:anchorId="36F5DF64" wp14:editId="1187CF0E">
            <wp:extent cx="4572000" cy="2743200"/>
            <wp:effectExtent l="0" t="0" r="0" b="0"/>
            <wp:docPr id="978989186" name="Chart 1">
              <a:extLst xmlns:a="http://schemas.openxmlformats.org/drawingml/2006/main">
                <a:ext uri="{FF2B5EF4-FFF2-40B4-BE49-F238E27FC236}">
                  <a16:creationId xmlns:a16="http://schemas.microsoft.com/office/drawing/2014/main" id="{2B4693CE-72D7-7111-7A05-86424FEED3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93E905" w14:textId="68FC9962" w:rsidR="001127AA" w:rsidRPr="000779C2" w:rsidRDefault="001127AA" w:rsidP="0055632B">
      <w:pPr>
        <w:spacing w:before="0" w:after="0"/>
        <w:jc w:val="center"/>
        <w:rPr>
          <w:b/>
          <w:bCs/>
          <w:color w:val="000000" w:themeColor="text1"/>
          <w:szCs w:val="24"/>
        </w:rPr>
      </w:pPr>
      <w:r w:rsidRPr="000779C2">
        <w:rPr>
          <w:b/>
          <w:bCs/>
          <w:color w:val="000000" w:themeColor="text1"/>
          <w:szCs w:val="24"/>
        </w:rPr>
        <w:t>Chart 7: Trends in Cash Flow Ratios</w:t>
      </w:r>
    </w:p>
    <w:p w14:paraId="04472338" w14:textId="7FF3C24E" w:rsidR="001127AA" w:rsidRPr="000779C2" w:rsidRDefault="001127AA" w:rsidP="0055632B">
      <w:pPr>
        <w:spacing w:before="0" w:after="0"/>
        <w:jc w:val="center"/>
        <w:rPr>
          <w:color w:val="000000" w:themeColor="text1"/>
          <w:szCs w:val="24"/>
        </w:rPr>
      </w:pPr>
      <w:r w:rsidRPr="000779C2">
        <w:rPr>
          <w:color w:val="000000" w:themeColor="text1"/>
          <w:szCs w:val="24"/>
        </w:rPr>
        <w:t>(Source: Excel)</w:t>
      </w:r>
    </w:p>
    <w:p w14:paraId="00000028" w14:textId="77777777" w:rsidR="009D019D" w:rsidRPr="000779C2" w:rsidRDefault="00000000" w:rsidP="0055632B">
      <w:pPr>
        <w:pStyle w:val="Heading2"/>
        <w:spacing w:before="0" w:after="0"/>
        <w:rPr>
          <w:color w:val="000000" w:themeColor="text1"/>
        </w:rPr>
      </w:pPr>
      <w:bookmarkStart w:id="5" w:name="_Toc235615306"/>
      <w:r w:rsidRPr="000779C2">
        <w:rPr>
          <w:color w:val="000000" w:themeColor="text1"/>
        </w:rPr>
        <w:t>1.4 Trend Analysis: Strengths and Threats</w:t>
      </w:r>
      <w:bookmarkEnd w:id="5"/>
    </w:p>
    <w:p w14:paraId="00000029" w14:textId="31BA4B5F" w:rsidR="009D019D" w:rsidRPr="000779C2" w:rsidRDefault="00AB5EF7" w:rsidP="0055632B">
      <w:pPr>
        <w:spacing w:before="0" w:after="0"/>
        <w:rPr>
          <w:color w:val="000000" w:themeColor="text1"/>
          <w:szCs w:val="24"/>
        </w:rPr>
      </w:pPr>
      <w:r w:rsidRPr="000779C2">
        <w:rPr>
          <w:color w:val="000000" w:themeColor="text1"/>
          <w:szCs w:val="24"/>
        </w:rPr>
        <w:t xml:space="preserve">The five-year comparison highlights strong financial recovery over at IHG and continued growth in financial strength post-pandemic. Strengths of the company have been aligned with consistent growth in revenue, operating profit, and net profit, mainly caused by rising global travel demand, successful scaling up of its asset-light model, and cost management. The growth in the profit margin, measured through return on assets, return on equity and return on earnings per share, also represents an increase in profitability and value to shareholders. The asset utilisation has also risen, together with faster collection of receivables, which contributes to operational efficiency, while stable operating cash flows have also given financial flexibility for future investment opportunities. </w:t>
      </w:r>
    </w:p>
    <w:p w14:paraId="4C4D0286" w14:textId="7E704BA3" w:rsidR="00AB5EF7" w:rsidRPr="000779C2" w:rsidRDefault="00000000" w:rsidP="0055632B">
      <w:pPr>
        <w:spacing w:before="0" w:after="0"/>
        <w:rPr>
          <w:color w:val="000000" w:themeColor="text1"/>
          <w:szCs w:val="24"/>
        </w:rPr>
      </w:pPr>
      <w:proofErr w:type="gramStart"/>
      <w:r w:rsidRPr="000779C2">
        <w:rPr>
          <w:color w:val="000000" w:themeColor="text1"/>
          <w:szCs w:val="24"/>
        </w:rPr>
        <w:t>In spite of</w:t>
      </w:r>
      <w:proofErr w:type="gramEnd"/>
      <w:r w:rsidRPr="000779C2">
        <w:rPr>
          <w:color w:val="000000" w:themeColor="text1"/>
          <w:szCs w:val="24"/>
        </w:rPr>
        <w:t xml:space="preserve"> this positive progress, there are several financial risks. Liquidity ratios have been slightly below the conventional 1.0 for both current and quick ratios, in a gradual way over the review period, which means limited short-term liquidity buffers. Furthermore, IHG's total liabilities have risen alongside its consistent expansion strategy, posing more vulnerability to financing risk than the expected conservative debt position. On the other hand, external factors such as inflation, commodity price increases, and currency fluctuations, as well as geopolitical factors, can also constrain </w:t>
      </w:r>
      <w:r w:rsidRPr="000779C2">
        <w:rPr>
          <w:color w:val="000000" w:themeColor="text1"/>
          <w:szCs w:val="24"/>
        </w:rPr>
        <w:lastRenderedPageBreak/>
        <w:t xml:space="preserve">profits and consumer demand (Soni </w:t>
      </w:r>
      <w:r w:rsidR="00462977" w:rsidRPr="000779C2">
        <w:rPr>
          <w:i/>
          <w:iCs/>
          <w:color w:val="000000" w:themeColor="text1"/>
          <w:szCs w:val="24"/>
        </w:rPr>
        <w:t>et al.</w:t>
      </w:r>
      <w:r w:rsidRPr="000779C2">
        <w:rPr>
          <w:i/>
          <w:iCs/>
          <w:color w:val="000000" w:themeColor="text1"/>
          <w:szCs w:val="24"/>
        </w:rPr>
        <w:t xml:space="preserve"> </w:t>
      </w:r>
      <w:r w:rsidRPr="000779C2">
        <w:rPr>
          <w:color w:val="000000" w:themeColor="text1"/>
          <w:szCs w:val="24"/>
        </w:rPr>
        <w:t>2022). Therefore, effective management of working capital and strategic allocation of capital will continue to be crucial to ensure long-term financial resiliency.</w:t>
      </w:r>
    </w:p>
    <w:p w14:paraId="0000002B" w14:textId="77777777" w:rsidR="009D019D" w:rsidRPr="000779C2" w:rsidRDefault="00000000" w:rsidP="0055632B">
      <w:pPr>
        <w:pStyle w:val="Heading2"/>
        <w:spacing w:before="0" w:after="0"/>
        <w:rPr>
          <w:color w:val="000000" w:themeColor="text1"/>
        </w:rPr>
      </w:pPr>
      <w:bookmarkStart w:id="6" w:name="_Toc235615307"/>
      <w:r w:rsidRPr="000779C2">
        <w:rPr>
          <w:color w:val="000000" w:themeColor="text1"/>
        </w:rPr>
        <w:t>1.5 Liquidity Benchmarking Against Industry</w:t>
      </w:r>
      <w:bookmarkEnd w:id="6"/>
    </w:p>
    <w:p w14:paraId="0000002C" w14:textId="77777777" w:rsidR="009D019D" w:rsidRPr="000779C2" w:rsidRDefault="00000000" w:rsidP="0055632B">
      <w:pPr>
        <w:spacing w:before="0" w:after="0"/>
        <w:rPr>
          <w:color w:val="000000" w:themeColor="text1"/>
          <w:szCs w:val="24"/>
        </w:rPr>
      </w:pPr>
      <w:r w:rsidRPr="000779C2">
        <w:rPr>
          <w:color w:val="000000" w:themeColor="text1"/>
          <w:szCs w:val="24"/>
        </w:rPr>
        <w:t xml:space="preserve">IHG's liquidity position is comprehensively intertwined with the asset-light business of the hospitality sector, although it remains lower than the accepted standards. The company's CR in 2025 was 0.98, with its QR at 0.97, compared to the average industry standards of 1.0-1.2 for the CR and 0.8-1.0 for the QR among major international hotel operators. IHG has a slightly lower current ratio than the industry, but it is </w:t>
      </w:r>
      <w:proofErr w:type="gramStart"/>
      <w:r w:rsidRPr="000779C2">
        <w:rPr>
          <w:color w:val="000000" w:themeColor="text1"/>
          <w:szCs w:val="24"/>
        </w:rPr>
        <w:t>similar to</w:t>
      </w:r>
      <w:proofErr w:type="gramEnd"/>
      <w:r w:rsidRPr="000779C2">
        <w:rPr>
          <w:color w:val="000000" w:themeColor="text1"/>
          <w:szCs w:val="24"/>
        </w:rPr>
        <w:t xml:space="preserve"> the sector average, with hotel businesses having relatively low inventory needs. In addition, the company has seen steady operating cash flows, as well as a positive revenue model based on a franchise, which minimises holdings of large amounts of working capital. Overall, IHG has better liquidity than major industry competitors, but its performance remains financially sustainable and is backed by working capital and cash creation rather than excessive reserves.</w:t>
      </w:r>
    </w:p>
    <w:p w14:paraId="0000002D" w14:textId="77777777" w:rsidR="009D019D" w:rsidRPr="000779C2" w:rsidRDefault="00000000" w:rsidP="0055632B">
      <w:pPr>
        <w:pStyle w:val="Heading1"/>
        <w:spacing w:before="0" w:after="0"/>
        <w:rPr>
          <w:color w:val="000000" w:themeColor="text1"/>
        </w:rPr>
      </w:pPr>
      <w:bookmarkStart w:id="7" w:name="_Toc235615308"/>
      <w:r w:rsidRPr="000779C2">
        <w:rPr>
          <w:color w:val="000000" w:themeColor="text1"/>
        </w:rPr>
        <w:t>2. Working Capital Management Analysis</w:t>
      </w:r>
      <w:bookmarkEnd w:id="7"/>
    </w:p>
    <w:p w14:paraId="0000002E" w14:textId="77777777" w:rsidR="009D019D" w:rsidRPr="000779C2" w:rsidRDefault="00000000" w:rsidP="0055632B">
      <w:pPr>
        <w:pStyle w:val="Heading2"/>
        <w:spacing w:before="0" w:after="0"/>
        <w:rPr>
          <w:color w:val="000000" w:themeColor="text1"/>
        </w:rPr>
      </w:pPr>
      <w:bookmarkStart w:id="8" w:name="_Toc235615309"/>
      <w:r w:rsidRPr="000779C2">
        <w:rPr>
          <w:color w:val="000000" w:themeColor="text1"/>
        </w:rPr>
        <w:t>2.1 Introduction</w:t>
      </w:r>
      <w:bookmarkEnd w:id="8"/>
    </w:p>
    <w:p w14:paraId="21C63987" w14:textId="29C3674E" w:rsidR="00B4669A" w:rsidRPr="000779C2" w:rsidRDefault="00B4669A" w:rsidP="0055632B">
      <w:pPr>
        <w:spacing w:before="0" w:after="0"/>
        <w:rPr>
          <w:color w:val="000000" w:themeColor="text1"/>
          <w:szCs w:val="24"/>
        </w:rPr>
      </w:pPr>
      <w:r w:rsidRPr="000779C2">
        <w:rPr>
          <w:color w:val="000000" w:themeColor="text1"/>
          <w:szCs w:val="24"/>
        </w:rPr>
        <w:t>Effective working capital management allows organisations to maintain short-term financial health, operational efficiency, and liquidity. It mainly focuses on efficient maintaining of current assets and liabilities so that sufficient cash remains available for business functions (</w:t>
      </w:r>
      <w:proofErr w:type="spellStart"/>
      <w:r w:rsidRPr="000779C2">
        <w:rPr>
          <w:color w:val="000000" w:themeColor="text1"/>
          <w:szCs w:val="24"/>
        </w:rPr>
        <w:t>Tarighi</w:t>
      </w:r>
      <w:proofErr w:type="spellEnd"/>
      <w:r w:rsidRPr="000779C2">
        <w:rPr>
          <w:color w:val="000000" w:themeColor="text1"/>
          <w:szCs w:val="24"/>
        </w:rPr>
        <w:t xml:space="preserve"> </w:t>
      </w:r>
      <w:r w:rsidR="00462977" w:rsidRPr="000779C2">
        <w:rPr>
          <w:i/>
          <w:iCs/>
          <w:color w:val="000000" w:themeColor="text1"/>
          <w:szCs w:val="24"/>
        </w:rPr>
        <w:t>et al.</w:t>
      </w:r>
      <w:r w:rsidRPr="000779C2">
        <w:rPr>
          <w:color w:val="000000" w:themeColor="text1"/>
          <w:szCs w:val="24"/>
        </w:rPr>
        <w:t xml:space="preserve"> 2024). For hospitality companies such as IHG, efficient WCM is important due to the continuous flow of customer transactions, supplier payments, and franchise-related cash inflows.</w:t>
      </w:r>
    </w:p>
    <w:p w14:paraId="00000030" w14:textId="54F3A322" w:rsidR="009D019D" w:rsidRPr="000779C2" w:rsidRDefault="00000000" w:rsidP="0055632B">
      <w:pPr>
        <w:pStyle w:val="Heading2"/>
        <w:spacing w:before="0" w:after="0"/>
        <w:rPr>
          <w:color w:val="000000" w:themeColor="text1"/>
          <w:szCs w:val="24"/>
        </w:rPr>
      </w:pPr>
      <w:bookmarkStart w:id="9" w:name="_Toc235615310"/>
      <w:r w:rsidRPr="000779C2">
        <w:rPr>
          <w:color w:val="000000" w:themeColor="text1"/>
        </w:rPr>
        <w:t>2.2 Cash Operating Cycle Assessment</w:t>
      </w:r>
      <w:bookmarkEnd w:id="9"/>
    </w:p>
    <w:p w14:paraId="00000031" w14:textId="7B754D99" w:rsidR="009D019D" w:rsidRPr="000779C2" w:rsidRDefault="00000000" w:rsidP="0055632B">
      <w:pPr>
        <w:spacing w:before="0" w:after="0"/>
        <w:rPr>
          <w:color w:val="000000" w:themeColor="text1"/>
          <w:szCs w:val="24"/>
        </w:rPr>
      </w:pPr>
      <w:r w:rsidRPr="000779C2">
        <w:rPr>
          <w:color w:val="000000" w:themeColor="text1"/>
          <w:szCs w:val="24"/>
        </w:rPr>
        <w:t>The cash operating cycle (cash conversion cycle) refers to the measures of time taken by a company to convert cash for operations and then receive cash from the customers (</w:t>
      </w:r>
      <w:proofErr w:type="spellStart"/>
      <w:r w:rsidRPr="000779C2">
        <w:rPr>
          <w:color w:val="000000" w:themeColor="text1"/>
          <w:szCs w:val="24"/>
        </w:rPr>
        <w:t>Fardous</w:t>
      </w:r>
      <w:proofErr w:type="spellEnd"/>
      <w:r w:rsidRPr="000779C2">
        <w:rPr>
          <w:color w:val="000000" w:themeColor="text1"/>
          <w:szCs w:val="24"/>
        </w:rPr>
        <w:t>, 2025)</w:t>
      </w:r>
      <w:r w:rsidR="00935836" w:rsidRPr="000779C2">
        <w:rPr>
          <w:color w:val="000000" w:themeColor="text1"/>
          <w:szCs w:val="24"/>
        </w:rPr>
        <w:t xml:space="preserve"> </w:t>
      </w:r>
      <w:r w:rsidR="00935836" w:rsidRPr="000779C2">
        <w:rPr>
          <w:i/>
          <w:iCs/>
          <w:color w:val="000000" w:themeColor="text1"/>
          <w:szCs w:val="24"/>
        </w:rPr>
        <w:t>[Referred to Appendix 2]</w:t>
      </w:r>
      <w:r w:rsidRPr="000779C2">
        <w:rPr>
          <w:color w:val="000000" w:themeColor="text1"/>
          <w:szCs w:val="24"/>
        </w:rPr>
        <w:t xml:space="preserve">. It is often estimated by adding ‘Days Inventory Outstanding (DIO)’ and ‘Days Sales Outstanding (DSO)’ and subtracting ‘Days Payable Outstanding (DPO)’ as it indicates a business's average collection period. Since IHG's hospitality business is asset-light, inventory is a minor portion of the current assets held, and consequently, the periods of inventory holding are relatively insignificant compared to the management of receivables and payables. The working capital ratios suggest that IHG has been able to control its operating cycle </w:t>
      </w:r>
      <w:r w:rsidRPr="000779C2">
        <w:rPr>
          <w:color w:val="000000" w:themeColor="text1"/>
          <w:szCs w:val="24"/>
        </w:rPr>
        <w:lastRenderedPageBreak/>
        <w:t xml:space="preserve">effectively over the past 5 years. The reduction in the ‘Days Sales Outstanding (DSO)’ from 72.07 days to 58.59 days determined the results of improving ‘Receivables Turnover’ from 5.06 times (2021) to 6.23 times (2025). The improvement indicates a tightening of the credit management policies and hastening of the collection of overdue debtors to improve cash inflows and reduce capital included in working capital (Fauziah </w:t>
      </w:r>
      <w:r w:rsidR="00462977" w:rsidRPr="000779C2">
        <w:rPr>
          <w:i/>
          <w:iCs/>
          <w:color w:val="000000" w:themeColor="text1"/>
          <w:szCs w:val="24"/>
        </w:rPr>
        <w:t>et al.</w:t>
      </w:r>
      <w:r w:rsidRPr="000779C2">
        <w:rPr>
          <w:color w:val="000000" w:themeColor="text1"/>
          <w:szCs w:val="24"/>
        </w:rPr>
        <w:t xml:space="preserve"> 2025). The company's inventory turnover was also very high in the review period, fluctuating between 121.5 and 186.25 times a year. This high turnover is common as per activities in the hospitality sector, which maintains limited stock of food and drinks as operational storage is restocked regularly. As a result, inventory is not viewed as a critical liquidity or operating efficiency constraint for IHG. </w:t>
      </w:r>
    </w:p>
    <w:p w14:paraId="22F1BEAB" w14:textId="78CA7DBC" w:rsidR="00DC2043" w:rsidRPr="000779C2" w:rsidRDefault="00DC2043" w:rsidP="0055632B">
      <w:pPr>
        <w:spacing w:before="0" w:after="0"/>
        <w:jc w:val="center"/>
        <w:rPr>
          <w:color w:val="000000" w:themeColor="text1"/>
          <w:szCs w:val="24"/>
        </w:rPr>
      </w:pPr>
      <w:r w:rsidRPr="000779C2">
        <w:rPr>
          <w:noProof/>
          <w:color w:val="000000" w:themeColor="text1"/>
        </w:rPr>
        <w:drawing>
          <wp:inline distT="0" distB="0" distL="0" distR="0" wp14:anchorId="0B4686AB" wp14:editId="2BA8FADB">
            <wp:extent cx="4695825" cy="3109913"/>
            <wp:effectExtent l="0" t="0" r="9525" b="14605"/>
            <wp:docPr id="287553011" name="Chart 1">
              <a:extLst xmlns:a="http://schemas.openxmlformats.org/drawingml/2006/main">
                <a:ext uri="{FF2B5EF4-FFF2-40B4-BE49-F238E27FC236}">
                  <a16:creationId xmlns:a16="http://schemas.microsoft.com/office/drawing/2014/main" id="{C000E3D5-194E-E0AD-6F9D-2F3673DEFB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7023B2" w14:textId="4991E181" w:rsidR="001127AA" w:rsidRPr="000779C2" w:rsidRDefault="001127AA" w:rsidP="0055632B">
      <w:pPr>
        <w:spacing w:before="0" w:after="0"/>
        <w:jc w:val="center"/>
        <w:rPr>
          <w:b/>
          <w:bCs/>
          <w:color w:val="000000" w:themeColor="text1"/>
          <w:szCs w:val="24"/>
        </w:rPr>
      </w:pPr>
      <w:r w:rsidRPr="000779C2">
        <w:rPr>
          <w:b/>
          <w:bCs/>
          <w:color w:val="000000" w:themeColor="text1"/>
          <w:szCs w:val="24"/>
        </w:rPr>
        <w:t>Chart 8: Trends in WCM Ratios</w:t>
      </w:r>
    </w:p>
    <w:p w14:paraId="5750C4C9" w14:textId="39F180E9" w:rsidR="001127AA" w:rsidRPr="000779C2" w:rsidRDefault="001127AA" w:rsidP="0055632B">
      <w:pPr>
        <w:spacing w:before="0" w:after="0"/>
        <w:jc w:val="center"/>
        <w:rPr>
          <w:color w:val="000000" w:themeColor="text1"/>
          <w:szCs w:val="24"/>
        </w:rPr>
      </w:pPr>
      <w:r w:rsidRPr="000779C2">
        <w:rPr>
          <w:color w:val="000000" w:themeColor="text1"/>
          <w:szCs w:val="24"/>
        </w:rPr>
        <w:t>(Source: Excel)</w:t>
      </w:r>
    </w:p>
    <w:p w14:paraId="00000032" w14:textId="46C8F0AB" w:rsidR="009D019D" w:rsidRPr="000779C2" w:rsidRDefault="00000000" w:rsidP="0055632B">
      <w:pPr>
        <w:spacing w:before="0" w:after="0"/>
        <w:rPr>
          <w:color w:val="000000" w:themeColor="text1"/>
          <w:szCs w:val="24"/>
        </w:rPr>
      </w:pPr>
      <w:r w:rsidRPr="000779C2">
        <w:rPr>
          <w:color w:val="000000" w:themeColor="text1"/>
          <w:szCs w:val="24"/>
        </w:rPr>
        <w:t xml:space="preserve">Another vital factor of the working capital management practices of IHG is its extended payment period to suppliers. DPO increased significantly from 66.84 days in 2021 to over 320 days between 2022 and 2025, reaching 322.96 days in 2025. It reflects that the company has been able to negotiate with its suppliers for more favourable payment </w:t>
      </w:r>
      <w:proofErr w:type="gramStart"/>
      <w:r w:rsidRPr="000779C2">
        <w:rPr>
          <w:color w:val="000000" w:themeColor="text1"/>
          <w:szCs w:val="24"/>
        </w:rPr>
        <w:t>terms, or</w:t>
      </w:r>
      <w:proofErr w:type="gramEnd"/>
      <w:r w:rsidRPr="000779C2">
        <w:rPr>
          <w:color w:val="000000" w:themeColor="text1"/>
          <w:szCs w:val="24"/>
        </w:rPr>
        <w:t xml:space="preserve"> is experiencing benefits of deferring liabilities under its business practice. This extended payment practice further highlights the advantages and disadvantages of occasionally financing items longer than expected without affecting supplier relationships (Adhikari</w:t>
      </w:r>
      <w:r w:rsidRPr="000779C2">
        <w:rPr>
          <w:i/>
          <w:iCs/>
          <w:color w:val="000000" w:themeColor="text1"/>
          <w:szCs w:val="24"/>
        </w:rPr>
        <w:t xml:space="preserve"> </w:t>
      </w:r>
      <w:r w:rsidR="00462977" w:rsidRPr="000779C2">
        <w:rPr>
          <w:i/>
          <w:iCs/>
          <w:color w:val="000000" w:themeColor="text1"/>
          <w:szCs w:val="24"/>
        </w:rPr>
        <w:t>et al.</w:t>
      </w:r>
      <w:r w:rsidRPr="000779C2">
        <w:rPr>
          <w:color w:val="000000" w:themeColor="text1"/>
          <w:szCs w:val="24"/>
        </w:rPr>
        <w:t xml:space="preserve"> 2021). In conclusion, the pattern indicates that IHG has </w:t>
      </w:r>
      <w:r w:rsidRPr="000779C2">
        <w:rPr>
          <w:color w:val="000000" w:themeColor="text1"/>
          <w:szCs w:val="24"/>
        </w:rPr>
        <w:lastRenderedPageBreak/>
        <w:t xml:space="preserve">managed its cash operating cycle efficiently with faster receivable collections, minimal investment in inventories, and long procurement cycles with creditors. </w:t>
      </w:r>
    </w:p>
    <w:p w14:paraId="00000033" w14:textId="77777777" w:rsidR="009D019D" w:rsidRPr="000779C2" w:rsidRDefault="00000000" w:rsidP="0055632B">
      <w:pPr>
        <w:pStyle w:val="Heading2"/>
        <w:spacing w:before="0" w:after="0"/>
        <w:rPr>
          <w:color w:val="000000" w:themeColor="text1"/>
        </w:rPr>
      </w:pPr>
      <w:bookmarkStart w:id="10" w:name="_Toc235615311"/>
      <w:r w:rsidRPr="000779C2">
        <w:rPr>
          <w:color w:val="000000" w:themeColor="text1"/>
        </w:rPr>
        <w:t>2.3 Improving Liquidity Through Working Capital Reforms</w:t>
      </w:r>
      <w:bookmarkEnd w:id="10"/>
    </w:p>
    <w:p w14:paraId="00000034" w14:textId="2AA03958" w:rsidR="009D019D" w:rsidRPr="000779C2" w:rsidRDefault="00000000" w:rsidP="0055632B">
      <w:pPr>
        <w:spacing w:before="0" w:after="0"/>
        <w:rPr>
          <w:color w:val="000000" w:themeColor="text1"/>
          <w:szCs w:val="24"/>
        </w:rPr>
      </w:pPr>
      <w:r w:rsidRPr="000779C2">
        <w:rPr>
          <w:color w:val="000000" w:themeColor="text1"/>
          <w:szCs w:val="24"/>
        </w:rPr>
        <w:t xml:space="preserve">IHG has actively demonstrated robust working capital management and stable operating cash flows. However, several measures can be taken to solidify the company's liquidity and financial strength. First, the company should further develop its digital receivables management by leveraging automated billing systems, e-invoicing, and implementing artificial intelligence-driven credit monitoring. The technology can enhance payment accounting, minimise overdue accounts, and shorten the collection period, which would increase cash flows (Paredes-Chirinos </w:t>
      </w:r>
      <w:r w:rsidR="00462977" w:rsidRPr="000779C2">
        <w:rPr>
          <w:i/>
          <w:iCs/>
          <w:color w:val="000000" w:themeColor="text1"/>
          <w:szCs w:val="24"/>
        </w:rPr>
        <w:t>et al.</w:t>
      </w:r>
      <w:r w:rsidRPr="000779C2">
        <w:rPr>
          <w:i/>
          <w:iCs/>
          <w:color w:val="000000" w:themeColor="text1"/>
          <w:szCs w:val="24"/>
        </w:rPr>
        <w:t xml:space="preserve"> </w:t>
      </w:r>
      <w:r w:rsidRPr="000779C2">
        <w:rPr>
          <w:color w:val="000000" w:themeColor="text1"/>
          <w:szCs w:val="24"/>
        </w:rPr>
        <w:t>2024). Second, IHG needs to rationalise cash management processes by implementing global cash pools and global treasury operations with foreign subsidiaries (</w:t>
      </w:r>
      <w:proofErr w:type="spellStart"/>
      <w:r w:rsidRPr="000779C2">
        <w:rPr>
          <w:color w:val="000000" w:themeColor="text1"/>
          <w:szCs w:val="24"/>
        </w:rPr>
        <w:t>Cangoz</w:t>
      </w:r>
      <w:proofErr w:type="spellEnd"/>
      <w:r w:rsidRPr="000779C2">
        <w:rPr>
          <w:color w:val="000000" w:themeColor="text1"/>
          <w:szCs w:val="24"/>
        </w:rPr>
        <w:t xml:space="preserve"> and </w:t>
      </w:r>
      <w:proofErr w:type="spellStart"/>
      <w:r w:rsidRPr="000779C2">
        <w:rPr>
          <w:color w:val="000000" w:themeColor="text1"/>
          <w:szCs w:val="24"/>
        </w:rPr>
        <w:t>Secunho</w:t>
      </w:r>
      <w:proofErr w:type="spellEnd"/>
      <w:r w:rsidRPr="000779C2">
        <w:rPr>
          <w:color w:val="000000" w:themeColor="text1"/>
          <w:szCs w:val="24"/>
        </w:rPr>
        <w:t xml:space="preserve">, 2021). As the company has a worldwide presence, centralisation of surplus cash would allow funds to be better utilised, reduce cash usage, and minimise short-term borrowings. This approach will be essential in augmenting liquidity forecasts and assisting in better management of foreign currency exposures. Third, even though inventory holds a small proportion of IHG's assets, the use of advanced forecasting and sufficient procurement would help ensure optimal stocking levels without unnecessary stock holdings (Odutola, 2022). Predictive analytics can improve purchase decisions for food and beverage, operating supplies, diminish waste, and foster better cost management for the hotel. Fourth, the company should maintain a balanced payment policy for supplier payment management. Meeting extended DPO has improved the short-term funding position, but excessively delayed payments may have a negative impact on negotiating positions and supplier relationships. Overall, IHG also needs to focus on sufficient available credit facilities and a wide range of short-term financing options to enable extra financial flexibility during economic crises or sudden reductions in travel volumes. The ongoing working capital improvements should contribute to IHG's liquidity position and cash flow stability to finance future growth and address economic risks. </w:t>
      </w:r>
    </w:p>
    <w:p w14:paraId="00000035" w14:textId="77777777" w:rsidR="009D019D" w:rsidRPr="000779C2" w:rsidRDefault="00000000" w:rsidP="0055632B">
      <w:pPr>
        <w:pStyle w:val="Heading2"/>
        <w:spacing w:before="0" w:after="0"/>
        <w:rPr>
          <w:color w:val="000000" w:themeColor="text1"/>
        </w:rPr>
      </w:pPr>
      <w:bookmarkStart w:id="11" w:name="_Toc235615312"/>
      <w:r w:rsidRPr="000779C2">
        <w:rPr>
          <w:color w:val="000000" w:themeColor="text1"/>
        </w:rPr>
        <w:t>2.4 Comparison between Short-term and Long-term Financing</w:t>
      </w:r>
      <w:bookmarkEnd w:id="11"/>
      <w:r w:rsidRPr="000779C2">
        <w:rPr>
          <w:color w:val="000000" w:themeColor="text1"/>
        </w:rPr>
        <w:t xml:space="preserve"> </w:t>
      </w:r>
    </w:p>
    <w:p w14:paraId="00000036" w14:textId="165AE518" w:rsidR="009D019D" w:rsidRPr="000779C2" w:rsidRDefault="00000000" w:rsidP="0055632B">
      <w:pPr>
        <w:spacing w:before="0" w:after="0"/>
        <w:rPr>
          <w:color w:val="000000" w:themeColor="text1"/>
          <w:szCs w:val="24"/>
        </w:rPr>
      </w:pPr>
      <w:r w:rsidRPr="000779C2">
        <w:rPr>
          <w:color w:val="000000" w:themeColor="text1"/>
          <w:szCs w:val="24"/>
        </w:rPr>
        <w:t xml:space="preserve">Short and long-term funding have been important components of IHG's strategic and operating financial needs. Short-term financing functions mainly refers to finance daily working capital requirements and temporary fluctuations in cash flow, including bank overdrafts, revolving credit facilities and through trade credit (Nicolas, 2022). These </w:t>
      </w:r>
      <w:r w:rsidRPr="000779C2">
        <w:rPr>
          <w:color w:val="000000" w:themeColor="text1"/>
          <w:szCs w:val="24"/>
        </w:rPr>
        <w:lastRenderedPageBreak/>
        <w:t xml:space="preserve">sources tend to be more flexible and cost effective but can involve refinancing risk and potential rising interest rates for the company. IHG's operating cash flow is also highly stable and working capital is managed efficiently, making the short-term funding solution suitable for operating cash deficit due to variations in occupancy and operating costs. In contrast, long-term financing includes corporate bonds, long-term bank loans and equity financing, and would be used to support long-term investments, acquisitions, technological innovations and foreign investments (Bui </w:t>
      </w:r>
      <w:r w:rsidR="00462977" w:rsidRPr="000779C2">
        <w:rPr>
          <w:i/>
          <w:iCs/>
          <w:color w:val="000000" w:themeColor="text1"/>
          <w:szCs w:val="24"/>
        </w:rPr>
        <w:t>et al.</w:t>
      </w:r>
      <w:r w:rsidRPr="000779C2">
        <w:rPr>
          <w:i/>
          <w:iCs/>
          <w:color w:val="000000" w:themeColor="text1"/>
          <w:szCs w:val="24"/>
        </w:rPr>
        <w:t xml:space="preserve"> </w:t>
      </w:r>
      <w:r w:rsidRPr="000779C2">
        <w:rPr>
          <w:color w:val="000000" w:themeColor="text1"/>
          <w:szCs w:val="24"/>
        </w:rPr>
        <w:t xml:space="preserve">2023). A long-term financing typically has a higher financing cost, but it offers more financial stability as it simplifies the sourcing of capital for a longer </w:t>
      </w:r>
      <w:proofErr w:type="gramStart"/>
      <w:r w:rsidRPr="000779C2">
        <w:rPr>
          <w:color w:val="000000" w:themeColor="text1"/>
          <w:szCs w:val="24"/>
        </w:rPr>
        <w:t>period of time</w:t>
      </w:r>
      <w:proofErr w:type="gramEnd"/>
      <w:r w:rsidRPr="000779C2">
        <w:rPr>
          <w:color w:val="000000" w:themeColor="text1"/>
          <w:szCs w:val="24"/>
        </w:rPr>
        <w:t xml:space="preserve"> and minimises refinancing risks. For IHG, a balanced financing strategy is the most appropriate approach. Short-term operational financing and bridging should be secured by short-term financing, whereas long-term financing should be applied primarily to major strategic projects such as investment in the hotel portfolio, digitalisation and investment in sustainability. This strategy would be best for IHG's cost structure and liquidity position, financial risks, and flexibility of capital for long term growth in a competitive market environment as the hospitality sector.</w:t>
      </w:r>
    </w:p>
    <w:p w14:paraId="00000037" w14:textId="77777777" w:rsidR="009D019D" w:rsidRPr="000779C2" w:rsidRDefault="00000000" w:rsidP="0055632B">
      <w:pPr>
        <w:pStyle w:val="Heading1"/>
        <w:spacing w:before="0" w:after="0"/>
        <w:rPr>
          <w:color w:val="000000" w:themeColor="text1"/>
        </w:rPr>
      </w:pPr>
      <w:bookmarkStart w:id="12" w:name="_Toc235615313"/>
      <w:r w:rsidRPr="000779C2">
        <w:rPr>
          <w:color w:val="000000" w:themeColor="text1"/>
        </w:rPr>
        <w:t>3. Strategic Financial Restructuring Plan</w:t>
      </w:r>
      <w:bookmarkEnd w:id="12"/>
    </w:p>
    <w:p w14:paraId="00000038" w14:textId="77777777" w:rsidR="009D019D" w:rsidRPr="000779C2" w:rsidRDefault="00000000" w:rsidP="0055632B">
      <w:pPr>
        <w:pStyle w:val="Heading2"/>
        <w:spacing w:before="0" w:after="0"/>
        <w:rPr>
          <w:color w:val="000000" w:themeColor="text1"/>
        </w:rPr>
      </w:pPr>
      <w:bookmarkStart w:id="13" w:name="_Toc235615314"/>
      <w:r w:rsidRPr="000779C2">
        <w:rPr>
          <w:color w:val="000000" w:themeColor="text1"/>
        </w:rPr>
        <w:t>3.1 Introduction</w:t>
      </w:r>
      <w:bookmarkEnd w:id="13"/>
    </w:p>
    <w:p w14:paraId="00000039" w14:textId="38F70F49" w:rsidR="009D019D" w:rsidRPr="000779C2" w:rsidRDefault="00B4669A" w:rsidP="0055632B">
      <w:pPr>
        <w:spacing w:before="0" w:after="0"/>
        <w:rPr>
          <w:color w:val="000000" w:themeColor="text1"/>
          <w:szCs w:val="24"/>
        </w:rPr>
      </w:pPr>
      <w:r w:rsidRPr="000779C2">
        <w:rPr>
          <w:color w:val="000000" w:themeColor="text1"/>
          <w:szCs w:val="24"/>
        </w:rPr>
        <w:t xml:space="preserve">Organisations can optimise strategic restructuring </w:t>
      </w:r>
      <w:proofErr w:type="gramStart"/>
      <w:r w:rsidRPr="000779C2">
        <w:rPr>
          <w:color w:val="000000" w:themeColor="text1"/>
          <w:szCs w:val="24"/>
        </w:rPr>
        <w:t>in order to</w:t>
      </w:r>
      <w:proofErr w:type="gramEnd"/>
      <w:r w:rsidRPr="000779C2">
        <w:rPr>
          <w:color w:val="000000" w:themeColor="text1"/>
          <w:szCs w:val="24"/>
        </w:rPr>
        <w:t xml:space="preserve"> optimise their capital structures, increase financial flexibility, and boost long-term shareholder value. From the above financial analysis, IHG is economically strong but faces issues regarding liquidity management and rising liabilities. Thus, efficient and appropriate restructuring can further reinforce its resilience and help sustainable expansion in international settings.</w:t>
      </w:r>
    </w:p>
    <w:p w14:paraId="0000003A" w14:textId="77777777" w:rsidR="009D019D" w:rsidRPr="000779C2" w:rsidRDefault="00000000" w:rsidP="0055632B">
      <w:pPr>
        <w:pStyle w:val="Heading2"/>
        <w:spacing w:before="0" w:after="0"/>
        <w:rPr>
          <w:color w:val="000000" w:themeColor="text1"/>
        </w:rPr>
      </w:pPr>
      <w:bookmarkStart w:id="14" w:name="_Toc235615315"/>
      <w:r w:rsidRPr="000779C2">
        <w:rPr>
          <w:color w:val="000000" w:themeColor="text1"/>
        </w:rPr>
        <w:t>3.2 Recommended Restructuring Options</w:t>
      </w:r>
      <w:bookmarkEnd w:id="14"/>
    </w:p>
    <w:p w14:paraId="0000003B" w14:textId="60FE3E95" w:rsidR="009D019D" w:rsidRPr="000779C2" w:rsidRDefault="00000000" w:rsidP="0055632B">
      <w:pPr>
        <w:spacing w:before="0" w:after="0"/>
        <w:rPr>
          <w:color w:val="000000" w:themeColor="text1"/>
          <w:szCs w:val="24"/>
        </w:rPr>
      </w:pPr>
      <w:r w:rsidRPr="000779C2">
        <w:rPr>
          <w:color w:val="000000" w:themeColor="text1"/>
          <w:szCs w:val="24"/>
        </w:rPr>
        <w:t>The financial analysis shows that IHG should pursue a financial restructuring strategy which can enhance its financial situation while preserving benefits from its asset-light strategy (</w:t>
      </w:r>
      <w:proofErr w:type="spellStart"/>
      <w:r w:rsidRPr="000779C2">
        <w:rPr>
          <w:color w:val="000000" w:themeColor="text1"/>
          <w:szCs w:val="24"/>
        </w:rPr>
        <w:t>Mavlutova</w:t>
      </w:r>
      <w:proofErr w:type="spellEnd"/>
      <w:r w:rsidRPr="000779C2">
        <w:rPr>
          <w:i/>
          <w:iCs/>
          <w:color w:val="000000" w:themeColor="text1"/>
          <w:szCs w:val="24"/>
        </w:rPr>
        <w:t xml:space="preserve"> </w:t>
      </w:r>
      <w:r w:rsidR="00462977" w:rsidRPr="000779C2">
        <w:rPr>
          <w:i/>
          <w:iCs/>
          <w:color w:val="000000" w:themeColor="text1"/>
          <w:szCs w:val="24"/>
        </w:rPr>
        <w:t>et al.</w:t>
      </w:r>
      <w:r w:rsidRPr="000779C2">
        <w:rPr>
          <w:color w:val="000000" w:themeColor="text1"/>
          <w:szCs w:val="24"/>
        </w:rPr>
        <w:t xml:space="preserve"> 2021)</w:t>
      </w:r>
      <w:r w:rsidR="0025633A" w:rsidRPr="000779C2">
        <w:rPr>
          <w:color w:val="000000" w:themeColor="text1"/>
          <w:szCs w:val="24"/>
        </w:rPr>
        <w:t>.</w:t>
      </w:r>
      <w:r w:rsidRPr="000779C2">
        <w:rPr>
          <w:color w:val="000000" w:themeColor="text1"/>
          <w:szCs w:val="24"/>
        </w:rPr>
        <w:t xml:space="preserve"> </w:t>
      </w:r>
    </w:p>
    <w:p w14:paraId="0000003C" w14:textId="4E1756BD" w:rsidR="009D019D" w:rsidRPr="000779C2" w:rsidRDefault="00000000" w:rsidP="0055632B">
      <w:pPr>
        <w:spacing w:before="0" w:after="0"/>
        <w:rPr>
          <w:color w:val="000000" w:themeColor="text1"/>
          <w:szCs w:val="24"/>
        </w:rPr>
      </w:pPr>
      <w:r w:rsidRPr="000779C2">
        <w:rPr>
          <w:color w:val="000000" w:themeColor="text1"/>
          <w:szCs w:val="24"/>
        </w:rPr>
        <w:t xml:space="preserve">The first recommendation includes portfolio optimisation through selective divestment (Deng </w:t>
      </w:r>
      <w:r w:rsidR="00462977" w:rsidRPr="000779C2">
        <w:rPr>
          <w:i/>
          <w:iCs/>
          <w:color w:val="000000" w:themeColor="text1"/>
          <w:szCs w:val="24"/>
        </w:rPr>
        <w:t>et al.</w:t>
      </w:r>
      <w:r w:rsidRPr="000779C2">
        <w:rPr>
          <w:color w:val="000000" w:themeColor="text1"/>
          <w:szCs w:val="24"/>
        </w:rPr>
        <w:t xml:space="preserve"> 2025). IHG should expedite the divestment of hotel assets, complementing the growth of franchise and management business. This would free up capital associated with physical assets and improve the return on assets, while also creating additional flexibility to reinvest in higher-returning opportunities such as digital </w:t>
      </w:r>
      <w:r w:rsidRPr="000779C2">
        <w:rPr>
          <w:color w:val="000000" w:themeColor="text1"/>
          <w:szCs w:val="24"/>
        </w:rPr>
        <w:lastRenderedPageBreak/>
        <w:t>innovations, building brand strength and expanding in new international markets with high growth potential. Ongoing portfolio optimisation will provide strong support to profitability and reduce the operational risk as fee-based revenue streams are expected to be more stable with relatively low capital allocation.</w:t>
      </w:r>
    </w:p>
    <w:p w14:paraId="0000003D" w14:textId="77777777" w:rsidR="009D019D" w:rsidRPr="000779C2" w:rsidRDefault="00000000" w:rsidP="0055632B">
      <w:pPr>
        <w:spacing w:before="0" w:after="0"/>
        <w:rPr>
          <w:color w:val="000000" w:themeColor="text1"/>
          <w:szCs w:val="24"/>
        </w:rPr>
      </w:pPr>
      <w:r w:rsidRPr="000779C2">
        <w:rPr>
          <w:color w:val="000000" w:themeColor="text1"/>
          <w:szCs w:val="24"/>
        </w:rPr>
        <w:t xml:space="preserve">Debt restructuring and refinancing is also recommended for IHG. The company has a high financial </w:t>
      </w:r>
      <w:proofErr w:type="gramStart"/>
      <w:r w:rsidRPr="000779C2">
        <w:rPr>
          <w:color w:val="000000" w:themeColor="text1"/>
          <w:szCs w:val="24"/>
        </w:rPr>
        <w:t>leverage,</w:t>
      </w:r>
      <w:proofErr w:type="gramEnd"/>
      <w:r w:rsidRPr="000779C2">
        <w:rPr>
          <w:color w:val="000000" w:themeColor="text1"/>
          <w:szCs w:val="24"/>
        </w:rPr>
        <w:t xml:space="preserve"> hence the ratio analysis shows a relatively low financial leverage. Refinance of existing debts by increasing maturities or replacing lower interest loans to high-cost loans would lower financing costs, increase cash flow stability and build financial flexibility when dealing with economic uncertainty. A desirable debt structure will also support investment without accelerating pressure on liquidity resources in the future (Aghayev and </w:t>
      </w:r>
      <w:proofErr w:type="spellStart"/>
      <w:r w:rsidRPr="000779C2">
        <w:rPr>
          <w:color w:val="000000" w:themeColor="text1"/>
          <w:szCs w:val="24"/>
        </w:rPr>
        <w:t>Najafov</w:t>
      </w:r>
      <w:proofErr w:type="spellEnd"/>
      <w:r w:rsidRPr="000779C2">
        <w:rPr>
          <w:color w:val="000000" w:themeColor="text1"/>
          <w:szCs w:val="24"/>
        </w:rPr>
        <w:t xml:space="preserve">, 2025). </w:t>
      </w:r>
    </w:p>
    <w:p w14:paraId="0000003E" w14:textId="77777777" w:rsidR="009D019D" w:rsidRPr="000779C2" w:rsidRDefault="00000000" w:rsidP="0055632B">
      <w:pPr>
        <w:spacing w:before="0" w:after="0"/>
        <w:rPr>
          <w:color w:val="000000" w:themeColor="text1"/>
          <w:szCs w:val="24"/>
        </w:rPr>
      </w:pPr>
      <w:r w:rsidRPr="000779C2">
        <w:rPr>
          <w:color w:val="000000" w:themeColor="text1"/>
          <w:szCs w:val="24"/>
        </w:rPr>
        <w:t>The third recommendation highlights the increase of equity-based strategic investments by retained earnings instead of raising external equity massively. The company's debt coverage ability is increasing, as reflected in the rising profitability, earnings per share and dividend coverage, which point to increased capabilities for internal expansion. Retaining a large proportion of profits will help reinvest in digital transformation, sustainable facility developments and in the hotel brand expansion without diluting shares and compromising investor trust. Combined, these restructuring options align with IHG's long-term corporate strategy by supporting consistent capital efficiency, increasing financial resilience and accommodating sustainable international growth without fundamentally changing the successful asset-light operating model.</w:t>
      </w:r>
    </w:p>
    <w:p w14:paraId="0000003F" w14:textId="77777777" w:rsidR="009D019D" w:rsidRPr="000779C2" w:rsidRDefault="00000000" w:rsidP="0055632B">
      <w:pPr>
        <w:pStyle w:val="Heading2"/>
        <w:spacing w:before="0" w:after="0"/>
        <w:rPr>
          <w:color w:val="000000" w:themeColor="text1"/>
        </w:rPr>
      </w:pPr>
      <w:bookmarkStart w:id="15" w:name="_Toc235615316"/>
      <w:r w:rsidRPr="000779C2">
        <w:rPr>
          <w:color w:val="000000" w:themeColor="text1"/>
        </w:rPr>
        <w:t>3.3 Impact Assessment</w:t>
      </w:r>
      <w:bookmarkEnd w:id="15"/>
      <w:r w:rsidRPr="000779C2">
        <w:rPr>
          <w:color w:val="000000" w:themeColor="text1"/>
        </w:rPr>
        <w:t xml:space="preserve"> </w:t>
      </w:r>
    </w:p>
    <w:p w14:paraId="285CA6B3" w14:textId="4A6AA24D" w:rsidR="00AB5EF7" w:rsidRPr="000779C2" w:rsidRDefault="00000000" w:rsidP="0055632B">
      <w:pPr>
        <w:spacing w:before="0" w:after="0"/>
        <w:rPr>
          <w:color w:val="000000" w:themeColor="text1"/>
          <w:szCs w:val="24"/>
        </w:rPr>
      </w:pPr>
      <w:r w:rsidRPr="000779C2">
        <w:rPr>
          <w:color w:val="000000" w:themeColor="text1"/>
          <w:szCs w:val="24"/>
        </w:rPr>
        <w:t>The proposed financial restructuring strategy is expected to create value for the shareholders of IHG, the capital structure and the operational flexibility. The focus on divestment from non-core owned assets and rising importance of franchising and management contracts can improve capital efficiency by minimising capital intensive investments while maximising higher margin fee-based revenue. This should promote better profitability, increased ROA and sustainable earnings growth for long term value to shareholders. Refinancing existing debt at more favourable terms would improve the company's debt structure by reducing financing costs and extending repayment maturities</w:t>
      </w:r>
      <w:r w:rsidR="00AE57FD" w:rsidRPr="000779C2">
        <w:rPr>
          <w:color w:val="000000" w:themeColor="text1"/>
          <w:szCs w:val="24"/>
        </w:rPr>
        <w:t xml:space="preserve"> (</w:t>
      </w:r>
      <w:proofErr w:type="spellStart"/>
      <w:r w:rsidR="00AE57FD" w:rsidRPr="000779C2">
        <w:rPr>
          <w:color w:val="000000" w:themeColor="text1"/>
          <w:szCs w:val="24"/>
        </w:rPr>
        <w:t>Boyarchenko</w:t>
      </w:r>
      <w:proofErr w:type="spellEnd"/>
      <w:r w:rsidR="00AE57FD" w:rsidRPr="000779C2">
        <w:rPr>
          <w:color w:val="000000" w:themeColor="text1"/>
          <w:szCs w:val="24"/>
        </w:rPr>
        <w:t xml:space="preserve"> and Elias, 2024)</w:t>
      </w:r>
      <w:r w:rsidRPr="000779C2">
        <w:rPr>
          <w:color w:val="000000" w:themeColor="text1"/>
          <w:szCs w:val="24"/>
        </w:rPr>
        <w:t xml:space="preserve">. </w:t>
      </w:r>
      <w:r w:rsidR="00AB5EF7" w:rsidRPr="000779C2">
        <w:rPr>
          <w:color w:val="000000" w:themeColor="text1"/>
          <w:szCs w:val="24"/>
        </w:rPr>
        <w:t xml:space="preserve">IHG already maintains reasonable leverage levels, but optimising its debt profile would provide greater cash flow predictability and lower the risk of refinancing in economic downturns. Financial flexibility would also </w:t>
      </w:r>
      <w:r w:rsidR="00AB5EF7" w:rsidRPr="000779C2">
        <w:rPr>
          <w:color w:val="000000" w:themeColor="text1"/>
          <w:szCs w:val="24"/>
        </w:rPr>
        <w:lastRenderedPageBreak/>
        <w:t xml:space="preserve">enable management to effectively use their financial resources to cope with changes in the financial markets and take advantage of the strategic opportunities of the market without placing strain on liquidity resources (Wu </w:t>
      </w:r>
      <w:r w:rsidR="00462977" w:rsidRPr="000779C2">
        <w:rPr>
          <w:i/>
          <w:iCs/>
          <w:color w:val="000000" w:themeColor="text1"/>
          <w:szCs w:val="24"/>
        </w:rPr>
        <w:t>et al.</w:t>
      </w:r>
      <w:r w:rsidR="00AB5EF7" w:rsidRPr="000779C2">
        <w:rPr>
          <w:color w:val="000000" w:themeColor="text1"/>
          <w:szCs w:val="24"/>
        </w:rPr>
        <w:t xml:space="preserve"> 2023). Furthermore, financing future expansion primarily through retained earnings would reinforce investor confidence by demonstrating stronger capital management while limiting shareholder dilution associated with new equity issuance. With this additional financial flexibility, IHG will continue to invest in projects which reinforce the brand's commitment to sustainability, as well as brand development and new digital technologies, while also sustaining its place in the global hospitality market. In conclusion, the leverage footprint of the new strategy is suitable, sustainable, and optimal, and will ensure greatest shareholder value for IHG, while delivering to IHG the benefits of its successful asset-light business model.</w:t>
      </w:r>
    </w:p>
    <w:p w14:paraId="00000041" w14:textId="77777777" w:rsidR="009D019D" w:rsidRPr="000779C2" w:rsidRDefault="00000000" w:rsidP="0055632B">
      <w:pPr>
        <w:pStyle w:val="Heading2"/>
        <w:spacing w:before="0" w:after="0"/>
        <w:rPr>
          <w:color w:val="000000" w:themeColor="text1"/>
        </w:rPr>
      </w:pPr>
      <w:bookmarkStart w:id="16" w:name="_Toc235615317"/>
      <w:r w:rsidRPr="000779C2">
        <w:rPr>
          <w:color w:val="000000" w:themeColor="text1"/>
        </w:rPr>
        <w:t>3.4 International and Ethical Considerations</w:t>
      </w:r>
      <w:bookmarkEnd w:id="16"/>
    </w:p>
    <w:p w14:paraId="542C212D" w14:textId="77777777" w:rsidR="00C06288" w:rsidRPr="000779C2" w:rsidRDefault="00000000" w:rsidP="0055632B">
      <w:pPr>
        <w:spacing w:before="0" w:after="0"/>
        <w:rPr>
          <w:color w:val="000000" w:themeColor="text1"/>
          <w:szCs w:val="24"/>
        </w:rPr>
      </w:pPr>
      <w:r w:rsidRPr="000779C2">
        <w:rPr>
          <w:color w:val="000000" w:themeColor="text1"/>
          <w:szCs w:val="24"/>
        </w:rPr>
        <w:t xml:space="preserve">Being a multinational hospitality business with operations in over 100 countries, IHG should ensure that its financial restructuring measures are well-aligned with international regulatory requirements and ethical business practices. </w:t>
      </w:r>
      <w:proofErr w:type="gramStart"/>
      <w:r w:rsidRPr="000779C2">
        <w:rPr>
          <w:color w:val="000000" w:themeColor="text1"/>
          <w:szCs w:val="24"/>
        </w:rPr>
        <w:t>In order to</w:t>
      </w:r>
      <w:proofErr w:type="gramEnd"/>
      <w:r w:rsidRPr="000779C2">
        <w:rPr>
          <w:color w:val="000000" w:themeColor="text1"/>
          <w:szCs w:val="24"/>
        </w:rPr>
        <w:t xml:space="preserve"> manage operating costs, franchise revenues and investment returns, foreign exchange risk management, and prudent investment management, are crucial to address currency fluctuations and inflation. The company should also have clear tax management to ensure adherence to international tax or principles and elimination of artificial tax strategies that may cause harm to the company's reputation. ESG should play a fundamental role in IHG's financial strategy. Energy-efficient hotel investment, responsible sourcing, employee wellness and community development can help to build trust among stakeholders and contribute to sustainable business</w:t>
      </w:r>
      <w:r w:rsidR="00CF0739" w:rsidRPr="000779C2">
        <w:rPr>
          <w:color w:val="000000" w:themeColor="text1"/>
          <w:szCs w:val="24"/>
        </w:rPr>
        <w:t xml:space="preserve"> (Khatter, 2025)</w:t>
      </w:r>
      <w:r w:rsidRPr="000779C2">
        <w:rPr>
          <w:color w:val="000000" w:themeColor="text1"/>
          <w:szCs w:val="24"/>
        </w:rPr>
        <w:t>. Another important element in ethical financial management would be transparency in reporting, accountability in capital allocation and the equitable treatment of investors, employees, suppliers and local community. Considering these international and ethical aspects will help improve IHG's corporate image and sustain value creation in the long run.</w:t>
      </w:r>
    </w:p>
    <w:p w14:paraId="64C0AFE8" w14:textId="77777777" w:rsidR="00C06288" w:rsidRPr="000779C2" w:rsidRDefault="00C06288" w:rsidP="0055632B">
      <w:pPr>
        <w:pStyle w:val="Heading1"/>
        <w:spacing w:before="0" w:after="0"/>
        <w:rPr>
          <w:color w:val="000000" w:themeColor="text1"/>
          <w:lang w:val="en-IN"/>
        </w:rPr>
      </w:pPr>
      <w:bookmarkStart w:id="17" w:name="_Toc235615318"/>
      <w:r w:rsidRPr="000779C2">
        <w:rPr>
          <w:color w:val="000000" w:themeColor="text1"/>
          <w:lang w:val="en-IN"/>
        </w:rPr>
        <w:t>4. Investment Appraisal and Capital Budgeting</w:t>
      </w:r>
      <w:bookmarkEnd w:id="17"/>
    </w:p>
    <w:p w14:paraId="4F295589" w14:textId="77777777" w:rsidR="00C06288" w:rsidRPr="000779C2" w:rsidRDefault="00C06288" w:rsidP="0055632B">
      <w:pPr>
        <w:pStyle w:val="Heading2"/>
        <w:spacing w:before="0" w:after="0"/>
        <w:rPr>
          <w:color w:val="000000" w:themeColor="text1"/>
          <w:lang w:val="en-IN"/>
        </w:rPr>
      </w:pPr>
      <w:bookmarkStart w:id="18" w:name="_Toc235615319"/>
      <w:r w:rsidRPr="000779C2">
        <w:rPr>
          <w:color w:val="000000" w:themeColor="text1"/>
          <w:lang w:val="en-IN"/>
        </w:rPr>
        <w:t>4.1 Introduction</w:t>
      </w:r>
      <w:bookmarkEnd w:id="18"/>
    </w:p>
    <w:p w14:paraId="7FC34514" w14:textId="41CEF2C0" w:rsidR="00C06288" w:rsidRPr="000779C2" w:rsidRDefault="00C06288" w:rsidP="0055632B">
      <w:pPr>
        <w:spacing w:before="0" w:after="0"/>
        <w:rPr>
          <w:color w:val="000000" w:themeColor="text1"/>
          <w:lang w:val="en-IN"/>
        </w:rPr>
      </w:pPr>
      <w:r w:rsidRPr="000779C2">
        <w:rPr>
          <w:color w:val="000000" w:themeColor="text1"/>
          <w:lang w:val="en-IN"/>
        </w:rPr>
        <w:t>Investment appraisal allows organisations to compare and position investment opportunities in order to allocate resources wisely (</w:t>
      </w:r>
      <w:proofErr w:type="spellStart"/>
      <w:r w:rsidRPr="000779C2">
        <w:rPr>
          <w:color w:val="000000" w:themeColor="text1"/>
          <w:lang w:val="en-IN"/>
        </w:rPr>
        <w:t>Purnamasari</w:t>
      </w:r>
      <w:proofErr w:type="spellEnd"/>
      <w:r w:rsidRPr="000779C2">
        <w:rPr>
          <w:color w:val="000000" w:themeColor="text1"/>
          <w:lang w:val="en-IN"/>
        </w:rPr>
        <w:t xml:space="preserve"> and </w:t>
      </w:r>
      <w:proofErr w:type="spellStart"/>
      <w:r w:rsidRPr="000779C2">
        <w:rPr>
          <w:color w:val="000000" w:themeColor="text1"/>
          <w:lang w:val="en-IN"/>
        </w:rPr>
        <w:t>Adriza</w:t>
      </w:r>
      <w:proofErr w:type="spellEnd"/>
      <w:r w:rsidRPr="000779C2">
        <w:rPr>
          <w:color w:val="000000" w:themeColor="text1"/>
          <w:lang w:val="en-IN"/>
        </w:rPr>
        <w:t xml:space="preserve">, 2024). In </w:t>
      </w:r>
      <w:r w:rsidRPr="000779C2">
        <w:rPr>
          <w:color w:val="000000" w:themeColor="text1"/>
          <w:lang w:val="en-IN"/>
        </w:rPr>
        <w:lastRenderedPageBreak/>
        <w:t>this section, three projects are considered under the strategic decision-making process for which five widely accepted capital budgeting techniques</w:t>
      </w:r>
      <w:r w:rsidR="00935836" w:rsidRPr="000779C2">
        <w:rPr>
          <w:color w:val="000000" w:themeColor="text1"/>
          <w:lang w:val="en-IN"/>
        </w:rPr>
        <w:t xml:space="preserve"> </w:t>
      </w:r>
      <w:r w:rsidR="00935836" w:rsidRPr="000779C2">
        <w:rPr>
          <w:i/>
          <w:iCs/>
          <w:color w:val="000000" w:themeColor="text1"/>
          <w:lang w:val="en-IN"/>
        </w:rPr>
        <w:t>[Referred to Appendix 3]</w:t>
      </w:r>
      <w:r w:rsidR="0025633A" w:rsidRPr="000779C2">
        <w:rPr>
          <w:i/>
          <w:iCs/>
          <w:color w:val="000000" w:themeColor="text1"/>
          <w:lang w:val="en-IN"/>
        </w:rPr>
        <w:t>.</w:t>
      </w:r>
    </w:p>
    <w:p w14:paraId="013E0815" w14:textId="77777777" w:rsidR="00C06288" w:rsidRPr="000779C2" w:rsidRDefault="00C06288" w:rsidP="0055632B">
      <w:pPr>
        <w:pStyle w:val="Heading2"/>
        <w:spacing w:before="0" w:after="0"/>
        <w:rPr>
          <w:color w:val="000000" w:themeColor="text1"/>
          <w:lang w:val="en-IN"/>
        </w:rPr>
      </w:pPr>
      <w:bookmarkStart w:id="19" w:name="_Toc235615320"/>
      <w:r w:rsidRPr="000779C2">
        <w:rPr>
          <w:color w:val="000000" w:themeColor="text1"/>
          <w:lang w:val="en-IN"/>
        </w:rPr>
        <w:t>4.2 Investment Appraisal Calculations</w:t>
      </w:r>
      <w:bookmarkEnd w:id="19"/>
    </w:p>
    <w:p w14:paraId="43C8ABD3" w14:textId="77777777" w:rsidR="00C06288" w:rsidRPr="000779C2" w:rsidRDefault="00C06288" w:rsidP="0055632B">
      <w:pPr>
        <w:spacing w:before="0" w:after="0"/>
        <w:rPr>
          <w:color w:val="000000" w:themeColor="text1"/>
          <w:lang w:val="en-IN"/>
        </w:rPr>
      </w:pPr>
      <w:r w:rsidRPr="000779C2">
        <w:rPr>
          <w:color w:val="000000" w:themeColor="text1"/>
          <w:lang w:val="en-IN"/>
        </w:rPr>
        <w:t>Projects A, B, and C were analysed using five methods of capital budgeting to find the most attractive investment opportunity. Each project includes a monetary investment of £50 million, a useful life of five years, and an 8% discount rate applied. Straight-line depreciation states that each project will depreciate by £10 million annually. The detailed calculations are shown in Appendix 3, and the important results are tabulated in Table 4.2.1. </w:t>
      </w:r>
    </w:p>
    <w:tbl>
      <w:tblPr>
        <w:tblW w:w="5000" w:type="pct"/>
        <w:tblLook w:val="04A0" w:firstRow="1" w:lastRow="0" w:firstColumn="1" w:lastColumn="0" w:noHBand="0" w:noVBand="1"/>
      </w:tblPr>
      <w:tblGrid>
        <w:gridCol w:w="2121"/>
        <w:gridCol w:w="1418"/>
        <w:gridCol w:w="1768"/>
        <w:gridCol w:w="1742"/>
        <w:gridCol w:w="1970"/>
      </w:tblGrid>
      <w:tr w:rsidR="0037227A" w:rsidRPr="000779C2" w14:paraId="57C7C9C2" w14:textId="77777777" w:rsidTr="003A212A">
        <w:trPr>
          <w:trHeight w:val="630"/>
        </w:trPr>
        <w:tc>
          <w:tcPr>
            <w:tcW w:w="1176" w:type="pct"/>
            <w:tcBorders>
              <w:top w:val="single" w:sz="4" w:space="0" w:color="auto"/>
              <w:left w:val="single" w:sz="4" w:space="0" w:color="auto"/>
              <w:bottom w:val="single" w:sz="4" w:space="0" w:color="auto"/>
              <w:right w:val="single" w:sz="4" w:space="0" w:color="auto"/>
            </w:tcBorders>
            <w:vAlign w:val="center"/>
            <w:hideMark/>
          </w:tcPr>
          <w:p w14:paraId="325EED89" w14:textId="77777777" w:rsidR="0037227A" w:rsidRPr="000779C2" w:rsidRDefault="0037227A" w:rsidP="0055632B">
            <w:pPr>
              <w:spacing w:before="0" w:after="0" w:line="240" w:lineRule="auto"/>
              <w:jc w:val="center"/>
              <w:rPr>
                <w:rFonts w:eastAsia="Times New Roman"/>
                <w:b/>
                <w:bCs/>
                <w:color w:val="000000" w:themeColor="text1"/>
                <w:szCs w:val="24"/>
                <w:lang w:val="en-IN"/>
              </w:rPr>
            </w:pPr>
            <w:r w:rsidRPr="000779C2">
              <w:rPr>
                <w:rFonts w:eastAsia="Times New Roman"/>
                <w:b/>
                <w:bCs/>
                <w:color w:val="000000" w:themeColor="text1"/>
                <w:szCs w:val="24"/>
                <w:lang w:val="en-IN"/>
              </w:rPr>
              <w:t>Method</w:t>
            </w:r>
          </w:p>
        </w:tc>
        <w:tc>
          <w:tcPr>
            <w:tcW w:w="786" w:type="pct"/>
            <w:tcBorders>
              <w:top w:val="single" w:sz="4" w:space="0" w:color="auto"/>
              <w:left w:val="nil"/>
              <w:bottom w:val="single" w:sz="4" w:space="0" w:color="auto"/>
              <w:right w:val="single" w:sz="4" w:space="0" w:color="auto"/>
            </w:tcBorders>
            <w:vAlign w:val="center"/>
            <w:hideMark/>
          </w:tcPr>
          <w:p w14:paraId="7ECB62A1"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Project A</w:t>
            </w:r>
          </w:p>
        </w:tc>
        <w:tc>
          <w:tcPr>
            <w:tcW w:w="980" w:type="pct"/>
            <w:tcBorders>
              <w:top w:val="single" w:sz="4" w:space="0" w:color="auto"/>
              <w:left w:val="nil"/>
              <w:bottom w:val="single" w:sz="4" w:space="0" w:color="auto"/>
              <w:right w:val="single" w:sz="4" w:space="0" w:color="auto"/>
            </w:tcBorders>
            <w:vAlign w:val="center"/>
            <w:hideMark/>
          </w:tcPr>
          <w:p w14:paraId="5B93ADBA"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Project B</w:t>
            </w:r>
          </w:p>
        </w:tc>
        <w:tc>
          <w:tcPr>
            <w:tcW w:w="966" w:type="pct"/>
            <w:tcBorders>
              <w:top w:val="single" w:sz="4" w:space="0" w:color="auto"/>
              <w:left w:val="nil"/>
              <w:bottom w:val="single" w:sz="4" w:space="0" w:color="auto"/>
              <w:right w:val="single" w:sz="4" w:space="0" w:color="auto"/>
            </w:tcBorders>
            <w:vAlign w:val="center"/>
            <w:hideMark/>
          </w:tcPr>
          <w:p w14:paraId="4B7CA07F"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Project C</w:t>
            </w:r>
          </w:p>
        </w:tc>
        <w:tc>
          <w:tcPr>
            <w:tcW w:w="1092" w:type="pct"/>
            <w:tcBorders>
              <w:top w:val="single" w:sz="4" w:space="0" w:color="auto"/>
              <w:left w:val="nil"/>
              <w:bottom w:val="single" w:sz="4" w:space="0" w:color="auto"/>
              <w:right w:val="single" w:sz="4" w:space="0" w:color="auto"/>
            </w:tcBorders>
            <w:vAlign w:val="center"/>
            <w:hideMark/>
          </w:tcPr>
          <w:p w14:paraId="0725FF82" w14:textId="77777777" w:rsidR="0037227A" w:rsidRPr="000779C2" w:rsidRDefault="0037227A"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Best</w:t>
            </w:r>
          </w:p>
        </w:tc>
      </w:tr>
      <w:tr w:rsidR="0037227A" w:rsidRPr="000779C2" w14:paraId="04A53275" w14:textId="77777777" w:rsidTr="003A212A">
        <w:trPr>
          <w:trHeight w:val="315"/>
        </w:trPr>
        <w:tc>
          <w:tcPr>
            <w:tcW w:w="1176" w:type="pct"/>
            <w:tcBorders>
              <w:top w:val="nil"/>
              <w:left w:val="single" w:sz="4" w:space="0" w:color="auto"/>
              <w:bottom w:val="single" w:sz="4" w:space="0" w:color="auto"/>
              <w:right w:val="single" w:sz="4" w:space="0" w:color="auto"/>
            </w:tcBorders>
            <w:vAlign w:val="center"/>
            <w:hideMark/>
          </w:tcPr>
          <w:p w14:paraId="269405C6"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Payback Period</w:t>
            </w:r>
          </w:p>
        </w:tc>
        <w:tc>
          <w:tcPr>
            <w:tcW w:w="786" w:type="pct"/>
            <w:tcBorders>
              <w:top w:val="nil"/>
              <w:left w:val="nil"/>
              <w:bottom w:val="single" w:sz="4" w:space="0" w:color="auto"/>
              <w:right w:val="single" w:sz="4" w:space="0" w:color="auto"/>
            </w:tcBorders>
            <w:vAlign w:val="center"/>
            <w:hideMark/>
          </w:tcPr>
          <w:p w14:paraId="17AE3ECB"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4.50 yrs</w:t>
            </w:r>
          </w:p>
        </w:tc>
        <w:tc>
          <w:tcPr>
            <w:tcW w:w="980" w:type="pct"/>
            <w:tcBorders>
              <w:top w:val="nil"/>
              <w:left w:val="nil"/>
              <w:bottom w:val="single" w:sz="4" w:space="0" w:color="auto"/>
              <w:right w:val="single" w:sz="4" w:space="0" w:color="auto"/>
            </w:tcBorders>
            <w:vAlign w:val="center"/>
            <w:hideMark/>
          </w:tcPr>
          <w:p w14:paraId="12ABBEA0"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4.55 yrs</w:t>
            </w:r>
          </w:p>
        </w:tc>
        <w:tc>
          <w:tcPr>
            <w:tcW w:w="966" w:type="pct"/>
            <w:tcBorders>
              <w:top w:val="nil"/>
              <w:left w:val="nil"/>
              <w:bottom w:val="single" w:sz="4" w:space="0" w:color="auto"/>
              <w:right w:val="single" w:sz="4" w:space="0" w:color="auto"/>
            </w:tcBorders>
            <w:vAlign w:val="center"/>
            <w:hideMark/>
          </w:tcPr>
          <w:p w14:paraId="61BCC189"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3.60 yrs</w:t>
            </w:r>
          </w:p>
        </w:tc>
        <w:tc>
          <w:tcPr>
            <w:tcW w:w="1092" w:type="pct"/>
            <w:tcBorders>
              <w:top w:val="nil"/>
              <w:left w:val="nil"/>
              <w:bottom w:val="single" w:sz="4" w:space="0" w:color="auto"/>
              <w:right w:val="single" w:sz="4" w:space="0" w:color="auto"/>
            </w:tcBorders>
            <w:vAlign w:val="center"/>
            <w:hideMark/>
          </w:tcPr>
          <w:p w14:paraId="21599491"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Project C</w:t>
            </w:r>
          </w:p>
        </w:tc>
      </w:tr>
      <w:tr w:rsidR="0037227A" w:rsidRPr="000779C2" w14:paraId="674A9ED2" w14:textId="77777777" w:rsidTr="003A212A">
        <w:trPr>
          <w:trHeight w:val="315"/>
        </w:trPr>
        <w:tc>
          <w:tcPr>
            <w:tcW w:w="1176" w:type="pct"/>
            <w:tcBorders>
              <w:top w:val="nil"/>
              <w:left w:val="single" w:sz="4" w:space="0" w:color="auto"/>
              <w:bottom w:val="single" w:sz="4" w:space="0" w:color="auto"/>
              <w:right w:val="single" w:sz="4" w:space="0" w:color="auto"/>
            </w:tcBorders>
            <w:vAlign w:val="center"/>
            <w:hideMark/>
          </w:tcPr>
          <w:p w14:paraId="508D5352"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NPV (£m)</w:t>
            </w:r>
          </w:p>
        </w:tc>
        <w:tc>
          <w:tcPr>
            <w:tcW w:w="786" w:type="pct"/>
            <w:tcBorders>
              <w:top w:val="nil"/>
              <w:left w:val="nil"/>
              <w:bottom w:val="single" w:sz="4" w:space="0" w:color="auto"/>
              <w:right w:val="single" w:sz="4" w:space="0" w:color="auto"/>
            </w:tcBorders>
            <w:vAlign w:val="center"/>
            <w:hideMark/>
          </w:tcPr>
          <w:p w14:paraId="58C2600E"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-6.54</w:t>
            </w:r>
          </w:p>
        </w:tc>
        <w:tc>
          <w:tcPr>
            <w:tcW w:w="980" w:type="pct"/>
            <w:tcBorders>
              <w:top w:val="nil"/>
              <w:left w:val="nil"/>
              <w:bottom w:val="single" w:sz="4" w:space="0" w:color="auto"/>
              <w:right w:val="single" w:sz="4" w:space="0" w:color="auto"/>
            </w:tcBorders>
            <w:vAlign w:val="center"/>
            <w:hideMark/>
          </w:tcPr>
          <w:p w14:paraId="33EBEF2D"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-6.08</w:t>
            </w:r>
          </w:p>
        </w:tc>
        <w:tc>
          <w:tcPr>
            <w:tcW w:w="966" w:type="pct"/>
            <w:tcBorders>
              <w:top w:val="nil"/>
              <w:left w:val="nil"/>
              <w:bottom w:val="single" w:sz="4" w:space="0" w:color="auto"/>
              <w:right w:val="single" w:sz="4" w:space="0" w:color="auto"/>
            </w:tcBorders>
            <w:vAlign w:val="center"/>
            <w:hideMark/>
          </w:tcPr>
          <w:p w14:paraId="7D434F03"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0.86</w:t>
            </w:r>
          </w:p>
        </w:tc>
        <w:tc>
          <w:tcPr>
            <w:tcW w:w="1092" w:type="pct"/>
            <w:tcBorders>
              <w:top w:val="nil"/>
              <w:left w:val="nil"/>
              <w:bottom w:val="single" w:sz="4" w:space="0" w:color="auto"/>
              <w:right w:val="single" w:sz="4" w:space="0" w:color="auto"/>
            </w:tcBorders>
            <w:vAlign w:val="center"/>
            <w:hideMark/>
          </w:tcPr>
          <w:p w14:paraId="1A3B12BD"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Project C</w:t>
            </w:r>
          </w:p>
        </w:tc>
      </w:tr>
      <w:tr w:rsidR="0037227A" w:rsidRPr="000779C2" w14:paraId="5949A9F0" w14:textId="77777777" w:rsidTr="003A212A">
        <w:trPr>
          <w:trHeight w:val="315"/>
        </w:trPr>
        <w:tc>
          <w:tcPr>
            <w:tcW w:w="1176" w:type="pct"/>
            <w:tcBorders>
              <w:top w:val="nil"/>
              <w:left w:val="single" w:sz="4" w:space="0" w:color="auto"/>
              <w:bottom w:val="single" w:sz="4" w:space="0" w:color="auto"/>
              <w:right w:val="single" w:sz="4" w:space="0" w:color="auto"/>
            </w:tcBorders>
            <w:vAlign w:val="center"/>
            <w:hideMark/>
          </w:tcPr>
          <w:p w14:paraId="34BBC70A"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Profitability Index</w:t>
            </w:r>
          </w:p>
        </w:tc>
        <w:tc>
          <w:tcPr>
            <w:tcW w:w="786" w:type="pct"/>
            <w:tcBorders>
              <w:top w:val="nil"/>
              <w:left w:val="nil"/>
              <w:bottom w:val="single" w:sz="4" w:space="0" w:color="auto"/>
              <w:right w:val="single" w:sz="4" w:space="0" w:color="auto"/>
            </w:tcBorders>
            <w:vAlign w:val="center"/>
            <w:hideMark/>
          </w:tcPr>
          <w:p w14:paraId="22CFA1ED"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0.869</w:t>
            </w:r>
          </w:p>
        </w:tc>
        <w:tc>
          <w:tcPr>
            <w:tcW w:w="980" w:type="pct"/>
            <w:tcBorders>
              <w:top w:val="nil"/>
              <w:left w:val="nil"/>
              <w:bottom w:val="single" w:sz="4" w:space="0" w:color="auto"/>
              <w:right w:val="single" w:sz="4" w:space="0" w:color="auto"/>
            </w:tcBorders>
            <w:vAlign w:val="center"/>
            <w:hideMark/>
          </w:tcPr>
          <w:p w14:paraId="1283CC07"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0.878</w:t>
            </w:r>
          </w:p>
        </w:tc>
        <w:tc>
          <w:tcPr>
            <w:tcW w:w="966" w:type="pct"/>
            <w:tcBorders>
              <w:top w:val="nil"/>
              <w:left w:val="nil"/>
              <w:bottom w:val="single" w:sz="4" w:space="0" w:color="auto"/>
              <w:right w:val="single" w:sz="4" w:space="0" w:color="auto"/>
            </w:tcBorders>
            <w:vAlign w:val="center"/>
            <w:hideMark/>
          </w:tcPr>
          <w:p w14:paraId="6536F498"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1.017</w:t>
            </w:r>
          </w:p>
        </w:tc>
        <w:tc>
          <w:tcPr>
            <w:tcW w:w="1092" w:type="pct"/>
            <w:tcBorders>
              <w:top w:val="nil"/>
              <w:left w:val="nil"/>
              <w:bottom w:val="single" w:sz="4" w:space="0" w:color="auto"/>
              <w:right w:val="single" w:sz="4" w:space="0" w:color="auto"/>
            </w:tcBorders>
            <w:vAlign w:val="center"/>
            <w:hideMark/>
          </w:tcPr>
          <w:p w14:paraId="08525313"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Project C</w:t>
            </w:r>
          </w:p>
        </w:tc>
      </w:tr>
      <w:tr w:rsidR="0037227A" w:rsidRPr="000779C2" w14:paraId="3244D934" w14:textId="77777777" w:rsidTr="003A212A">
        <w:trPr>
          <w:trHeight w:val="315"/>
        </w:trPr>
        <w:tc>
          <w:tcPr>
            <w:tcW w:w="1176" w:type="pct"/>
            <w:tcBorders>
              <w:top w:val="nil"/>
              <w:left w:val="single" w:sz="4" w:space="0" w:color="auto"/>
              <w:bottom w:val="single" w:sz="4" w:space="0" w:color="auto"/>
              <w:right w:val="single" w:sz="4" w:space="0" w:color="auto"/>
            </w:tcBorders>
            <w:noWrap/>
            <w:vAlign w:val="bottom"/>
            <w:hideMark/>
          </w:tcPr>
          <w:p w14:paraId="7A093234"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IRR</w:t>
            </w:r>
          </w:p>
        </w:tc>
        <w:tc>
          <w:tcPr>
            <w:tcW w:w="786" w:type="pct"/>
            <w:tcBorders>
              <w:top w:val="nil"/>
              <w:left w:val="nil"/>
              <w:bottom w:val="single" w:sz="4" w:space="0" w:color="auto"/>
              <w:right w:val="single" w:sz="4" w:space="0" w:color="auto"/>
            </w:tcBorders>
            <w:noWrap/>
            <w:vAlign w:val="bottom"/>
            <w:hideMark/>
          </w:tcPr>
          <w:p w14:paraId="4DD7E2CF"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w:t>
            </w:r>
          </w:p>
        </w:tc>
        <w:tc>
          <w:tcPr>
            <w:tcW w:w="980" w:type="pct"/>
            <w:tcBorders>
              <w:top w:val="nil"/>
              <w:left w:val="nil"/>
              <w:bottom w:val="single" w:sz="4" w:space="0" w:color="auto"/>
              <w:right w:val="single" w:sz="4" w:space="0" w:color="auto"/>
            </w:tcBorders>
            <w:noWrap/>
            <w:vAlign w:val="bottom"/>
            <w:hideMark/>
          </w:tcPr>
          <w:p w14:paraId="6E250B05"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w:t>
            </w:r>
          </w:p>
        </w:tc>
        <w:tc>
          <w:tcPr>
            <w:tcW w:w="966" w:type="pct"/>
            <w:tcBorders>
              <w:top w:val="nil"/>
              <w:left w:val="nil"/>
              <w:bottom w:val="single" w:sz="4" w:space="0" w:color="auto"/>
              <w:right w:val="single" w:sz="4" w:space="0" w:color="auto"/>
            </w:tcBorders>
            <w:noWrap/>
            <w:vAlign w:val="bottom"/>
            <w:hideMark/>
          </w:tcPr>
          <w:p w14:paraId="1E24A745"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9%</w:t>
            </w:r>
          </w:p>
        </w:tc>
        <w:tc>
          <w:tcPr>
            <w:tcW w:w="1092" w:type="pct"/>
            <w:tcBorders>
              <w:top w:val="nil"/>
              <w:left w:val="nil"/>
              <w:bottom w:val="single" w:sz="4" w:space="0" w:color="auto"/>
              <w:right w:val="single" w:sz="4" w:space="0" w:color="auto"/>
            </w:tcBorders>
            <w:vAlign w:val="center"/>
            <w:hideMark/>
          </w:tcPr>
          <w:p w14:paraId="7F31BDA2"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Project C</w:t>
            </w:r>
          </w:p>
        </w:tc>
      </w:tr>
      <w:tr w:rsidR="0037227A" w:rsidRPr="000779C2" w14:paraId="63F37050" w14:textId="77777777" w:rsidTr="003A212A">
        <w:trPr>
          <w:trHeight w:val="315"/>
        </w:trPr>
        <w:tc>
          <w:tcPr>
            <w:tcW w:w="1176" w:type="pct"/>
            <w:tcBorders>
              <w:top w:val="nil"/>
              <w:left w:val="single" w:sz="4" w:space="0" w:color="auto"/>
              <w:bottom w:val="single" w:sz="4" w:space="0" w:color="auto"/>
              <w:right w:val="single" w:sz="4" w:space="0" w:color="auto"/>
            </w:tcBorders>
            <w:noWrap/>
            <w:vAlign w:val="bottom"/>
            <w:hideMark/>
          </w:tcPr>
          <w:p w14:paraId="164D625B"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ARR</w:t>
            </w:r>
          </w:p>
        </w:tc>
        <w:tc>
          <w:tcPr>
            <w:tcW w:w="786" w:type="pct"/>
            <w:tcBorders>
              <w:top w:val="nil"/>
              <w:left w:val="nil"/>
              <w:bottom w:val="single" w:sz="4" w:space="0" w:color="auto"/>
              <w:right w:val="single" w:sz="4" w:space="0" w:color="auto"/>
            </w:tcBorders>
            <w:noWrap/>
            <w:vAlign w:val="bottom"/>
            <w:hideMark/>
          </w:tcPr>
          <w:p w14:paraId="31C2F4F5"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w:t>
            </w:r>
          </w:p>
        </w:tc>
        <w:tc>
          <w:tcPr>
            <w:tcW w:w="980" w:type="pct"/>
            <w:tcBorders>
              <w:top w:val="nil"/>
              <w:left w:val="nil"/>
              <w:bottom w:val="single" w:sz="4" w:space="0" w:color="auto"/>
              <w:right w:val="single" w:sz="4" w:space="0" w:color="auto"/>
            </w:tcBorders>
            <w:noWrap/>
            <w:vAlign w:val="bottom"/>
            <w:hideMark/>
          </w:tcPr>
          <w:p w14:paraId="1F3C21D0"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w:t>
            </w:r>
          </w:p>
        </w:tc>
        <w:tc>
          <w:tcPr>
            <w:tcW w:w="966" w:type="pct"/>
            <w:tcBorders>
              <w:top w:val="nil"/>
              <w:left w:val="nil"/>
              <w:bottom w:val="single" w:sz="4" w:space="0" w:color="auto"/>
              <w:right w:val="single" w:sz="4" w:space="0" w:color="auto"/>
            </w:tcBorders>
            <w:noWrap/>
            <w:vAlign w:val="bottom"/>
            <w:hideMark/>
          </w:tcPr>
          <w:p w14:paraId="60E9F4FD"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12%</w:t>
            </w:r>
          </w:p>
        </w:tc>
        <w:tc>
          <w:tcPr>
            <w:tcW w:w="1092" w:type="pct"/>
            <w:tcBorders>
              <w:top w:val="nil"/>
              <w:left w:val="nil"/>
              <w:bottom w:val="single" w:sz="4" w:space="0" w:color="auto"/>
              <w:right w:val="single" w:sz="4" w:space="0" w:color="auto"/>
            </w:tcBorders>
            <w:vAlign w:val="center"/>
            <w:hideMark/>
          </w:tcPr>
          <w:p w14:paraId="0A68723E"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Project C</w:t>
            </w:r>
          </w:p>
        </w:tc>
      </w:tr>
    </w:tbl>
    <w:p w14:paraId="293FE229" w14:textId="2AA55BC7" w:rsidR="001127AA" w:rsidRPr="000779C2" w:rsidRDefault="001127AA" w:rsidP="0055632B">
      <w:pPr>
        <w:spacing w:before="0" w:after="0"/>
        <w:jc w:val="center"/>
        <w:rPr>
          <w:b/>
          <w:bCs/>
          <w:color w:val="000000" w:themeColor="text1"/>
          <w:lang w:val="en-IN"/>
        </w:rPr>
      </w:pPr>
      <w:r w:rsidRPr="000779C2">
        <w:rPr>
          <w:b/>
          <w:bCs/>
          <w:color w:val="000000" w:themeColor="text1"/>
          <w:lang w:val="en-IN"/>
        </w:rPr>
        <w:t>Table 4.2.1: Investment Appraisal Summary</w:t>
      </w:r>
    </w:p>
    <w:p w14:paraId="4309E570" w14:textId="7FDF6CDE" w:rsidR="001127AA" w:rsidRPr="000779C2" w:rsidRDefault="001127AA" w:rsidP="0055632B">
      <w:pPr>
        <w:spacing w:before="0" w:after="0"/>
        <w:jc w:val="center"/>
        <w:rPr>
          <w:color w:val="000000" w:themeColor="text1"/>
          <w:lang w:val="en-IN"/>
        </w:rPr>
      </w:pPr>
      <w:r w:rsidRPr="000779C2">
        <w:rPr>
          <w:color w:val="000000" w:themeColor="text1"/>
          <w:lang w:val="en-IN"/>
        </w:rPr>
        <w:t>(Source: Excel)</w:t>
      </w:r>
    </w:p>
    <w:p w14:paraId="04749F37" w14:textId="02AFB1AD" w:rsidR="00C06288" w:rsidRPr="000779C2" w:rsidRDefault="00C06288" w:rsidP="0055632B">
      <w:pPr>
        <w:spacing w:before="0" w:after="0"/>
        <w:rPr>
          <w:color w:val="000000" w:themeColor="text1"/>
          <w:lang w:val="en-IN"/>
        </w:rPr>
      </w:pPr>
      <w:r w:rsidRPr="000779C2">
        <w:rPr>
          <w:color w:val="000000" w:themeColor="text1"/>
          <w:lang w:val="en-IN"/>
        </w:rPr>
        <w:t xml:space="preserve">The ‘Payback period’ refers to the time required for a project's future cash flows to cover the initial investment. Project C recorded a payback period of 3.60 years, the lowest among the three projects, compared with 4.50 years for Project A and 4.55 years for Project B. Under such a shorter payback period, the scenario of Project C is the most favourable, which decreases the risk of investment and increases the liquidity of investment. The ‘Accounting rate of return’ refers to the average profit made on the investment relative to the average investment. Project C has recorded an ARR of 12%, significantly higher than Project B (4%) and Project A (3%). This shows the better profits available by Project C and its capacity to provide accounting returns over the life of the project. On the other hand, ‘Net present value’ is used to determine whether the PV of the future cash inflows is greater than the initial investment after considering the time value of money. The expected return on Projects A and B was NPV of £-6.54 million and £-6.08 million, respectively, showcasing negative NPV, which indicates that their returns will not be sufficient to meet the target rate of return of 8%. Comparatively, Project C provided a positive NPV of £0.86 million, which means that it would benefit </w:t>
      </w:r>
      <w:r w:rsidRPr="000779C2">
        <w:rPr>
          <w:color w:val="000000" w:themeColor="text1"/>
          <w:lang w:val="en-IN"/>
        </w:rPr>
        <w:lastRenderedPageBreak/>
        <w:t>the shareholders in terms of maximising their wealth, therefore, leading to the primary financial objective of value maximisation. </w:t>
      </w:r>
    </w:p>
    <w:p w14:paraId="090CAC98" w14:textId="77777777" w:rsidR="00C06288" w:rsidRPr="000779C2" w:rsidRDefault="00C06288" w:rsidP="0055632B">
      <w:pPr>
        <w:spacing w:before="0" w:after="0"/>
        <w:rPr>
          <w:color w:val="000000" w:themeColor="text1"/>
          <w:lang w:val="en-IN"/>
        </w:rPr>
      </w:pPr>
      <w:r w:rsidRPr="000779C2">
        <w:rPr>
          <w:color w:val="000000" w:themeColor="text1"/>
          <w:lang w:val="en-IN"/>
        </w:rPr>
        <w:t>Similar trends have been observed by using the ‘Profitability index’ and ‘Internal rate of return’. Project C recorded the highest PI (1.017), which means that each £1 invested is expected to provide about £1.02 of present value benefits. In contrast, projects A and B had values less than 1.0 (0.869 and 0.878, respectively), affirming that they do not generate enough economic value. Similarly, Project C had an IRR of approximately 9%, whereas the other projects had 3%, which was less than the required rate of return of 8%. Overall, Project C is the best investment option supported by five investment appraisal methods. It provides the fastest capital recovery, the highest accounting return, positive NPV, a profitability index greater than 1, and an IRR above the required rate of return. Therefore, based on the quantitative analysis, the most feasible project to make the maximum revenue will be Project C.</w:t>
      </w:r>
    </w:p>
    <w:p w14:paraId="4645EBC1" w14:textId="77777777" w:rsidR="00C06288" w:rsidRPr="000779C2" w:rsidRDefault="00C06288" w:rsidP="0055632B">
      <w:pPr>
        <w:pStyle w:val="Heading2"/>
        <w:spacing w:before="0" w:after="0"/>
        <w:rPr>
          <w:color w:val="000000" w:themeColor="text1"/>
          <w:lang w:val="en-IN"/>
        </w:rPr>
      </w:pPr>
      <w:bookmarkStart w:id="20" w:name="_Toc235615321"/>
      <w:r w:rsidRPr="000779C2">
        <w:rPr>
          <w:color w:val="000000" w:themeColor="text1"/>
          <w:lang w:val="en-IN"/>
        </w:rPr>
        <w:t>4.3 Comparative Evaluation of Projects</w:t>
      </w:r>
      <w:bookmarkEnd w:id="20"/>
    </w:p>
    <w:p w14:paraId="03722F39" w14:textId="77777777" w:rsidR="00C06288" w:rsidRPr="000779C2" w:rsidRDefault="00C06288" w:rsidP="0055632B">
      <w:pPr>
        <w:spacing w:before="0" w:after="0"/>
        <w:rPr>
          <w:color w:val="000000" w:themeColor="text1"/>
          <w:lang w:val="en-IN"/>
        </w:rPr>
      </w:pPr>
      <w:r w:rsidRPr="000779C2">
        <w:rPr>
          <w:color w:val="000000" w:themeColor="text1"/>
          <w:lang w:val="en-IN"/>
        </w:rPr>
        <w:t xml:space="preserve">Financial attractiveness can be clearly observed from the comparative analysis of the three investment projects proposed. Projects A and B have positive inflows every year through their active operations, but they do not meet the company's required rate of return. They have negative NPVs as well as profitability indices below 1, with IRRs of 3%, suggesting that the discounted future cash flows are not enough to justify the initial investment. So, either project would provide the shareholders with losses in the short term despite being successful in the long term. On the other hand, annual cash inflows for Project B seem to be stable, which results in Project B being marginally better than Project A, supported by the results of ARR, NPV, and Profitability Index. However, the payback periods for both projects, which range from more than 4 years, are relatively long, making them unattractive in terms of sustaining liquidity or efficient capital usage as strategic goals. On the contrary, Project C has a better financial performance through all the investment appraisal methods. The overall favourable NPV of £0.86 million, profitability index of 1.017, and IRR of 9%, and the shortest payback period of 3.60 years represent its ability to generate returns more than the 8% required rate and also repays invested funds comparatively than other choices. The project also shows good accounting profitability with an ARR of 12%, which is another indication of the financing commitment's viability. Overall, Project C is consistently determined to be the most economically viable investment as it has the </w:t>
      </w:r>
      <w:r w:rsidRPr="000779C2">
        <w:rPr>
          <w:color w:val="000000" w:themeColor="text1"/>
          <w:lang w:val="en-IN"/>
        </w:rPr>
        <w:lastRenderedPageBreak/>
        <w:t>greatest balance between profitability, value creation, capital recovery, and long-term shareholder wealth maximisation.</w:t>
      </w:r>
    </w:p>
    <w:p w14:paraId="4E8A4498" w14:textId="77777777" w:rsidR="00C06288" w:rsidRPr="000779C2" w:rsidRDefault="00C06288" w:rsidP="0055632B">
      <w:pPr>
        <w:pStyle w:val="Heading2"/>
        <w:spacing w:before="0" w:after="0"/>
        <w:rPr>
          <w:color w:val="000000" w:themeColor="text1"/>
          <w:lang w:val="en-IN"/>
        </w:rPr>
      </w:pPr>
      <w:bookmarkStart w:id="21" w:name="_Toc235615322"/>
      <w:r w:rsidRPr="000779C2">
        <w:rPr>
          <w:color w:val="000000" w:themeColor="text1"/>
          <w:lang w:val="en-IN"/>
        </w:rPr>
        <w:t>4.4 Project Recommendation</w:t>
      </w:r>
      <w:bookmarkEnd w:id="21"/>
    </w:p>
    <w:p w14:paraId="29765F79" w14:textId="179CDFC5" w:rsidR="00C06288" w:rsidRPr="000779C2" w:rsidRDefault="00C06288" w:rsidP="0055632B">
      <w:pPr>
        <w:spacing w:before="0" w:after="0"/>
        <w:rPr>
          <w:color w:val="000000" w:themeColor="text1"/>
          <w:lang w:val="en-IN"/>
        </w:rPr>
      </w:pPr>
      <w:r w:rsidRPr="000779C2">
        <w:rPr>
          <w:color w:val="000000" w:themeColor="text1"/>
          <w:lang w:val="en-IN"/>
        </w:rPr>
        <w:t>Project C is recommended as the most preferred project due to the results of the investment appraisal, confirmed by its sufficient ability to meet all major financial decision criteria. It has a positive NPV of £0.86 million, the highest ARR (12%), a shorter payback period (3.60 years), an ARR over 1 (1.017), and an IRR greater than the company's benchmark of 8% (9%). This recommended project is also consistent with IHG's current financial situation. The company's profitability, better operating cash generation, and asset efficiencies have been satisfactory, making it well-positioned to capture this investment opportunity that can provide long-term value to shareholders. In addition, the more rapid asset recovery within Project C provides additional support for IHG's conservative goals with liquidity management. On the contrary, from a non-financial perspective, Project C provides increased strategic flexibility with limited financial risk in providing for sustainable growth. However, management should keep monitoring external situations such as geopolitical uncertainties, increasing prices, currency fluctuations, and shifting consumer habits regarding travelling to ensure that the anticipated benefits on the project's cash flows are attainable (</w:t>
      </w:r>
      <w:proofErr w:type="spellStart"/>
      <w:r w:rsidRPr="000779C2">
        <w:rPr>
          <w:color w:val="000000" w:themeColor="text1"/>
          <w:lang w:val="en-IN"/>
        </w:rPr>
        <w:t>Awodire</w:t>
      </w:r>
      <w:proofErr w:type="spellEnd"/>
      <w:r w:rsidRPr="000779C2">
        <w:rPr>
          <w:color w:val="000000" w:themeColor="text1"/>
          <w:lang w:val="en-IN"/>
        </w:rPr>
        <w:t xml:space="preserve"> </w:t>
      </w:r>
      <w:r w:rsidR="00462977" w:rsidRPr="000779C2">
        <w:rPr>
          <w:i/>
          <w:iCs/>
          <w:color w:val="000000" w:themeColor="text1"/>
          <w:lang w:val="en-IN"/>
        </w:rPr>
        <w:t>et al.</w:t>
      </w:r>
      <w:r w:rsidRPr="000779C2">
        <w:rPr>
          <w:color w:val="000000" w:themeColor="text1"/>
          <w:lang w:val="en-IN"/>
        </w:rPr>
        <w:t xml:space="preserve"> 2023). In summary, the financial, operational, and strategic attributes of Project C are most favourable to the long-term business needs of IHG.</w:t>
      </w:r>
    </w:p>
    <w:p w14:paraId="3D398025" w14:textId="77777777" w:rsidR="00C06288" w:rsidRPr="000779C2" w:rsidRDefault="00C06288" w:rsidP="0055632B">
      <w:pPr>
        <w:pStyle w:val="Heading2"/>
        <w:spacing w:before="0" w:after="0"/>
        <w:rPr>
          <w:color w:val="000000" w:themeColor="text1"/>
          <w:lang w:val="en-IN"/>
        </w:rPr>
      </w:pPr>
      <w:bookmarkStart w:id="22" w:name="_Toc235615323"/>
      <w:r w:rsidRPr="000779C2">
        <w:rPr>
          <w:color w:val="000000" w:themeColor="text1"/>
          <w:lang w:val="en-IN"/>
        </w:rPr>
        <w:t>4.5 Capital Rationing Analysis</w:t>
      </w:r>
      <w:bookmarkEnd w:id="22"/>
    </w:p>
    <w:p w14:paraId="61F5E774" w14:textId="77777777" w:rsidR="00C06288" w:rsidRPr="000779C2" w:rsidRDefault="00C06288" w:rsidP="0055632B">
      <w:pPr>
        <w:spacing w:before="0" w:after="0"/>
        <w:rPr>
          <w:color w:val="000000" w:themeColor="text1"/>
          <w:lang w:val="en-IN"/>
        </w:rPr>
      </w:pPr>
      <w:r w:rsidRPr="000779C2">
        <w:rPr>
          <w:color w:val="000000" w:themeColor="text1"/>
          <w:lang w:val="en-IN"/>
        </w:rPr>
        <w:t xml:space="preserve">From the capital rationing constraint, IHG showcased a maximum investment budget of £100 million, allowing it to invest in any two of three projects. The study of investment appraisal calculations has resulted in 3 possible combinations: Projects A and B, Projects A and C, and Projects B and C. The three have NPVs of -£12.62 million, -£5.68 million, and -£5.22 million, respectively. Among all these three alternatives, the company must optimise its total £100 million budget on Projects B and C. The relatively predictable annual cash inflows from Project B, along with the high profitability and value creation from Project C, make this combination a balanced investment portfolio. However, the combined NPV of Projects B and C will remain negative, meaning that investing in both projects would decrease the wealth of shareholders by spending the entire capital budget. Using the NPV decision rule, organisations should commit funds to projects that add economic value, rather than exhausting resources (Coccia, 2023). Hence, the ideal financially viable decisions </w:t>
      </w:r>
      <w:r w:rsidRPr="000779C2">
        <w:rPr>
          <w:color w:val="000000" w:themeColor="text1"/>
          <w:lang w:val="en-IN"/>
        </w:rPr>
        <w:lastRenderedPageBreak/>
        <w:t>would be to consider Project C only, with an investment of £50 million, and leave the other £50 million for future project opportunities with positive NPVs or for other strategic projects. This approach will also help the organisation to maximise shareholders’ value and is aligned with wise investment decisions and financial discipline.</w:t>
      </w:r>
    </w:p>
    <w:p w14:paraId="31BD2914" w14:textId="77777777" w:rsidR="00C06288" w:rsidRPr="000779C2" w:rsidRDefault="00C06288" w:rsidP="0055632B">
      <w:pPr>
        <w:pStyle w:val="Heading1"/>
        <w:spacing w:before="0" w:after="0"/>
        <w:rPr>
          <w:color w:val="000000" w:themeColor="text1"/>
          <w:lang w:val="en-IN"/>
        </w:rPr>
      </w:pPr>
      <w:bookmarkStart w:id="23" w:name="_Toc235615324"/>
      <w:r w:rsidRPr="000779C2">
        <w:rPr>
          <w:color w:val="000000" w:themeColor="text1"/>
          <w:lang w:val="en-IN"/>
        </w:rPr>
        <w:t>5. Critical Reflection on AI Usage</w:t>
      </w:r>
      <w:bookmarkEnd w:id="23"/>
    </w:p>
    <w:p w14:paraId="40DDB93C" w14:textId="77777777" w:rsidR="00C06288" w:rsidRPr="000779C2" w:rsidRDefault="00C06288" w:rsidP="0055632B">
      <w:pPr>
        <w:pStyle w:val="Heading2"/>
        <w:spacing w:before="0" w:after="0"/>
        <w:rPr>
          <w:color w:val="000000" w:themeColor="text1"/>
          <w:lang w:val="en-IN"/>
        </w:rPr>
      </w:pPr>
      <w:bookmarkStart w:id="24" w:name="_Toc235615325"/>
      <w:r w:rsidRPr="000779C2">
        <w:rPr>
          <w:color w:val="000000" w:themeColor="text1"/>
          <w:lang w:val="en-IN"/>
        </w:rPr>
        <w:t>5.1 Tool Disclosure</w:t>
      </w:r>
      <w:bookmarkEnd w:id="24"/>
    </w:p>
    <w:p w14:paraId="3666FF16" w14:textId="51910791" w:rsidR="00C06288" w:rsidRPr="000779C2" w:rsidRDefault="00C06288" w:rsidP="0055632B">
      <w:pPr>
        <w:spacing w:before="0" w:after="0"/>
        <w:rPr>
          <w:b/>
          <w:bCs/>
          <w:color w:val="000000" w:themeColor="text1"/>
          <w:lang w:val="en-IN"/>
        </w:rPr>
      </w:pPr>
      <w:r w:rsidRPr="000779C2">
        <w:rPr>
          <w:color w:val="000000" w:themeColor="text1"/>
          <w:lang w:val="en-IN"/>
        </w:rPr>
        <w:t>This report has been developed using the two AI tools, which are ChatGPT and Grammarly. ChatGPT has been used to assist with background research and provide explanations on financial management concepts, organise the relevance of the report, and to clarify financial appraisal techniques deployed. It also helped with the analysis of the IHG's publicly released financial reports from the annual reports. Grammarly was used only to check grammar, spelling, punctuation, and sentence structure in order to make the information in the report clearer and easier to read. They both were used within the scope allowed by the assessment guidance, as all calculations, interpretations, and final decisions were done by the author.</w:t>
      </w:r>
    </w:p>
    <w:p w14:paraId="15180BE4" w14:textId="1BF58E76" w:rsidR="00C06288" w:rsidRPr="000779C2" w:rsidRDefault="00C06288" w:rsidP="0055632B">
      <w:pPr>
        <w:pStyle w:val="Heading2"/>
        <w:spacing w:before="0" w:after="0"/>
        <w:rPr>
          <w:color w:val="000000" w:themeColor="text1"/>
          <w:lang w:val="en-IN"/>
        </w:rPr>
      </w:pPr>
      <w:bookmarkStart w:id="25" w:name="_Toc235615326"/>
      <w:r w:rsidRPr="000779C2">
        <w:rPr>
          <w:color w:val="000000" w:themeColor="text1"/>
          <w:lang w:val="en-IN"/>
        </w:rPr>
        <w:t>5.2 Verification of AI Outputs</w:t>
      </w:r>
      <w:bookmarkEnd w:id="25"/>
    </w:p>
    <w:p w14:paraId="70D4040D" w14:textId="77777777" w:rsidR="00C06288" w:rsidRPr="000779C2" w:rsidRDefault="00C06288" w:rsidP="0055632B">
      <w:pPr>
        <w:spacing w:before="0" w:after="0"/>
        <w:rPr>
          <w:color w:val="000000" w:themeColor="text1"/>
          <w:lang w:val="en-IN"/>
        </w:rPr>
      </w:pPr>
      <w:r w:rsidRPr="000779C2">
        <w:rPr>
          <w:color w:val="000000" w:themeColor="text1"/>
          <w:lang w:val="en-IN"/>
        </w:rPr>
        <w:t>AI tools have enhanced the efficiency in report preparation, hence, the AI-generated information was thoroughly cross-checked and verified before its inclusion. The financial information was compared with IHG's official annual reports for those specific financial years, and other financial information, such as values of the income statement, balance sheet, and cash flow statement, was compared. Numerical accuracy of all financial ratios, investment appraisal calculations, and working capital measures was checked against the accuracy of the numbers using manual calculations done in Microsoft Excel. Academic textbooks and literature published by peer-reviewed sources were also consulted to support the interpretation of financial concepts and make the financial management principles consistent with the interpretation. AI-generated explanations have been edited or supplemented with information from authoritative sources, as they often seemed general, lacked details, or were internally inconsistent. The verification process ensured the report's inclusion of reliable information and minimised the likelihood of using incorrect or misleading AI-generated information.</w:t>
      </w:r>
    </w:p>
    <w:p w14:paraId="568CDC2E" w14:textId="3E887FC7" w:rsidR="00C06288" w:rsidRPr="000779C2" w:rsidRDefault="00C06288" w:rsidP="0055632B">
      <w:pPr>
        <w:pStyle w:val="Heading2"/>
        <w:spacing w:before="0" w:after="0"/>
        <w:rPr>
          <w:color w:val="000000" w:themeColor="text1"/>
          <w:lang w:val="en-IN"/>
        </w:rPr>
      </w:pPr>
      <w:bookmarkStart w:id="26" w:name="_Toc235615327"/>
      <w:r w:rsidRPr="000779C2">
        <w:rPr>
          <w:color w:val="000000" w:themeColor="text1"/>
          <w:lang w:val="en-IN"/>
        </w:rPr>
        <w:lastRenderedPageBreak/>
        <w:t>5.3 Contribution Analysis</w:t>
      </w:r>
      <w:bookmarkEnd w:id="26"/>
    </w:p>
    <w:p w14:paraId="7AFBADFD" w14:textId="77EB8C56" w:rsidR="00C06288" w:rsidRPr="000779C2" w:rsidRDefault="00C06288" w:rsidP="0055632B">
      <w:pPr>
        <w:spacing w:before="0" w:after="0"/>
        <w:rPr>
          <w:b/>
          <w:bCs/>
          <w:color w:val="000000" w:themeColor="text1"/>
          <w:lang w:val="en-IN"/>
        </w:rPr>
      </w:pPr>
      <w:r w:rsidRPr="000779C2">
        <w:rPr>
          <w:color w:val="000000" w:themeColor="text1"/>
          <w:lang w:val="en-IN"/>
        </w:rPr>
        <w:t>AI has been considered a supporting tool in this study instead of an independent work. It effectively assisted in structuring the complete report, presenting financial techniques, and getting their written material together. However, the selection of IHG as the case company, extracting financial information for its annual reports, calculating financial ratios, the investment appraisal analysis, and interpretation of financial performance was undertaken independently. Evaluation of liquidity, profitability, restructuring strategies, and investment recommendations was developed by the critical thinking of the author, by incorporating financial evidence with theoretical concepts. The calculated results were correlated after considering both financial and strategic considerations to get final conclusions and recommendations. As a result, AI assisted in streamlining efficiency and organisation, synthesis of evidence, and personal judgement in the author’s personal contribution.</w:t>
      </w:r>
    </w:p>
    <w:p w14:paraId="45CD8170" w14:textId="77777777" w:rsidR="00C06288" w:rsidRPr="000779C2" w:rsidRDefault="00C06288" w:rsidP="0055632B">
      <w:pPr>
        <w:pStyle w:val="Heading2"/>
        <w:spacing w:before="0" w:after="0"/>
        <w:rPr>
          <w:color w:val="000000" w:themeColor="text1"/>
          <w:lang w:val="en-IN"/>
        </w:rPr>
      </w:pPr>
      <w:bookmarkStart w:id="27" w:name="_Toc235615328"/>
      <w:r w:rsidRPr="000779C2">
        <w:rPr>
          <w:color w:val="000000" w:themeColor="text1"/>
          <w:lang w:val="en-IN"/>
        </w:rPr>
        <w:t>5.4 Ethical and Professional Reflection</w:t>
      </w:r>
      <w:bookmarkEnd w:id="27"/>
    </w:p>
    <w:p w14:paraId="74E7ACF2" w14:textId="499F8931" w:rsidR="00C06288" w:rsidRPr="000779C2" w:rsidRDefault="00C06288" w:rsidP="0055632B">
      <w:pPr>
        <w:spacing w:before="0" w:after="0"/>
        <w:rPr>
          <w:color w:val="000000" w:themeColor="text1"/>
          <w:lang w:val="en-IN"/>
        </w:rPr>
      </w:pPr>
      <w:r w:rsidRPr="000779C2">
        <w:rPr>
          <w:color w:val="000000" w:themeColor="text1"/>
          <w:lang w:val="en-IN"/>
        </w:rPr>
        <w:t>Financial professionals have encountered several challenges and opportunities due to the increasing usage of AI. AI is able to significantly enhance the efficiency of working with vast amounts of data, such as aiding in financial analysis and improving the quality of business reporting. However, excess use of AI can potentially lead to false conclusions if generated outputs are not verified and validated properly. In the field of financial decision-making, every small mistake has a significant impact on investment decisions, financial reports, and stakeholder confidence, highlighting the need for professional judgment in decision-making. In academic and professional contexts, transparency is crucial when AI tools are being employed. The use of AI needs to be transparent, properly explained, and the resulting content should be acknowledged accordingly. Another factor to consider is data privacy, especially when handling confidential financial or commercial information. As a professional, AI should be used to augment rather than replace human skills. While automation can assist strategists, other factors such as organisational goals and objectives, market factors, stakeholder expectations, and ethical considerations should not be ignored. This report testifies to how effective AI can be as a decision support tool when the output or suggestions are critically examined and can be backed by evidence. Therefore, AI should be responsibly used by prioritising efficiency in organising independent analysis, ethical considerations, and strong professional judgement.</w:t>
      </w:r>
    </w:p>
    <w:p w14:paraId="76E2B0C1" w14:textId="77777777" w:rsidR="00C06288" w:rsidRPr="000779C2" w:rsidRDefault="00C06288" w:rsidP="0055632B">
      <w:pPr>
        <w:pStyle w:val="Heading1"/>
        <w:spacing w:before="0" w:after="0"/>
        <w:rPr>
          <w:color w:val="000000" w:themeColor="text1"/>
          <w:lang w:val="en-IN"/>
        </w:rPr>
      </w:pPr>
      <w:bookmarkStart w:id="28" w:name="_Toc235615329"/>
      <w:r w:rsidRPr="000779C2">
        <w:rPr>
          <w:color w:val="000000" w:themeColor="text1"/>
          <w:lang w:val="en-IN"/>
        </w:rPr>
        <w:lastRenderedPageBreak/>
        <w:t>Conclusion</w:t>
      </w:r>
      <w:bookmarkEnd w:id="28"/>
    </w:p>
    <w:p w14:paraId="71A3CB3B" w14:textId="29F510A6" w:rsidR="00C06288" w:rsidRPr="000779C2" w:rsidRDefault="00C06288" w:rsidP="0055632B">
      <w:pPr>
        <w:spacing w:before="0" w:after="0"/>
        <w:rPr>
          <w:color w:val="000000" w:themeColor="text1"/>
          <w:lang w:val="en-IN"/>
        </w:rPr>
      </w:pPr>
      <w:r w:rsidRPr="000779C2">
        <w:rPr>
          <w:color w:val="000000" w:themeColor="text1"/>
          <w:lang w:val="en-IN"/>
        </w:rPr>
        <w:t>This report analysed InterContinental Hotels Group (IHG) financial results and financial management strategy between 2021 and 2025. The results show that the company has performed efficiently to recover from the effects of the pandemic through generating revenue, profitability, cash generated from operations growth, as well as the asset-light business model. The proposed measures for financial restructuring, including selective asset divestment, excessive dependence on retained earnings, and debt refinancing, would also improve the financial flexibility and long-term sustainability. Project C was the best option supported by the investment appraisal process as it has the greatest return and the only positive NPV. In summary, IHG is sufficiently well-equipped for sustainable future growth, with underlying robust financial management, effective control of capital expenditure, and prudent strategic decision-making investment in a more competitive global hospitality sector.</w:t>
      </w:r>
    </w:p>
    <w:p w14:paraId="00000042" w14:textId="2ED59E71" w:rsidR="009D019D" w:rsidRPr="000779C2" w:rsidRDefault="00000000" w:rsidP="0055632B">
      <w:pPr>
        <w:spacing w:before="0" w:after="0"/>
        <w:rPr>
          <w:color w:val="000000" w:themeColor="text1"/>
          <w:szCs w:val="24"/>
        </w:rPr>
      </w:pPr>
      <w:r w:rsidRPr="000779C2">
        <w:rPr>
          <w:color w:val="000000" w:themeColor="text1"/>
        </w:rPr>
        <w:br w:type="page"/>
      </w:r>
    </w:p>
    <w:p w14:paraId="00000043" w14:textId="77777777" w:rsidR="009D019D" w:rsidRPr="000779C2" w:rsidRDefault="00000000" w:rsidP="0055632B">
      <w:pPr>
        <w:pStyle w:val="Heading1"/>
        <w:spacing w:before="0" w:after="0"/>
        <w:rPr>
          <w:color w:val="000000" w:themeColor="text1"/>
        </w:rPr>
      </w:pPr>
      <w:bookmarkStart w:id="29" w:name="_Toc235615330"/>
      <w:r w:rsidRPr="000779C2">
        <w:rPr>
          <w:color w:val="000000" w:themeColor="text1"/>
        </w:rPr>
        <w:lastRenderedPageBreak/>
        <w:t>Reference List</w:t>
      </w:r>
      <w:bookmarkEnd w:id="29"/>
      <w:r w:rsidRPr="000779C2">
        <w:rPr>
          <w:color w:val="000000" w:themeColor="text1"/>
        </w:rPr>
        <w:t xml:space="preserve"> </w:t>
      </w:r>
    </w:p>
    <w:p w14:paraId="1584EC4A" w14:textId="77777777" w:rsidR="00344CDC" w:rsidRPr="000779C2" w:rsidRDefault="00344CDC" w:rsidP="0055632B">
      <w:pPr>
        <w:spacing w:before="0" w:after="0"/>
        <w:rPr>
          <w:color w:val="000000" w:themeColor="text1"/>
          <w:szCs w:val="24"/>
        </w:rPr>
      </w:pPr>
      <w:r w:rsidRPr="000779C2">
        <w:rPr>
          <w:color w:val="000000" w:themeColor="text1"/>
          <w:szCs w:val="24"/>
        </w:rPr>
        <w:t xml:space="preserve">Adhikari, H.P., Krolikowski, M.W., Malm, J. and Sah, N.B., 2021. Working capital (mis) management–impact of executive age. Accounting &amp; Finance, 61(1), pp.727-761. </w:t>
      </w:r>
      <w:hyperlink r:id="rId17">
        <w:r w:rsidRPr="000779C2">
          <w:rPr>
            <w:color w:val="000000" w:themeColor="text1"/>
            <w:szCs w:val="24"/>
            <w:u w:val="single"/>
          </w:rPr>
          <w:t>https://onlinelibrary.wiley.com/doi/abs/10.1111/acfi.12591</w:t>
        </w:r>
      </w:hyperlink>
      <w:r w:rsidRPr="000779C2">
        <w:rPr>
          <w:color w:val="000000" w:themeColor="text1"/>
          <w:szCs w:val="24"/>
        </w:rPr>
        <w:t xml:space="preserve"> </w:t>
      </w:r>
    </w:p>
    <w:p w14:paraId="2769A0A9" w14:textId="77777777" w:rsidR="00344CDC" w:rsidRPr="000779C2" w:rsidRDefault="00344CDC" w:rsidP="0055632B">
      <w:pPr>
        <w:spacing w:before="0" w:after="0"/>
        <w:rPr>
          <w:color w:val="000000" w:themeColor="text1"/>
          <w:szCs w:val="24"/>
        </w:rPr>
      </w:pPr>
      <w:r w:rsidRPr="000779C2">
        <w:rPr>
          <w:color w:val="000000" w:themeColor="text1"/>
          <w:szCs w:val="24"/>
        </w:rPr>
        <w:t xml:space="preserve">Aghayev, A. and Najafov, S., 2025. Rethinking Debt Refinancing: Addressing Financial Instability Through Credit Market Segmentation. Available at SSRN 5259954. </w:t>
      </w:r>
      <w:hyperlink r:id="rId18">
        <w:r w:rsidRPr="000779C2">
          <w:rPr>
            <w:color w:val="000000" w:themeColor="text1"/>
            <w:szCs w:val="24"/>
            <w:u w:val="single"/>
          </w:rPr>
          <w:t>https://dx.doi.org/10.2139/ssrn.5259954</w:t>
        </w:r>
      </w:hyperlink>
      <w:r w:rsidRPr="000779C2">
        <w:rPr>
          <w:color w:val="000000" w:themeColor="text1"/>
          <w:szCs w:val="24"/>
        </w:rPr>
        <w:t xml:space="preserve"> </w:t>
      </w:r>
    </w:p>
    <w:p w14:paraId="1A453BB4" w14:textId="77777777" w:rsidR="00344CDC" w:rsidRPr="000779C2" w:rsidRDefault="00344CDC" w:rsidP="0055632B">
      <w:pPr>
        <w:spacing w:before="0" w:after="0"/>
        <w:rPr>
          <w:color w:val="000000" w:themeColor="text1"/>
          <w:szCs w:val="24"/>
        </w:rPr>
      </w:pPr>
      <w:proofErr w:type="spellStart"/>
      <w:r w:rsidRPr="000779C2">
        <w:rPr>
          <w:color w:val="000000" w:themeColor="text1"/>
          <w:szCs w:val="24"/>
        </w:rPr>
        <w:t>Awodire</w:t>
      </w:r>
      <w:proofErr w:type="spellEnd"/>
      <w:r w:rsidRPr="000779C2">
        <w:rPr>
          <w:color w:val="000000" w:themeColor="text1"/>
          <w:szCs w:val="24"/>
        </w:rPr>
        <w:t xml:space="preserve">, M., Agboola, O., </w:t>
      </w:r>
      <w:proofErr w:type="spellStart"/>
      <w:r w:rsidRPr="000779C2">
        <w:rPr>
          <w:color w:val="000000" w:themeColor="text1"/>
          <w:szCs w:val="24"/>
        </w:rPr>
        <w:t>Ogundojutimi</w:t>
      </w:r>
      <w:proofErr w:type="spellEnd"/>
      <w:r w:rsidRPr="000779C2">
        <w:rPr>
          <w:color w:val="000000" w:themeColor="text1"/>
          <w:szCs w:val="24"/>
        </w:rPr>
        <w:t xml:space="preserve">, O. and </w:t>
      </w:r>
      <w:proofErr w:type="spellStart"/>
      <w:r w:rsidRPr="000779C2">
        <w:rPr>
          <w:color w:val="000000" w:themeColor="text1"/>
          <w:szCs w:val="24"/>
        </w:rPr>
        <w:t>Odumuwagun</w:t>
      </w:r>
      <w:proofErr w:type="spellEnd"/>
      <w:r w:rsidRPr="000779C2">
        <w:rPr>
          <w:color w:val="000000" w:themeColor="text1"/>
          <w:szCs w:val="24"/>
        </w:rPr>
        <w:t xml:space="preserve">, O., 2023. Capital budgeting and financial investment appraisal: A review of archival literature. American Journal of Multidisciplinary Research in Africa, 3(10.58314). </w:t>
      </w:r>
      <w:hyperlink r:id="rId19" w:history="1">
        <w:r w:rsidRPr="000779C2">
          <w:rPr>
            <w:rStyle w:val="Hyperlink"/>
            <w:color w:val="000000" w:themeColor="text1"/>
            <w:szCs w:val="24"/>
          </w:rPr>
          <w:t>https://doi.org/10.58314/UUHYT2</w:t>
        </w:r>
      </w:hyperlink>
      <w:r w:rsidRPr="000779C2">
        <w:rPr>
          <w:color w:val="000000" w:themeColor="text1"/>
          <w:szCs w:val="24"/>
        </w:rPr>
        <w:t xml:space="preserve"> </w:t>
      </w:r>
    </w:p>
    <w:p w14:paraId="6D1026BB" w14:textId="77777777" w:rsidR="00344CDC" w:rsidRPr="000779C2" w:rsidRDefault="00344CDC" w:rsidP="0055632B">
      <w:pPr>
        <w:spacing w:before="0" w:after="0"/>
        <w:rPr>
          <w:color w:val="000000" w:themeColor="text1"/>
          <w:szCs w:val="24"/>
        </w:rPr>
      </w:pPr>
      <w:r w:rsidRPr="000779C2">
        <w:rPr>
          <w:color w:val="000000" w:themeColor="text1"/>
          <w:szCs w:val="24"/>
        </w:rPr>
        <w:t xml:space="preserve">Boyarchenko, N. and Elias, L., 2024. Corporate debt structure over the global credit cycle (No. 1139). Staff Reports. </w:t>
      </w:r>
      <w:hyperlink r:id="rId20" w:history="1">
        <w:r w:rsidRPr="000779C2">
          <w:rPr>
            <w:rStyle w:val="Hyperlink"/>
            <w:color w:val="000000" w:themeColor="text1"/>
            <w:szCs w:val="24"/>
          </w:rPr>
          <w:t>https://doi.org/10.59576/sr.1139%0A</w:t>
        </w:r>
      </w:hyperlink>
      <w:r w:rsidRPr="000779C2">
        <w:rPr>
          <w:color w:val="000000" w:themeColor="text1"/>
          <w:szCs w:val="24"/>
        </w:rPr>
        <w:t xml:space="preserve"> </w:t>
      </w:r>
    </w:p>
    <w:p w14:paraId="1FAAB292" w14:textId="77777777" w:rsidR="00344CDC" w:rsidRPr="000779C2" w:rsidRDefault="00344CDC" w:rsidP="0055632B">
      <w:pPr>
        <w:spacing w:before="0" w:after="0"/>
        <w:rPr>
          <w:color w:val="000000" w:themeColor="text1"/>
          <w:szCs w:val="24"/>
        </w:rPr>
      </w:pPr>
      <w:r w:rsidRPr="000779C2">
        <w:rPr>
          <w:color w:val="000000" w:themeColor="text1"/>
          <w:szCs w:val="24"/>
        </w:rPr>
        <w:t xml:space="preserve">Bui, T.N., Nguyen, X.H. and Pham, K.T., 2023. The effect of capital structure on firm value: A study of companies listed on the Vietnamese stock market. International Journal of Financial Studies, 11(3), p.100. </w:t>
      </w:r>
      <w:hyperlink r:id="rId21">
        <w:r w:rsidRPr="000779C2">
          <w:rPr>
            <w:color w:val="000000" w:themeColor="text1"/>
            <w:szCs w:val="24"/>
            <w:u w:val="single"/>
          </w:rPr>
          <w:t>https://doi.org/10.3390/ijfs11030100</w:t>
        </w:r>
      </w:hyperlink>
      <w:r w:rsidRPr="000779C2">
        <w:rPr>
          <w:color w:val="000000" w:themeColor="text1"/>
          <w:szCs w:val="24"/>
        </w:rPr>
        <w:t xml:space="preserve"> </w:t>
      </w:r>
    </w:p>
    <w:p w14:paraId="72914E66" w14:textId="77777777" w:rsidR="00344CDC" w:rsidRPr="000779C2" w:rsidRDefault="00344CDC" w:rsidP="0055632B">
      <w:pPr>
        <w:spacing w:before="0" w:after="0"/>
        <w:rPr>
          <w:color w:val="000000" w:themeColor="text1"/>
          <w:szCs w:val="24"/>
          <w:lang w:val="es-ES"/>
        </w:rPr>
      </w:pPr>
      <w:proofErr w:type="spellStart"/>
      <w:r w:rsidRPr="000779C2">
        <w:rPr>
          <w:color w:val="000000" w:themeColor="text1"/>
          <w:szCs w:val="24"/>
        </w:rPr>
        <w:t>Cangoz</w:t>
      </w:r>
      <w:proofErr w:type="spellEnd"/>
      <w:r w:rsidRPr="000779C2">
        <w:rPr>
          <w:color w:val="000000" w:themeColor="text1"/>
          <w:szCs w:val="24"/>
        </w:rPr>
        <w:t xml:space="preserve">, M.C. and </w:t>
      </w:r>
      <w:proofErr w:type="spellStart"/>
      <w:r w:rsidRPr="000779C2">
        <w:rPr>
          <w:color w:val="000000" w:themeColor="text1"/>
          <w:szCs w:val="24"/>
        </w:rPr>
        <w:t>Secunho</w:t>
      </w:r>
      <w:proofErr w:type="spellEnd"/>
      <w:r w:rsidRPr="000779C2">
        <w:rPr>
          <w:color w:val="000000" w:themeColor="text1"/>
          <w:szCs w:val="24"/>
        </w:rPr>
        <w:t xml:space="preserve">, L., 2021. Cash management: how do countries perform sound </w:t>
      </w:r>
      <w:proofErr w:type="gramStart"/>
      <w:r w:rsidRPr="000779C2">
        <w:rPr>
          <w:color w:val="000000" w:themeColor="text1"/>
          <w:szCs w:val="24"/>
        </w:rPr>
        <w:t>practices?.</w:t>
      </w:r>
      <w:proofErr w:type="gramEnd"/>
      <w:r w:rsidRPr="000779C2">
        <w:rPr>
          <w:color w:val="000000" w:themeColor="text1"/>
          <w:szCs w:val="24"/>
        </w:rPr>
        <w:t xml:space="preserve"> </w:t>
      </w:r>
      <w:r w:rsidRPr="000779C2">
        <w:rPr>
          <w:color w:val="000000" w:themeColor="text1"/>
          <w:szCs w:val="24"/>
          <w:lang w:val="es-ES"/>
        </w:rPr>
        <w:t xml:space="preserve">Revista Nacional de Administración, 12(1). </w:t>
      </w:r>
      <w:hyperlink r:id="rId22">
        <w:r w:rsidRPr="000779C2">
          <w:rPr>
            <w:color w:val="000000" w:themeColor="text1"/>
            <w:szCs w:val="24"/>
            <w:u w:val="single"/>
            <w:lang w:val="es-ES"/>
          </w:rPr>
          <w:t>http://dx.doi.org/10.22458/rna.v12i1.3572</w:t>
        </w:r>
      </w:hyperlink>
      <w:r w:rsidRPr="000779C2">
        <w:rPr>
          <w:color w:val="000000" w:themeColor="text1"/>
          <w:szCs w:val="24"/>
          <w:lang w:val="es-ES"/>
        </w:rPr>
        <w:t xml:space="preserve"> </w:t>
      </w:r>
    </w:p>
    <w:p w14:paraId="4B798435" w14:textId="77777777" w:rsidR="00344CDC" w:rsidRPr="000779C2" w:rsidRDefault="00344CDC" w:rsidP="0055632B">
      <w:pPr>
        <w:spacing w:before="0" w:after="0"/>
        <w:rPr>
          <w:color w:val="000000" w:themeColor="text1"/>
          <w:szCs w:val="24"/>
        </w:rPr>
      </w:pPr>
      <w:r w:rsidRPr="000779C2">
        <w:rPr>
          <w:color w:val="000000" w:themeColor="text1"/>
          <w:szCs w:val="24"/>
          <w:lang w:val="es-ES"/>
        </w:rPr>
        <w:t xml:space="preserve">Coccia, M., 2023. </w:t>
      </w:r>
      <w:r w:rsidRPr="000779C2">
        <w:rPr>
          <w:color w:val="000000" w:themeColor="text1"/>
          <w:szCs w:val="24"/>
        </w:rPr>
        <w:t xml:space="preserve">Comparative critical decisions in management. In Global </w:t>
      </w:r>
      <w:proofErr w:type="spellStart"/>
      <w:r w:rsidRPr="000779C2">
        <w:rPr>
          <w:color w:val="000000" w:themeColor="text1"/>
          <w:szCs w:val="24"/>
        </w:rPr>
        <w:t>encyclopedia</w:t>
      </w:r>
      <w:proofErr w:type="spellEnd"/>
      <w:r w:rsidRPr="000779C2">
        <w:rPr>
          <w:color w:val="000000" w:themeColor="text1"/>
          <w:szCs w:val="24"/>
        </w:rPr>
        <w:t xml:space="preserve"> of public administration, public policy, and governance (pp. 2015-2024). Cham: Springer International Publishing. </w:t>
      </w:r>
      <w:hyperlink r:id="rId23" w:history="1">
        <w:r w:rsidRPr="000779C2">
          <w:rPr>
            <w:rStyle w:val="Hyperlink"/>
            <w:color w:val="000000" w:themeColor="text1"/>
            <w:szCs w:val="24"/>
          </w:rPr>
          <w:t>https://doi.org/10.1007/978-3-319-31816-5_3969-1</w:t>
        </w:r>
      </w:hyperlink>
      <w:r w:rsidRPr="000779C2">
        <w:rPr>
          <w:color w:val="000000" w:themeColor="text1"/>
          <w:szCs w:val="24"/>
        </w:rPr>
        <w:t xml:space="preserve"> </w:t>
      </w:r>
    </w:p>
    <w:p w14:paraId="0FD1C77D" w14:textId="77777777" w:rsidR="00344CDC" w:rsidRPr="000779C2" w:rsidRDefault="00344CDC" w:rsidP="0055632B">
      <w:pPr>
        <w:spacing w:before="0" w:after="0"/>
        <w:rPr>
          <w:color w:val="000000" w:themeColor="text1"/>
          <w:szCs w:val="24"/>
        </w:rPr>
      </w:pPr>
      <w:r w:rsidRPr="000779C2">
        <w:rPr>
          <w:color w:val="000000" w:themeColor="text1"/>
          <w:szCs w:val="24"/>
        </w:rPr>
        <w:t xml:space="preserve">Deng, G., Fiaschetti, M., Mazzarisi, P. and Medda, F., 2025. Optimizing investment period length and strategies for later stage venture capital staged financing portfolio. The European Journal of Finance, 31(12), pp.1576-1598. </w:t>
      </w:r>
      <w:hyperlink r:id="rId24">
        <w:r w:rsidRPr="000779C2">
          <w:rPr>
            <w:color w:val="000000" w:themeColor="text1"/>
            <w:szCs w:val="24"/>
            <w:u w:val="single"/>
          </w:rPr>
          <w:t>https://www.tandfonline.com/doi/pdf/10.1080/1351847X.2025.2532548</w:t>
        </w:r>
      </w:hyperlink>
      <w:r w:rsidRPr="000779C2">
        <w:rPr>
          <w:color w:val="000000" w:themeColor="text1"/>
          <w:szCs w:val="24"/>
        </w:rPr>
        <w:t xml:space="preserve"> </w:t>
      </w:r>
    </w:p>
    <w:p w14:paraId="7DDEBEE7" w14:textId="77777777" w:rsidR="00344CDC" w:rsidRPr="000779C2" w:rsidRDefault="00344CDC" w:rsidP="0055632B">
      <w:pPr>
        <w:spacing w:before="0" w:after="0"/>
        <w:rPr>
          <w:color w:val="000000" w:themeColor="text1"/>
          <w:szCs w:val="24"/>
        </w:rPr>
      </w:pPr>
      <w:proofErr w:type="spellStart"/>
      <w:r w:rsidRPr="000779C2">
        <w:rPr>
          <w:color w:val="000000" w:themeColor="text1"/>
          <w:szCs w:val="24"/>
        </w:rPr>
        <w:t>Fardous</w:t>
      </w:r>
      <w:proofErr w:type="spellEnd"/>
      <w:r w:rsidRPr="000779C2">
        <w:rPr>
          <w:color w:val="000000" w:themeColor="text1"/>
          <w:szCs w:val="24"/>
        </w:rPr>
        <w:t xml:space="preserve">, M., 2025. Predictive analytics for working capital management: Machine learning applications in cash flow and liquidity forecasting. American Journal of Scholarly Research and Innovation, 4(01), pp.662-694. </w:t>
      </w:r>
      <w:hyperlink r:id="rId25">
        <w:r w:rsidRPr="000779C2">
          <w:rPr>
            <w:color w:val="000000" w:themeColor="text1"/>
            <w:szCs w:val="24"/>
            <w:u w:val="single"/>
          </w:rPr>
          <w:t>https://doi.org/10.63125/xrfrsz89</w:t>
        </w:r>
      </w:hyperlink>
      <w:r w:rsidRPr="000779C2">
        <w:rPr>
          <w:color w:val="000000" w:themeColor="text1"/>
          <w:szCs w:val="24"/>
        </w:rPr>
        <w:t xml:space="preserve">  </w:t>
      </w:r>
    </w:p>
    <w:p w14:paraId="654EA278" w14:textId="77777777" w:rsidR="00344CDC" w:rsidRPr="000779C2" w:rsidRDefault="00344CDC" w:rsidP="0055632B">
      <w:pPr>
        <w:spacing w:before="0" w:after="0"/>
        <w:rPr>
          <w:color w:val="000000" w:themeColor="text1"/>
          <w:szCs w:val="24"/>
          <w:lang w:val="fi-FI"/>
        </w:rPr>
      </w:pPr>
      <w:r w:rsidRPr="000779C2">
        <w:rPr>
          <w:color w:val="000000" w:themeColor="text1"/>
          <w:szCs w:val="24"/>
        </w:rPr>
        <w:t xml:space="preserve">Fauziah, F., </w:t>
      </w:r>
      <w:proofErr w:type="spellStart"/>
      <w:r w:rsidRPr="000779C2">
        <w:rPr>
          <w:color w:val="000000" w:themeColor="text1"/>
          <w:szCs w:val="24"/>
        </w:rPr>
        <w:t>Lismawati</w:t>
      </w:r>
      <w:proofErr w:type="spellEnd"/>
      <w:r w:rsidRPr="000779C2">
        <w:rPr>
          <w:color w:val="000000" w:themeColor="text1"/>
          <w:szCs w:val="24"/>
        </w:rPr>
        <w:t xml:space="preserve">, S.R. and Zien, N.H.R., 2025. Impact of Receivables Turnover and Collection Period on Manufacturing Profitability in Indonesia. </w:t>
      </w:r>
      <w:r w:rsidRPr="000779C2">
        <w:rPr>
          <w:color w:val="000000" w:themeColor="text1"/>
          <w:szCs w:val="24"/>
          <w:lang w:val="fi-FI"/>
        </w:rPr>
        <w:t xml:space="preserve">Jurnal Ilmiah </w:t>
      </w:r>
      <w:r w:rsidRPr="000779C2">
        <w:rPr>
          <w:color w:val="000000" w:themeColor="text1"/>
          <w:szCs w:val="24"/>
          <w:lang w:val="fi-FI"/>
        </w:rPr>
        <w:lastRenderedPageBreak/>
        <w:t xml:space="preserve">Manajemen Kesatuan, 13(2), pp.1019-1030. </w:t>
      </w:r>
      <w:hyperlink r:id="rId26">
        <w:r w:rsidRPr="000779C2">
          <w:rPr>
            <w:color w:val="000000" w:themeColor="text1"/>
            <w:szCs w:val="24"/>
            <w:u w:val="single"/>
            <w:lang w:val="fi-FI"/>
          </w:rPr>
          <w:t>https://scholar.archive.org/work/wqooocv2b5bwbczccvuqp4dttu/access/wayback/https://jurnal.ibik.ac.id/index.php/jimkes/article/download/3166/2399/11408</w:t>
        </w:r>
      </w:hyperlink>
      <w:r w:rsidRPr="000779C2">
        <w:rPr>
          <w:color w:val="000000" w:themeColor="text1"/>
          <w:szCs w:val="24"/>
          <w:lang w:val="fi-FI"/>
        </w:rPr>
        <w:t xml:space="preserve"> </w:t>
      </w:r>
    </w:p>
    <w:p w14:paraId="14BBCDDB" w14:textId="77777777" w:rsidR="00344CDC" w:rsidRPr="000779C2" w:rsidRDefault="00344CDC" w:rsidP="00CE3339">
      <w:pPr>
        <w:spacing w:before="0" w:after="0"/>
        <w:rPr>
          <w:color w:val="000000" w:themeColor="text1"/>
          <w:szCs w:val="24"/>
        </w:rPr>
      </w:pPr>
      <w:r w:rsidRPr="000779C2">
        <w:rPr>
          <w:color w:val="000000" w:themeColor="text1"/>
          <w:szCs w:val="24"/>
        </w:rPr>
        <w:t xml:space="preserve">IHG Annual Report. (2025). [online] Available at: </w:t>
      </w:r>
      <w:hyperlink r:id="rId27" w:history="1">
        <w:r w:rsidRPr="000779C2">
          <w:rPr>
            <w:rStyle w:val="Hyperlink"/>
            <w:color w:val="000000" w:themeColor="text1"/>
            <w:szCs w:val="24"/>
          </w:rPr>
          <w:t>https://www.ihgplc.com/~/media/Files/I/Ihg-Plc/investors/annual-report/2025/ihg-ar25-interactive.pdf</w:t>
        </w:r>
      </w:hyperlink>
      <w:r w:rsidRPr="000779C2">
        <w:rPr>
          <w:color w:val="000000" w:themeColor="text1"/>
          <w:szCs w:val="24"/>
        </w:rPr>
        <w:t xml:space="preserve"> </w:t>
      </w:r>
    </w:p>
    <w:p w14:paraId="03D5127E" w14:textId="77777777" w:rsidR="00344CDC" w:rsidRPr="000779C2" w:rsidRDefault="00344CDC" w:rsidP="0055632B">
      <w:pPr>
        <w:spacing w:before="0" w:after="0"/>
        <w:rPr>
          <w:color w:val="000000" w:themeColor="text1"/>
          <w:szCs w:val="24"/>
        </w:rPr>
      </w:pPr>
      <w:r w:rsidRPr="000779C2">
        <w:rPr>
          <w:color w:val="000000" w:themeColor="text1"/>
          <w:szCs w:val="24"/>
        </w:rPr>
        <w:t xml:space="preserve">Jackson, A.B., 2022. Financial statement analysis: a review and current issues. China Finance Review International, 12(1), pp.1-19. </w:t>
      </w:r>
      <w:hyperlink r:id="rId28">
        <w:r w:rsidRPr="000779C2">
          <w:rPr>
            <w:color w:val="000000" w:themeColor="text1"/>
            <w:szCs w:val="24"/>
            <w:u w:val="single"/>
          </w:rPr>
          <w:t>https://doi.org/10.1108/CFRI-10-2021-0208</w:t>
        </w:r>
      </w:hyperlink>
      <w:r w:rsidRPr="000779C2">
        <w:rPr>
          <w:color w:val="000000" w:themeColor="text1"/>
          <w:szCs w:val="24"/>
        </w:rPr>
        <w:t xml:space="preserve"> </w:t>
      </w:r>
    </w:p>
    <w:p w14:paraId="20332DA3" w14:textId="77777777" w:rsidR="00344CDC" w:rsidRPr="000779C2" w:rsidRDefault="00344CDC" w:rsidP="0055632B">
      <w:pPr>
        <w:spacing w:before="0" w:after="0"/>
        <w:rPr>
          <w:color w:val="000000" w:themeColor="text1"/>
          <w:szCs w:val="24"/>
          <w:lang w:val="de-DE"/>
        </w:rPr>
      </w:pPr>
      <w:r w:rsidRPr="000779C2">
        <w:rPr>
          <w:color w:val="000000" w:themeColor="text1"/>
          <w:szCs w:val="24"/>
        </w:rPr>
        <w:t xml:space="preserve">Khatter, A., 2025. Challenges and solutions for corporate social responsibility in the hospitality industry. </w:t>
      </w:r>
      <w:r w:rsidRPr="000779C2">
        <w:rPr>
          <w:color w:val="000000" w:themeColor="text1"/>
          <w:szCs w:val="24"/>
          <w:lang w:val="de-DE"/>
        </w:rPr>
        <w:t xml:space="preserve">Challenges, 16(1), p.9. </w:t>
      </w:r>
      <w:hyperlink r:id="rId29" w:history="1">
        <w:r w:rsidRPr="000779C2">
          <w:rPr>
            <w:rStyle w:val="Hyperlink"/>
            <w:color w:val="000000" w:themeColor="text1"/>
            <w:szCs w:val="24"/>
            <w:lang w:val="de-DE"/>
          </w:rPr>
          <w:t>https://doi.org/10.3390/challe16010009</w:t>
        </w:r>
      </w:hyperlink>
      <w:r w:rsidRPr="000779C2">
        <w:rPr>
          <w:color w:val="000000" w:themeColor="text1"/>
          <w:szCs w:val="24"/>
          <w:lang w:val="de-DE"/>
        </w:rPr>
        <w:t xml:space="preserve"> </w:t>
      </w:r>
    </w:p>
    <w:p w14:paraId="666A9317" w14:textId="77777777" w:rsidR="00344CDC" w:rsidRPr="000779C2" w:rsidRDefault="00344CDC" w:rsidP="0055632B">
      <w:pPr>
        <w:spacing w:before="0" w:after="0"/>
        <w:rPr>
          <w:color w:val="000000" w:themeColor="text1"/>
          <w:szCs w:val="24"/>
        </w:rPr>
      </w:pPr>
      <w:proofErr w:type="spellStart"/>
      <w:r w:rsidRPr="000779C2">
        <w:rPr>
          <w:color w:val="000000" w:themeColor="text1"/>
          <w:szCs w:val="24"/>
        </w:rPr>
        <w:t>Makdissi</w:t>
      </w:r>
      <w:proofErr w:type="spellEnd"/>
      <w:r w:rsidRPr="000779C2">
        <w:rPr>
          <w:color w:val="000000" w:themeColor="text1"/>
          <w:szCs w:val="24"/>
        </w:rPr>
        <w:t xml:space="preserve">, R., </w:t>
      </w:r>
      <w:proofErr w:type="spellStart"/>
      <w:r w:rsidRPr="000779C2">
        <w:rPr>
          <w:color w:val="000000" w:themeColor="text1"/>
          <w:szCs w:val="24"/>
        </w:rPr>
        <w:t>Yaacoub</w:t>
      </w:r>
      <w:proofErr w:type="spellEnd"/>
      <w:r w:rsidRPr="000779C2">
        <w:rPr>
          <w:color w:val="000000" w:themeColor="text1"/>
          <w:szCs w:val="24"/>
        </w:rPr>
        <w:t xml:space="preserve">, C. and </w:t>
      </w:r>
      <w:proofErr w:type="spellStart"/>
      <w:r w:rsidRPr="000779C2">
        <w:rPr>
          <w:color w:val="000000" w:themeColor="text1"/>
          <w:szCs w:val="24"/>
        </w:rPr>
        <w:t>Mekdessi</w:t>
      </w:r>
      <w:proofErr w:type="spellEnd"/>
      <w:r w:rsidRPr="000779C2">
        <w:rPr>
          <w:color w:val="000000" w:themeColor="text1"/>
          <w:szCs w:val="24"/>
        </w:rPr>
        <w:t xml:space="preserve">, S., 2023. Financial Resilience </w:t>
      </w:r>
      <w:proofErr w:type="gramStart"/>
      <w:r w:rsidRPr="000779C2">
        <w:rPr>
          <w:color w:val="000000" w:themeColor="text1"/>
          <w:szCs w:val="24"/>
        </w:rPr>
        <w:t>In</w:t>
      </w:r>
      <w:proofErr w:type="gramEnd"/>
      <w:r w:rsidRPr="000779C2">
        <w:rPr>
          <w:color w:val="000000" w:themeColor="text1"/>
          <w:szCs w:val="24"/>
        </w:rPr>
        <w:t xml:space="preserve"> Mount-Lebanon Hotel Sector: Navigating Crisis-Driven Challenges. IOSR Journal of Business and Management. 25. 31-38. 10.9790/487X-2511023138. </w:t>
      </w:r>
      <w:hyperlink r:id="rId30" w:history="1">
        <w:r w:rsidRPr="000779C2">
          <w:rPr>
            <w:rStyle w:val="Hyperlink"/>
            <w:color w:val="000000" w:themeColor="text1"/>
            <w:szCs w:val="24"/>
          </w:rPr>
          <w:t>https://www.researchgate.net/profile/Selim-Mekdessi/publication/376174052_Financial_Resilience_In_Mount-Lebanon_Hotel_Sector_Navigating_Crisis-Driven_Challenges/links/656c413ab1398a779dd499f4/Financial-Resilience-In-Mount-Lebanon-Hotel-Sector-Navigating-Crisis-Driven-Challenges.pdf</w:t>
        </w:r>
      </w:hyperlink>
      <w:r w:rsidRPr="000779C2">
        <w:rPr>
          <w:color w:val="000000" w:themeColor="text1"/>
          <w:szCs w:val="24"/>
        </w:rPr>
        <w:t xml:space="preserve"> </w:t>
      </w:r>
    </w:p>
    <w:p w14:paraId="2199C122" w14:textId="77777777" w:rsidR="00344CDC" w:rsidRPr="000779C2" w:rsidRDefault="00344CDC" w:rsidP="0055632B">
      <w:pPr>
        <w:spacing w:before="0" w:after="0"/>
        <w:rPr>
          <w:color w:val="000000" w:themeColor="text1"/>
          <w:szCs w:val="24"/>
        </w:rPr>
      </w:pPr>
      <w:r w:rsidRPr="000779C2">
        <w:rPr>
          <w:color w:val="000000" w:themeColor="text1"/>
          <w:szCs w:val="24"/>
        </w:rPr>
        <w:t xml:space="preserve">Mavlutova, I., Babenko, V., Dykan, V., Prokopenko, N., </w:t>
      </w:r>
      <w:proofErr w:type="spellStart"/>
      <w:r w:rsidRPr="000779C2">
        <w:rPr>
          <w:color w:val="000000" w:themeColor="text1"/>
          <w:szCs w:val="24"/>
        </w:rPr>
        <w:t>Kalinichenko</w:t>
      </w:r>
      <w:proofErr w:type="spellEnd"/>
      <w:r w:rsidRPr="000779C2">
        <w:rPr>
          <w:color w:val="000000" w:themeColor="text1"/>
          <w:szCs w:val="24"/>
        </w:rPr>
        <w:t xml:space="preserve">, S. and </w:t>
      </w:r>
      <w:proofErr w:type="spellStart"/>
      <w:r w:rsidRPr="000779C2">
        <w:rPr>
          <w:color w:val="000000" w:themeColor="text1"/>
          <w:szCs w:val="24"/>
        </w:rPr>
        <w:t>Tokmakova</w:t>
      </w:r>
      <w:proofErr w:type="spellEnd"/>
      <w:r w:rsidRPr="000779C2">
        <w:rPr>
          <w:color w:val="000000" w:themeColor="text1"/>
          <w:szCs w:val="24"/>
        </w:rPr>
        <w:t xml:space="preserve">, I., 2021. Business restructuring as a method of </w:t>
      </w:r>
      <w:proofErr w:type="spellStart"/>
      <w:r w:rsidRPr="000779C2">
        <w:rPr>
          <w:color w:val="000000" w:themeColor="text1"/>
          <w:szCs w:val="24"/>
        </w:rPr>
        <w:t>strengtening</w:t>
      </w:r>
      <w:proofErr w:type="spellEnd"/>
      <w:r w:rsidRPr="000779C2">
        <w:rPr>
          <w:color w:val="000000" w:themeColor="text1"/>
          <w:szCs w:val="24"/>
        </w:rPr>
        <w:t xml:space="preserve"> company’s financial position. Journal of Optimization in Industrial Engineering, 14(1), pp.129-139.  </w:t>
      </w:r>
      <w:hyperlink r:id="rId31">
        <w:r w:rsidRPr="000779C2">
          <w:rPr>
            <w:color w:val="000000" w:themeColor="text1"/>
            <w:szCs w:val="24"/>
            <w:u w:val="single"/>
          </w:rPr>
          <w:t>https://www.academia.edu/download/81063588/article_677839_cd06f5c50b09f28acf4802268302e8ba.pdf</w:t>
        </w:r>
      </w:hyperlink>
      <w:r w:rsidRPr="000779C2">
        <w:rPr>
          <w:color w:val="000000" w:themeColor="text1"/>
          <w:szCs w:val="24"/>
        </w:rPr>
        <w:t xml:space="preserve"> </w:t>
      </w:r>
    </w:p>
    <w:p w14:paraId="2292FEC9" w14:textId="77777777" w:rsidR="00344CDC" w:rsidRPr="000779C2" w:rsidRDefault="00344CDC" w:rsidP="00CE3339">
      <w:pPr>
        <w:spacing w:before="0" w:after="0"/>
        <w:rPr>
          <w:color w:val="000000" w:themeColor="text1"/>
          <w:szCs w:val="24"/>
        </w:rPr>
      </w:pPr>
      <w:r w:rsidRPr="000779C2">
        <w:rPr>
          <w:color w:val="000000" w:themeColor="text1"/>
          <w:szCs w:val="24"/>
        </w:rPr>
        <w:t xml:space="preserve">Muñoz-Muñoz, E., Díaz-Caro, C., Crespo-Cebada, E. and Mirón Sanguino, Á.S., 2026. Beyond Tourism Market Recovery: Financial Vulnerability and Operational Drivers of Hotel Profitability. International Journal of Financial Studies, 14(7), p.181. </w:t>
      </w:r>
      <w:hyperlink r:id="rId32" w:history="1">
        <w:r w:rsidRPr="000779C2">
          <w:rPr>
            <w:rStyle w:val="Hyperlink"/>
            <w:color w:val="000000" w:themeColor="text1"/>
            <w:szCs w:val="24"/>
          </w:rPr>
          <w:t>https://doi.org/10.3390/ijfs14070181</w:t>
        </w:r>
      </w:hyperlink>
      <w:r w:rsidRPr="000779C2">
        <w:rPr>
          <w:color w:val="000000" w:themeColor="text1"/>
          <w:szCs w:val="24"/>
        </w:rPr>
        <w:t xml:space="preserve"> </w:t>
      </w:r>
    </w:p>
    <w:p w14:paraId="7C4518CB" w14:textId="77777777" w:rsidR="00344CDC" w:rsidRPr="000779C2" w:rsidRDefault="00344CDC" w:rsidP="0055632B">
      <w:pPr>
        <w:spacing w:before="0" w:after="0"/>
        <w:rPr>
          <w:color w:val="000000" w:themeColor="text1"/>
          <w:szCs w:val="24"/>
        </w:rPr>
      </w:pPr>
      <w:r w:rsidRPr="000779C2">
        <w:rPr>
          <w:color w:val="000000" w:themeColor="text1"/>
          <w:szCs w:val="24"/>
        </w:rPr>
        <w:t xml:space="preserve">Nicolas, T., 2022. Short-term financial constraints and SMEs’ investment decision: evidence from the working capital channel. Small Business Economics, 58(4), pp.1885-1914.  </w:t>
      </w:r>
      <w:hyperlink r:id="rId33">
        <w:r w:rsidRPr="000779C2">
          <w:rPr>
            <w:color w:val="000000" w:themeColor="text1"/>
            <w:szCs w:val="24"/>
            <w:u w:val="single"/>
          </w:rPr>
          <w:t>https://pmc.ncbi.nlm.nih.gov/articles/PMC8096609/pdf/11187_2021_Article_488.pdf</w:t>
        </w:r>
      </w:hyperlink>
      <w:r w:rsidRPr="000779C2">
        <w:rPr>
          <w:color w:val="000000" w:themeColor="text1"/>
          <w:szCs w:val="24"/>
        </w:rPr>
        <w:t xml:space="preserve"> </w:t>
      </w:r>
    </w:p>
    <w:p w14:paraId="01D5114C" w14:textId="77777777" w:rsidR="00344CDC" w:rsidRPr="000779C2" w:rsidRDefault="00344CDC" w:rsidP="0055632B">
      <w:pPr>
        <w:spacing w:before="0" w:after="0"/>
        <w:rPr>
          <w:color w:val="000000" w:themeColor="text1"/>
          <w:szCs w:val="24"/>
        </w:rPr>
      </w:pPr>
      <w:r w:rsidRPr="000779C2">
        <w:rPr>
          <w:color w:val="000000" w:themeColor="text1"/>
          <w:szCs w:val="24"/>
        </w:rPr>
        <w:t xml:space="preserve">Odutola, A., 2022. Advanced procurement analytics: Building a model for improved decision-making and cost efficiency within global supply chains. International Journal </w:t>
      </w:r>
      <w:r w:rsidRPr="000779C2">
        <w:rPr>
          <w:color w:val="000000" w:themeColor="text1"/>
          <w:szCs w:val="24"/>
        </w:rPr>
        <w:lastRenderedPageBreak/>
        <w:t xml:space="preserve">of Scientific and Management Research, 5(1), pp.273-286. </w:t>
      </w:r>
      <w:hyperlink r:id="rId34">
        <w:r w:rsidRPr="000779C2">
          <w:rPr>
            <w:color w:val="000000" w:themeColor="text1"/>
            <w:szCs w:val="24"/>
            <w:u w:val="single"/>
          </w:rPr>
          <w:t>http://doi.org/10.37502/IJSMR.2022.5623</w:t>
        </w:r>
      </w:hyperlink>
      <w:r w:rsidRPr="000779C2">
        <w:rPr>
          <w:color w:val="000000" w:themeColor="text1"/>
          <w:szCs w:val="24"/>
        </w:rPr>
        <w:t xml:space="preserve"> </w:t>
      </w:r>
    </w:p>
    <w:p w14:paraId="6605334D" w14:textId="77777777" w:rsidR="00344CDC" w:rsidRPr="000779C2" w:rsidRDefault="00344CDC" w:rsidP="0055632B">
      <w:pPr>
        <w:spacing w:before="0" w:after="0"/>
        <w:rPr>
          <w:color w:val="000000" w:themeColor="text1"/>
          <w:szCs w:val="24"/>
        </w:rPr>
      </w:pPr>
      <w:r w:rsidRPr="000779C2">
        <w:rPr>
          <w:color w:val="000000" w:themeColor="text1"/>
          <w:szCs w:val="24"/>
        </w:rPr>
        <w:t xml:space="preserve">Olayinka, A.A., 2022. Financial statement analysis as a tool for investment decisions and assessment of companies’ performance. International Journal of Financial, Accounting, and Management, 4(1), pp.49-66. </w:t>
      </w:r>
      <w:hyperlink r:id="rId35">
        <w:r w:rsidRPr="000779C2">
          <w:rPr>
            <w:color w:val="000000" w:themeColor="text1"/>
            <w:szCs w:val="24"/>
            <w:u w:val="single"/>
          </w:rPr>
          <w:t>https://doi.org/10.35912/ijfam.v4i1.852</w:t>
        </w:r>
      </w:hyperlink>
      <w:r w:rsidRPr="000779C2">
        <w:rPr>
          <w:color w:val="000000" w:themeColor="text1"/>
          <w:szCs w:val="24"/>
        </w:rPr>
        <w:t xml:space="preserve"> </w:t>
      </w:r>
    </w:p>
    <w:p w14:paraId="708DEEA2" w14:textId="77777777" w:rsidR="00344CDC" w:rsidRPr="000779C2" w:rsidRDefault="00344CDC" w:rsidP="0055632B">
      <w:pPr>
        <w:spacing w:before="0" w:after="0"/>
        <w:rPr>
          <w:color w:val="000000" w:themeColor="text1"/>
          <w:szCs w:val="24"/>
        </w:rPr>
      </w:pPr>
      <w:r w:rsidRPr="000779C2">
        <w:rPr>
          <w:color w:val="000000" w:themeColor="text1"/>
          <w:szCs w:val="24"/>
        </w:rPr>
        <w:t xml:space="preserve">Paredes-Chirinos, X.N., Caballero-Carpio, N.M. and Quiroz-Flores, J.C., 2024, June. Implementation of an agile receivables management model using Kanban to reduce delinquency rates in digital transformation consultancies. In Conference proceedings of the 9th North American Conference on Industrial Engineering and Operations Management. Washington DC, USA. </w:t>
      </w:r>
      <w:hyperlink r:id="rId36">
        <w:r w:rsidRPr="000779C2">
          <w:rPr>
            <w:color w:val="000000" w:themeColor="text1"/>
            <w:szCs w:val="24"/>
            <w:u w:val="single"/>
          </w:rPr>
          <w:t>https://doi.org/10.46254/NA09.20240184</w:t>
        </w:r>
      </w:hyperlink>
      <w:r w:rsidRPr="000779C2">
        <w:rPr>
          <w:color w:val="000000" w:themeColor="text1"/>
          <w:szCs w:val="24"/>
        </w:rPr>
        <w:t xml:space="preserve"> </w:t>
      </w:r>
    </w:p>
    <w:p w14:paraId="1008AFA5" w14:textId="77777777" w:rsidR="00344CDC" w:rsidRPr="000779C2" w:rsidRDefault="00344CDC" w:rsidP="0055632B">
      <w:pPr>
        <w:spacing w:before="0" w:after="0"/>
        <w:rPr>
          <w:color w:val="000000" w:themeColor="text1"/>
          <w:szCs w:val="24"/>
          <w:lang w:val="fr-FR"/>
        </w:rPr>
      </w:pPr>
      <w:proofErr w:type="spellStart"/>
      <w:r w:rsidRPr="000779C2">
        <w:rPr>
          <w:color w:val="000000" w:themeColor="text1"/>
          <w:szCs w:val="24"/>
        </w:rPr>
        <w:t>Purnamasari</w:t>
      </w:r>
      <w:proofErr w:type="spellEnd"/>
      <w:r w:rsidRPr="000779C2">
        <w:rPr>
          <w:color w:val="000000" w:themeColor="text1"/>
          <w:szCs w:val="24"/>
        </w:rPr>
        <w:t xml:space="preserve">, P. and </w:t>
      </w:r>
      <w:proofErr w:type="spellStart"/>
      <w:r w:rsidRPr="000779C2">
        <w:rPr>
          <w:color w:val="000000" w:themeColor="text1"/>
          <w:szCs w:val="24"/>
        </w:rPr>
        <w:t>Adriza</w:t>
      </w:r>
      <w:proofErr w:type="spellEnd"/>
      <w:r w:rsidRPr="000779C2">
        <w:rPr>
          <w:color w:val="000000" w:themeColor="text1"/>
          <w:szCs w:val="24"/>
        </w:rPr>
        <w:t xml:space="preserve">, 2024. Capital budgeting techniques and financial performance: a comparison between SMEs and large listed firms. </w:t>
      </w:r>
      <w:proofErr w:type="spellStart"/>
      <w:r w:rsidRPr="000779C2">
        <w:rPr>
          <w:color w:val="000000" w:themeColor="text1"/>
          <w:szCs w:val="24"/>
          <w:lang w:val="fr-FR"/>
        </w:rPr>
        <w:t>Cogent</w:t>
      </w:r>
      <w:proofErr w:type="spellEnd"/>
      <w:r w:rsidRPr="000779C2">
        <w:rPr>
          <w:color w:val="000000" w:themeColor="text1"/>
          <w:szCs w:val="24"/>
          <w:lang w:val="fr-FR"/>
        </w:rPr>
        <w:t xml:space="preserve"> </w:t>
      </w:r>
      <w:proofErr w:type="spellStart"/>
      <w:r w:rsidRPr="000779C2">
        <w:rPr>
          <w:color w:val="000000" w:themeColor="text1"/>
          <w:szCs w:val="24"/>
          <w:lang w:val="fr-FR"/>
        </w:rPr>
        <w:t>Economics</w:t>
      </w:r>
      <w:proofErr w:type="spellEnd"/>
      <w:r w:rsidRPr="000779C2">
        <w:rPr>
          <w:color w:val="000000" w:themeColor="text1"/>
          <w:szCs w:val="24"/>
          <w:lang w:val="fr-FR"/>
        </w:rPr>
        <w:t xml:space="preserve"> &amp; Finance, 12(1), p.2404707. </w:t>
      </w:r>
      <w:hyperlink r:id="rId37" w:history="1">
        <w:r w:rsidRPr="000779C2">
          <w:rPr>
            <w:rStyle w:val="Hyperlink"/>
            <w:color w:val="000000" w:themeColor="text1"/>
            <w:szCs w:val="24"/>
            <w:lang w:val="fr-FR"/>
          </w:rPr>
          <w:t>https://www.tandfonline.com/doi/pdf/10.1080/23322039.2024.2404707</w:t>
        </w:r>
      </w:hyperlink>
      <w:r w:rsidRPr="000779C2">
        <w:rPr>
          <w:color w:val="000000" w:themeColor="text1"/>
          <w:szCs w:val="24"/>
          <w:lang w:val="fr-FR"/>
        </w:rPr>
        <w:t xml:space="preserve"> </w:t>
      </w:r>
    </w:p>
    <w:p w14:paraId="38470AE8" w14:textId="77777777" w:rsidR="00344CDC" w:rsidRPr="000779C2" w:rsidRDefault="00344CDC" w:rsidP="0055632B">
      <w:pPr>
        <w:spacing w:before="0" w:after="0"/>
        <w:rPr>
          <w:color w:val="000000" w:themeColor="text1"/>
          <w:szCs w:val="24"/>
        </w:rPr>
      </w:pPr>
      <w:r w:rsidRPr="000779C2">
        <w:rPr>
          <w:color w:val="000000" w:themeColor="text1"/>
          <w:szCs w:val="24"/>
        </w:rPr>
        <w:t xml:space="preserve">Rashid, C.A., 2021. The efficiency of financial ratios analysis to evaluate company’s profitability. Journal of Global Economics and Business, 2(4), pp.119-132. </w:t>
      </w:r>
      <w:hyperlink r:id="rId38">
        <w:r w:rsidRPr="000779C2">
          <w:rPr>
            <w:color w:val="000000" w:themeColor="text1"/>
            <w:szCs w:val="24"/>
            <w:u w:val="single"/>
          </w:rPr>
          <w:t>https://www.researchgate.net/profile/Chnar-Rashid/publication/348686551_THE_EFFICIENCY_OF_FINANCIAL_RATIOS_ANALYSIS_TO_EVALUATE_COMPANY'S_PROFITABILITY/links/600ad9df92851c13fe2b24ba/THE-EFFICIENCY-OF-FINANCIAL-RATIOS-ANALYSIS-TO-EVALUATE-COMPANYS-PROFITABILITY.pdf</w:t>
        </w:r>
      </w:hyperlink>
      <w:r w:rsidRPr="000779C2">
        <w:rPr>
          <w:color w:val="000000" w:themeColor="text1"/>
          <w:szCs w:val="24"/>
        </w:rPr>
        <w:t xml:space="preserve"> </w:t>
      </w:r>
    </w:p>
    <w:p w14:paraId="187A4871" w14:textId="77777777" w:rsidR="00344CDC" w:rsidRPr="000779C2" w:rsidRDefault="00344CDC" w:rsidP="00CE3339">
      <w:pPr>
        <w:spacing w:before="0" w:after="0"/>
        <w:rPr>
          <w:color w:val="000000" w:themeColor="text1"/>
          <w:szCs w:val="24"/>
        </w:rPr>
      </w:pPr>
      <w:r w:rsidRPr="000779C2">
        <w:rPr>
          <w:color w:val="000000" w:themeColor="text1"/>
          <w:szCs w:val="24"/>
        </w:rPr>
        <w:t xml:space="preserve">Saar, K. and Vaher, M., 2025. Real data from 500 hospitality businesses when hotels doubled revenue post-COVID. Journal of Tourism, Culture, and Management Studies, 2(1), pp.13-26. </w:t>
      </w:r>
      <w:hyperlink r:id="rId39" w:history="1">
        <w:r w:rsidRPr="000779C2">
          <w:rPr>
            <w:rStyle w:val="Hyperlink"/>
            <w:color w:val="000000" w:themeColor="text1"/>
            <w:szCs w:val="24"/>
          </w:rPr>
          <w:t>https://theeducationjournals.com/index.php/JTCMS/article/download/168/152</w:t>
        </w:r>
      </w:hyperlink>
      <w:r w:rsidRPr="000779C2">
        <w:rPr>
          <w:color w:val="000000" w:themeColor="text1"/>
          <w:szCs w:val="24"/>
        </w:rPr>
        <w:t xml:space="preserve"> </w:t>
      </w:r>
    </w:p>
    <w:p w14:paraId="2639C895" w14:textId="77777777" w:rsidR="00344CDC" w:rsidRPr="000779C2" w:rsidRDefault="00344CDC" w:rsidP="0055632B">
      <w:pPr>
        <w:spacing w:before="0" w:after="0"/>
        <w:rPr>
          <w:color w:val="000000" w:themeColor="text1"/>
          <w:szCs w:val="24"/>
        </w:rPr>
      </w:pPr>
      <w:r w:rsidRPr="000779C2">
        <w:rPr>
          <w:color w:val="000000" w:themeColor="text1"/>
          <w:szCs w:val="24"/>
          <w:lang w:val="it-IT"/>
        </w:rPr>
        <w:t xml:space="preserve">Soni, T.K., Arora, A. and Le, T., 2022. </w:t>
      </w:r>
      <w:r w:rsidRPr="000779C2">
        <w:rPr>
          <w:color w:val="000000" w:themeColor="text1"/>
          <w:szCs w:val="24"/>
        </w:rPr>
        <w:t xml:space="preserve">Firm-specific determinants of firm performance in the hospitality sector in India. Sustainability, 15(1), p.554. </w:t>
      </w:r>
      <w:hyperlink r:id="rId40">
        <w:r w:rsidRPr="000779C2">
          <w:rPr>
            <w:color w:val="000000" w:themeColor="text1"/>
            <w:szCs w:val="24"/>
            <w:u w:val="single"/>
          </w:rPr>
          <w:t>https://doi.org/10.3390/su15010554</w:t>
        </w:r>
      </w:hyperlink>
      <w:r w:rsidRPr="000779C2">
        <w:rPr>
          <w:color w:val="000000" w:themeColor="text1"/>
          <w:szCs w:val="24"/>
        </w:rPr>
        <w:t xml:space="preserve"> </w:t>
      </w:r>
    </w:p>
    <w:p w14:paraId="11D0B215" w14:textId="77777777" w:rsidR="00344CDC" w:rsidRPr="000779C2" w:rsidRDefault="00344CDC" w:rsidP="0055632B">
      <w:pPr>
        <w:spacing w:before="0" w:after="0"/>
        <w:rPr>
          <w:color w:val="000000" w:themeColor="text1"/>
          <w:szCs w:val="24"/>
        </w:rPr>
      </w:pPr>
      <w:proofErr w:type="spellStart"/>
      <w:r w:rsidRPr="000779C2">
        <w:rPr>
          <w:color w:val="000000" w:themeColor="text1"/>
          <w:szCs w:val="24"/>
        </w:rPr>
        <w:t>Tarighi</w:t>
      </w:r>
      <w:proofErr w:type="spellEnd"/>
      <w:r w:rsidRPr="000779C2">
        <w:rPr>
          <w:color w:val="000000" w:themeColor="text1"/>
          <w:szCs w:val="24"/>
        </w:rPr>
        <w:t xml:space="preserve">, H., Zimon, G., Sheikh, M.J. and Sayrani, M., 2024. The impact of firm risk and the COVID-19 crisis on working capital management strategies: Evidence from a market affected by economic uncertainty. Risks, 12(4), p.72. </w:t>
      </w:r>
      <w:hyperlink r:id="rId41">
        <w:r w:rsidRPr="000779C2">
          <w:rPr>
            <w:color w:val="000000" w:themeColor="text1"/>
            <w:szCs w:val="24"/>
            <w:u w:val="single"/>
          </w:rPr>
          <w:t>https://doi.org/10.3390/risks12040072</w:t>
        </w:r>
      </w:hyperlink>
    </w:p>
    <w:p w14:paraId="0E4C7AB7" w14:textId="77777777" w:rsidR="00344CDC" w:rsidRPr="000779C2" w:rsidRDefault="00344CDC" w:rsidP="0055632B">
      <w:pPr>
        <w:spacing w:before="0" w:after="0"/>
        <w:rPr>
          <w:color w:val="000000" w:themeColor="text1"/>
          <w:szCs w:val="24"/>
        </w:rPr>
      </w:pPr>
      <w:r w:rsidRPr="000779C2">
        <w:rPr>
          <w:color w:val="000000" w:themeColor="text1"/>
          <w:szCs w:val="24"/>
        </w:rPr>
        <w:t xml:space="preserve">Wu, W., </w:t>
      </w:r>
      <w:proofErr w:type="spellStart"/>
      <w:r w:rsidRPr="000779C2">
        <w:rPr>
          <w:color w:val="000000" w:themeColor="text1"/>
          <w:szCs w:val="24"/>
        </w:rPr>
        <w:t>Alkaraan</w:t>
      </w:r>
      <w:proofErr w:type="spellEnd"/>
      <w:r w:rsidRPr="000779C2">
        <w:rPr>
          <w:color w:val="000000" w:themeColor="text1"/>
          <w:szCs w:val="24"/>
        </w:rPr>
        <w:t xml:space="preserve">, F. and Le, C., 2023. The moderating effects of corporate governance and investment efficiency on the nexus between financial flexibility and </w:t>
      </w:r>
      <w:r w:rsidRPr="000779C2">
        <w:rPr>
          <w:color w:val="000000" w:themeColor="text1"/>
          <w:szCs w:val="24"/>
        </w:rPr>
        <w:lastRenderedPageBreak/>
        <w:t xml:space="preserve">firm performance. Journal of Financial Reporting and Accounting. </w:t>
      </w:r>
      <w:hyperlink r:id="rId42" w:history="1">
        <w:r w:rsidRPr="000779C2">
          <w:rPr>
            <w:rStyle w:val="Hyperlink"/>
            <w:color w:val="000000" w:themeColor="text1"/>
            <w:szCs w:val="24"/>
          </w:rPr>
          <w:t>http://dx.doi.org/10.1108/JFRA-05-2023-0234</w:t>
        </w:r>
      </w:hyperlink>
      <w:r w:rsidRPr="000779C2">
        <w:rPr>
          <w:color w:val="000000" w:themeColor="text1"/>
          <w:szCs w:val="24"/>
        </w:rPr>
        <w:t xml:space="preserve"> </w:t>
      </w:r>
    </w:p>
    <w:p w14:paraId="6FE8BF84" w14:textId="77777777" w:rsidR="00E6457C" w:rsidRPr="000779C2" w:rsidRDefault="00E6457C" w:rsidP="0055632B">
      <w:pPr>
        <w:spacing w:before="0" w:after="0" w:line="276" w:lineRule="auto"/>
        <w:jc w:val="left"/>
        <w:rPr>
          <w:color w:val="000000" w:themeColor="text1"/>
          <w:szCs w:val="24"/>
        </w:rPr>
      </w:pPr>
      <w:r w:rsidRPr="000779C2">
        <w:rPr>
          <w:color w:val="000000" w:themeColor="text1"/>
          <w:szCs w:val="24"/>
        </w:rPr>
        <w:br w:type="page"/>
      </w:r>
    </w:p>
    <w:p w14:paraId="18611096" w14:textId="7583B5EF" w:rsidR="00AF2A20" w:rsidRPr="000779C2" w:rsidRDefault="00E6457C" w:rsidP="0055632B">
      <w:pPr>
        <w:pStyle w:val="Heading1"/>
        <w:spacing w:before="0" w:after="0"/>
        <w:rPr>
          <w:color w:val="000000" w:themeColor="text1"/>
        </w:rPr>
      </w:pPr>
      <w:bookmarkStart w:id="30" w:name="_Toc235615331"/>
      <w:r w:rsidRPr="000779C2">
        <w:rPr>
          <w:color w:val="000000" w:themeColor="text1"/>
        </w:rPr>
        <w:lastRenderedPageBreak/>
        <w:t>Appendices</w:t>
      </w:r>
      <w:bookmarkEnd w:id="30"/>
      <w:r w:rsidRPr="000779C2">
        <w:rPr>
          <w:color w:val="000000" w:themeColor="text1"/>
        </w:rPr>
        <w:t xml:space="preserve"> </w:t>
      </w:r>
    </w:p>
    <w:p w14:paraId="373EB7B5" w14:textId="5D90160C" w:rsidR="00E6457C" w:rsidRPr="000779C2" w:rsidRDefault="00E6457C" w:rsidP="0055632B">
      <w:pPr>
        <w:pStyle w:val="Heading2"/>
        <w:spacing w:before="0" w:after="0"/>
        <w:rPr>
          <w:color w:val="000000" w:themeColor="text1"/>
        </w:rPr>
      </w:pPr>
      <w:bookmarkStart w:id="31" w:name="_Toc235615332"/>
      <w:r w:rsidRPr="000779C2">
        <w:rPr>
          <w:color w:val="000000" w:themeColor="text1"/>
        </w:rPr>
        <w:t>Appendix 1: Calculation of Financial Ratios for InterContinental Hotels Group for the Financial Period 2021-2025</w:t>
      </w:r>
      <w:bookmarkEnd w:id="31"/>
    </w:p>
    <w:tbl>
      <w:tblPr>
        <w:tblStyle w:val="TableGrid"/>
        <w:tblW w:w="5000" w:type="pct"/>
        <w:tblLook w:val="04A0" w:firstRow="1" w:lastRow="0" w:firstColumn="1" w:lastColumn="0" w:noHBand="0" w:noVBand="1"/>
      </w:tblPr>
      <w:tblGrid>
        <w:gridCol w:w="3002"/>
        <w:gridCol w:w="746"/>
        <w:gridCol w:w="864"/>
        <w:gridCol w:w="746"/>
        <w:gridCol w:w="746"/>
        <w:gridCol w:w="746"/>
        <w:gridCol w:w="2169"/>
      </w:tblGrid>
      <w:tr w:rsidR="00E6457C" w:rsidRPr="000779C2" w14:paraId="66BDCCC3" w14:textId="77777777" w:rsidTr="001940C0">
        <w:trPr>
          <w:trHeight w:val="315"/>
        </w:trPr>
        <w:tc>
          <w:tcPr>
            <w:tcW w:w="1255" w:type="pct"/>
            <w:noWrap/>
            <w:hideMark/>
          </w:tcPr>
          <w:p w14:paraId="445DDDE3" w14:textId="77777777" w:rsidR="00E6457C" w:rsidRPr="000779C2" w:rsidRDefault="00E6457C" w:rsidP="0055632B">
            <w:pPr>
              <w:spacing w:before="0" w:after="0" w:line="240" w:lineRule="auto"/>
              <w:jc w:val="left"/>
              <w:rPr>
                <w:rFonts w:eastAsia="Times New Roman"/>
                <w:color w:val="000000" w:themeColor="text1"/>
                <w:sz w:val="20"/>
                <w:szCs w:val="24"/>
                <w:lang w:val="en-IN"/>
              </w:rPr>
            </w:pPr>
          </w:p>
        </w:tc>
        <w:tc>
          <w:tcPr>
            <w:tcW w:w="823" w:type="pct"/>
            <w:noWrap/>
            <w:hideMark/>
          </w:tcPr>
          <w:p w14:paraId="60162E0C"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4DF1615E"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40313947"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3B6F2260"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31867E97"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0FB325CC"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 xml:space="preserve">Formula </w:t>
            </w:r>
          </w:p>
        </w:tc>
      </w:tr>
      <w:tr w:rsidR="00E6457C" w:rsidRPr="000779C2" w14:paraId="6CF8DCEA" w14:textId="77777777" w:rsidTr="001940C0">
        <w:trPr>
          <w:trHeight w:val="315"/>
        </w:trPr>
        <w:tc>
          <w:tcPr>
            <w:tcW w:w="1255" w:type="pct"/>
            <w:noWrap/>
            <w:hideMark/>
          </w:tcPr>
          <w:p w14:paraId="1A6543E3"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Profitability Ratio</w:t>
            </w:r>
          </w:p>
        </w:tc>
        <w:tc>
          <w:tcPr>
            <w:tcW w:w="823" w:type="pct"/>
            <w:noWrap/>
            <w:hideMark/>
          </w:tcPr>
          <w:p w14:paraId="39EA1649" w14:textId="77777777" w:rsidR="00E6457C" w:rsidRPr="000779C2" w:rsidRDefault="00E6457C" w:rsidP="0055632B">
            <w:pPr>
              <w:spacing w:before="0" w:after="0" w:line="240" w:lineRule="auto"/>
              <w:jc w:val="left"/>
              <w:rPr>
                <w:rFonts w:eastAsia="Times New Roman"/>
                <w:b/>
                <w:bCs/>
                <w:color w:val="000000" w:themeColor="text1"/>
                <w:szCs w:val="24"/>
                <w:lang w:val="en-IN"/>
              </w:rPr>
            </w:pPr>
          </w:p>
        </w:tc>
        <w:tc>
          <w:tcPr>
            <w:tcW w:w="479" w:type="pct"/>
            <w:noWrap/>
            <w:hideMark/>
          </w:tcPr>
          <w:p w14:paraId="6465B88C"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2D65BE62"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3345822E"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0C9FEA9E"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6DF862F2"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0CBBD5C2" w14:textId="77777777" w:rsidTr="001940C0">
        <w:trPr>
          <w:trHeight w:val="315"/>
        </w:trPr>
        <w:tc>
          <w:tcPr>
            <w:tcW w:w="1255" w:type="pct"/>
            <w:noWrap/>
            <w:hideMark/>
          </w:tcPr>
          <w:p w14:paraId="223FF8B7"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Gross Profit Margin</w:t>
            </w:r>
          </w:p>
        </w:tc>
        <w:tc>
          <w:tcPr>
            <w:tcW w:w="823" w:type="pct"/>
            <w:noWrap/>
            <w:hideMark/>
          </w:tcPr>
          <w:p w14:paraId="0B355A2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85.28</w:t>
            </w:r>
          </w:p>
        </w:tc>
        <w:tc>
          <w:tcPr>
            <w:tcW w:w="479" w:type="pct"/>
            <w:noWrap/>
            <w:hideMark/>
          </w:tcPr>
          <w:p w14:paraId="18CF48B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84.87</w:t>
            </w:r>
          </w:p>
        </w:tc>
        <w:tc>
          <w:tcPr>
            <w:tcW w:w="414" w:type="pct"/>
            <w:noWrap/>
            <w:hideMark/>
          </w:tcPr>
          <w:p w14:paraId="6324FB6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83.95</w:t>
            </w:r>
          </w:p>
        </w:tc>
        <w:tc>
          <w:tcPr>
            <w:tcW w:w="414" w:type="pct"/>
            <w:noWrap/>
            <w:hideMark/>
          </w:tcPr>
          <w:p w14:paraId="1CCC97D9"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83.35</w:t>
            </w:r>
          </w:p>
        </w:tc>
        <w:tc>
          <w:tcPr>
            <w:tcW w:w="414" w:type="pct"/>
            <w:noWrap/>
            <w:hideMark/>
          </w:tcPr>
          <w:p w14:paraId="6FEA30F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83.28</w:t>
            </w:r>
          </w:p>
        </w:tc>
        <w:tc>
          <w:tcPr>
            <w:tcW w:w="1202" w:type="pct"/>
            <w:hideMark/>
          </w:tcPr>
          <w:p w14:paraId="0665DC29"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Gross profit / Revenue *100</w:t>
            </w:r>
          </w:p>
        </w:tc>
      </w:tr>
      <w:tr w:rsidR="00E6457C" w:rsidRPr="000779C2" w14:paraId="3808AD44" w14:textId="77777777" w:rsidTr="001940C0">
        <w:trPr>
          <w:trHeight w:val="315"/>
        </w:trPr>
        <w:tc>
          <w:tcPr>
            <w:tcW w:w="1255" w:type="pct"/>
            <w:noWrap/>
            <w:hideMark/>
          </w:tcPr>
          <w:p w14:paraId="1D04242F"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Operating Profit Margin </w:t>
            </w:r>
          </w:p>
        </w:tc>
        <w:tc>
          <w:tcPr>
            <w:tcW w:w="823" w:type="pct"/>
            <w:noWrap/>
            <w:hideMark/>
          </w:tcPr>
          <w:p w14:paraId="42ECD519"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23.09</w:t>
            </w:r>
          </w:p>
        </w:tc>
        <w:tc>
          <w:tcPr>
            <w:tcW w:w="479" w:type="pct"/>
            <w:noWrap/>
            <w:hideMark/>
          </w:tcPr>
          <w:p w14:paraId="12B7F88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21.15</w:t>
            </w:r>
          </w:p>
        </w:tc>
        <w:tc>
          <w:tcPr>
            <w:tcW w:w="414" w:type="pct"/>
            <w:noWrap/>
            <w:hideMark/>
          </w:tcPr>
          <w:p w14:paraId="36C506D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23.05</w:t>
            </w:r>
          </w:p>
        </w:tc>
        <w:tc>
          <w:tcPr>
            <w:tcW w:w="414" w:type="pct"/>
            <w:noWrap/>
            <w:hideMark/>
          </w:tcPr>
          <w:p w14:paraId="3FA5274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16.14</w:t>
            </w:r>
          </w:p>
        </w:tc>
        <w:tc>
          <w:tcPr>
            <w:tcW w:w="414" w:type="pct"/>
            <w:noWrap/>
            <w:hideMark/>
          </w:tcPr>
          <w:p w14:paraId="3DDF895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16.99</w:t>
            </w:r>
          </w:p>
        </w:tc>
        <w:tc>
          <w:tcPr>
            <w:tcW w:w="1202" w:type="pct"/>
            <w:hideMark/>
          </w:tcPr>
          <w:p w14:paraId="43A5505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Operating profit / Revenue *100</w:t>
            </w:r>
          </w:p>
        </w:tc>
      </w:tr>
      <w:tr w:rsidR="00E6457C" w:rsidRPr="000779C2" w14:paraId="550739BC" w14:textId="77777777" w:rsidTr="001940C0">
        <w:trPr>
          <w:trHeight w:val="315"/>
        </w:trPr>
        <w:tc>
          <w:tcPr>
            <w:tcW w:w="1255" w:type="pct"/>
            <w:noWrap/>
            <w:hideMark/>
          </w:tcPr>
          <w:p w14:paraId="3FEBED5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Net Profit Margin </w:t>
            </w:r>
          </w:p>
        </w:tc>
        <w:tc>
          <w:tcPr>
            <w:tcW w:w="823" w:type="pct"/>
            <w:noWrap/>
            <w:hideMark/>
          </w:tcPr>
          <w:p w14:paraId="58FDAC3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14.63</w:t>
            </w:r>
          </w:p>
        </w:tc>
        <w:tc>
          <w:tcPr>
            <w:tcW w:w="479" w:type="pct"/>
            <w:noWrap/>
            <w:hideMark/>
          </w:tcPr>
          <w:p w14:paraId="16C503B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13.16</w:t>
            </w:r>
          </w:p>
        </w:tc>
        <w:tc>
          <w:tcPr>
            <w:tcW w:w="414" w:type="pct"/>
            <w:noWrap/>
            <w:hideMark/>
          </w:tcPr>
          <w:p w14:paraId="1F2B4FE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16.22</w:t>
            </w:r>
          </w:p>
        </w:tc>
        <w:tc>
          <w:tcPr>
            <w:tcW w:w="414" w:type="pct"/>
            <w:noWrap/>
            <w:hideMark/>
          </w:tcPr>
          <w:p w14:paraId="5BA43584"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9.66</w:t>
            </w:r>
          </w:p>
        </w:tc>
        <w:tc>
          <w:tcPr>
            <w:tcW w:w="414" w:type="pct"/>
            <w:noWrap/>
            <w:hideMark/>
          </w:tcPr>
          <w:p w14:paraId="45A5ED6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9.12</w:t>
            </w:r>
          </w:p>
        </w:tc>
        <w:tc>
          <w:tcPr>
            <w:tcW w:w="1202" w:type="pct"/>
            <w:hideMark/>
          </w:tcPr>
          <w:p w14:paraId="0992850F"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Net profit / Revenue *100</w:t>
            </w:r>
          </w:p>
        </w:tc>
      </w:tr>
      <w:tr w:rsidR="00E6457C" w:rsidRPr="000779C2" w14:paraId="67F75FF8" w14:textId="77777777" w:rsidTr="001940C0">
        <w:trPr>
          <w:trHeight w:val="315"/>
        </w:trPr>
        <w:tc>
          <w:tcPr>
            <w:tcW w:w="1255" w:type="pct"/>
            <w:noWrap/>
            <w:hideMark/>
          </w:tcPr>
          <w:p w14:paraId="113EBE5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Return on Assets </w:t>
            </w:r>
          </w:p>
        </w:tc>
        <w:tc>
          <w:tcPr>
            <w:tcW w:w="823" w:type="pct"/>
            <w:noWrap/>
            <w:hideMark/>
          </w:tcPr>
          <w:p w14:paraId="2F1999D4"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14.20</w:t>
            </w:r>
          </w:p>
        </w:tc>
        <w:tc>
          <w:tcPr>
            <w:tcW w:w="479" w:type="pct"/>
            <w:noWrap/>
            <w:hideMark/>
          </w:tcPr>
          <w:p w14:paraId="042F1BA8"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13.65</w:t>
            </w:r>
          </w:p>
        </w:tc>
        <w:tc>
          <w:tcPr>
            <w:tcW w:w="414" w:type="pct"/>
            <w:noWrap/>
            <w:hideMark/>
          </w:tcPr>
          <w:p w14:paraId="1E44B40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15.58</w:t>
            </w:r>
          </w:p>
        </w:tc>
        <w:tc>
          <w:tcPr>
            <w:tcW w:w="414" w:type="pct"/>
            <w:noWrap/>
            <w:hideMark/>
          </w:tcPr>
          <w:p w14:paraId="4CBA582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8.92</w:t>
            </w:r>
          </w:p>
        </w:tc>
        <w:tc>
          <w:tcPr>
            <w:tcW w:w="414" w:type="pct"/>
            <w:noWrap/>
            <w:hideMark/>
          </w:tcPr>
          <w:p w14:paraId="23D4256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5.62</w:t>
            </w:r>
          </w:p>
        </w:tc>
        <w:tc>
          <w:tcPr>
            <w:tcW w:w="1202" w:type="pct"/>
            <w:hideMark/>
          </w:tcPr>
          <w:p w14:paraId="1CAB054F"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Net Income / Total Assets *100</w:t>
            </w:r>
          </w:p>
        </w:tc>
      </w:tr>
      <w:tr w:rsidR="00E6457C" w:rsidRPr="000779C2" w14:paraId="426786C9" w14:textId="77777777" w:rsidTr="001940C0">
        <w:trPr>
          <w:trHeight w:val="630"/>
        </w:trPr>
        <w:tc>
          <w:tcPr>
            <w:tcW w:w="1255" w:type="pct"/>
            <w:noWrap/>
            <w:hideMark/>
          </w:tcPr>
          <w:p w14:paraId="182996BF"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Return on Equity </w:t>
            </w:r>
          </w:p>
        </w:tc>
        <w:tc>
          <w:tcPr>
            <w:tcW w:w="823" w:type="pct"/>
            <w:noWrap/>
            <w:hideMark/>
          </w:tcPr>
          <w:p w14:paraId="0E88D53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27.74</w:t>
            </w:r>
          </w:p>
        </w:tc>
        <w:tc>
          <w:tcPr>
            <w:tcW w:w="479" w:type="pct"/>
            <w:noWrap/>
            <w:hideMark/>
          </w:tcPr>
          <w:p w14:paraId="3268387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28.08</w:t>
            </w:r>
          </w:p>
        </w:tc>
        <w:tc>
          <w:tcPr>
            <w:tcW w:w="414" w:type="pct"/>
            <w:noWrap/>
            <w:hideMark/>
          </w:tcPr>
          <w:p w14:paraId="634AB10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38.46</w:t>
            </w:r>
          </w:p>
        </w:tc>
        <w:tc>
          <w:tcPr>
            <w:tcW w:w="414" w:type="pct"/>
            <w:noWrap/>
            <w:hideMark/>
          </w:tcPr>
          <w:p w14:paraId="437723A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23.28</w:t>
            </w:r>
          </w:p>
        </w:tc>
        <w:tc>
          <w:tcPr>
            <w:tcW w:w="414" w:type="pct"/>
            <w:noWrap/>
            <w:hideMark/>
          </w:tcPr>
          <w:p w14:paraId="4CA0898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17.89</w:t>
            </w:r>
          </w:p>
        </w:tc>
        <w:tc>
          <w:tcPr>
            <w:tcW w:w="1202" w:type="pct"/>
            <w:hideMark/>
          </w:tcPr>
          <w:p w14:paraId="45C8C62D"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Net Income / Shareholder's Equity *100</w:t>
            </w:r>
          </w:p>
        </w:tc>
      </w:tr>
      <w:tr w:rsidR="00E6457C" w:rsidRPr="000779C2" w14:paraId="47422732" w14:textId="77777777" w:rsidTr="001940C0">
        <w:trPr>
          <w:trHeight w:val="315"/>
        </w:trPr>
        <w:tc>
          <w:tcPr>
            <w:tcW w:w="1255" w:type="pct"/>
            <w:noWrap/>
            <w:hideMark/>
          </w:tcPr>
          <w:p w14:paraId="18AAB014" w14:textId="77777777" w:rsidR="00E6457C" w:rsidRPr="000779C2" w:rsidRDefault="00E6457C" w:rsidP="0055632B">
            <w:pPr>
              <w:spacing w:before="0" w:after="0" w:line="240" w:lineRule="auto"/>
              <w:jc w:val="left"/>
              <w:rPr>
                <w:rFonts w:eastAsia="Times New Roman"/>
                <w:color w:val="000000" w:themeColor="text1"/>
                <w:szCs w:val="24"/>
                <w:lang w:val="en-IN"/>
              </w:rPr>
            </w:pPr>
          </w:p>
        </w:tc>
        <w:tc>
          <w:tcPr>
            <w:tcW w:w="823" w:type="pct"/>
            <w:noWrap/>
            <w:hideMark/>
          </w:tcPr>
          <w:p w14:paraId="6731A7AF"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79" w:type="pct"/>
            <w:noWrap/>
            <w:hideMark/>
          </w:tcPr>
          <w:p w14:paraId="76FADC28"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10DCE6D7"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059086C6"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148F040B"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4D9AD09E"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3EB70CCD" w14:textId="77777777" w:rsidTr="001940C0">
        <w:trPr>
          <w:trHeight w:val="315"/>
        </w:trPr>
        <w:tc>
          <w:tcPr>
            <w:tcW w:w="1255" w:type="pct"/>
            <w:noWrap/>
            <w:hideMark/>
          </w:tcPr>
          <w:p w14:paraId="4FE69549"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Liquidity Ratio</w:t>
            </w:r>
          </w:p>
        </w:tc>
        <w:tc>
          <w:tcPr>
            <w:tcW w:w="823" w:type="pct"/>
            <w:noWrap/>
            <w:hideMark/>
          </w:tcPr>
          <w:p w14:paraId="5BF9EF7A"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1E6512FC"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26960419"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6427EF8C"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6B1DBE1A"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6F12C907" w14:textId="77777777" w:rsidR="00E6457C" w:rsidRPr="000779C2" w:rsidRDefault="00E6457C" w:rsidP="0055632B">
            <w:pPr>
              <w:spacing w:before="0" w:after="0" w:line="240" w:lineRule="auto"/>
              <w:jc w:val="right"/>
              <w:rPr>
                <w:rFonts w:eastAsia="Times New Roman"/>
                <w:b/>
                <w:bCs/>
                <w:color w:val="000000" w:themeColor="text1"/>
                <w:szCs w:val="24"/>
                <w:lang w:val="en-IN"/>
              </w:rPr>
            </w:pPr>
          </w:p>
        </w:tc>
      </w:tr>
      <w:tr w:rsidR="00E6457C" w:rsidRPr="000779C2" w14:paraId="25A983D0" w14:textId="77777777" w:rsidTr="001940C0">
        <w:trPr>
          <w:trHeight w:val="315"/>
        </w:trPr>
        <w:tc>
          <w:tcPr>
            <w:tcW w:w="1255" w:type="pct"/>
            <w:noWrap/>
            <w:hideMark/>
          </w:tcPr>
          <w:p w14:paraId="0F72E6A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Current Ratio</w:t>
            </w:r>
          </w:p>
        </w:tc>
        <w:tc>
          <w:tcPr>
            <w:tcW w:w="823" w:type="pct"/>
            <w:noWrap/>
            <w:hideMark/>
          </w:tcPr>
          <w:p w14:paraId="460811E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0.98</w:t>
            </w:r>
          </w:p>
        </w:tc>
        <w:tc>
          <w:tcPr>
            <w:tcW w:w="479" w:type="pct"/>
            <w:noWrap/>
            <w:hideMark/>
          </w:tcPr>
          <w:p w14:paraId="3EA488D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14" w:type="pct"/>
            <w:noWrap/>
            <w:hideMark/>
          </w:tcPr>
          <w:p w14:paraId="49226E7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14" w:type="pct"/>
            <w:noWrap/>
            <w:hideMark/>
          </w:tcPr>
          <w:p w14:paraId="48F53E5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1.09</w:t>
            </w:r>
          </w:p>
        </w:tc>
        <w:tc>
          <w:tcPr>
            <w:tcW w:w="414" w:type="pct"/>
            <w:noWrap/>
            <w:hideMark/>
          </w:tcPr>
          <w:p w14:paraId="0366AC9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1.27</w:t>
            </w:r>
          </w:p>
        </w:tc>
        <w:tc>
          <w:tcPr>
            <w:tcW w:w="1202" w:type="pct"/>
            <w:hideMark/>
          </w:tcPr>
          <w:p w14:paraId="14F8BE4E"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Current assets / Current Liabilities </w:t>
            </w:r>
          </w:p>
        </w:tc>
      </w:tr>
      <w:tr w:rsidR="00E6457C" w:rsidRPr="000779C2" w14:paraId="14BA3A89" w14:textId="77777777" w:rsidTr="001940C0">
        <w:trPr>
          <w:trHeight w:val="630"/>
        </w:trPr>
        <w:tc>
          <w:tcPr>
            <w:tcW w:w="1255" w:type="pct"/>
            <w:noWrap/>
            <w:hideMark/>
          </w:tcPr>
          <w:p w14:paraId="7332955B"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Quick Ratio</w:t>
            </w:r>
          </w:p>
        </w:tc>
        <w:tc>
          <w:tcPr>
            <w:tcW w:w="823" w:type="pct"/>
            <w:noWrap/>
            <w:hideMark/>
          </w:tcPr>
          <w:p w14:paraId="7698B93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79" w:type="pct"/>
            <w:noWrap/>
            <w:hideMark/>
          </w:tcPr>
          <w:p w14:paraId="5C07830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14" w:type="pct"/>
            <w:noWrap/>
            <w:hideMark/>
          </w:tcPr>
          <w:p w14:paraId="273A4EA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14" w:type="pct"/>
            <w:noWrap/>
            <w:hideMark/>
          </w:tcPr>
          <w:p w14:paraId="02E73AF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1.08</w:t>
            </w:r>
          </w:p>
        </w:tc>
        <w:tc>
          <w:tcPr>
            <w:tcW w:w="414" w:type="pct"/>
            <w:noWrap/>
            <w:hideMark/>
          </w:tcPr>
          <w:p w14:paraId="7BCE3D0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1.27</w:t>
            </w:r>
          </w:p>
        </w:tc>
        <w:tc>
          <w:tcPr>
            <w:tcW w:w="1202" w:type="pct"/>
            <w:hideMark/>
          </w:tcPr>
          <w:p w14:paraId="3208BFFE" w14:textId="77777777" w:rsidR="00E6457C" w:rsidRPr="000779C2" w:rsidRDefault="00E6457C" w:rsidP="0055632B">
            <w:pPr>
              <w:spacing w:before="0" w:after="0" w:line="240" w:lineRule="auto"/>
              <w:jc w:val="left"/>
              <w:rPr>
                <w:rFonts w:eastAsia="Times New Roman"/>
                <w:color w:val="000000" w:themeColor="text1"/>
                <w:szCs w:val="24"/>
                <w:lang w:val="fr-FR"/>
              </w:rPr>
            </w:pPr>
            <w:r w:rsidRPr="000779C2">
              <w:rPr>
                <w:rFonts w:eastAsia="Times New Roman"/>
                <w:color w:val="000000" w:themeColor="text1"/>
                <w:szCs w:val="24"/>
                <w:lang w:val="fr-FR"/>
              </w:rPr>
              <w:t xml:space="preserve">Current assets- Inventories / Current </w:t>
            </w:r>
            <w:proofErr w:type="spellStart"/>
            <w:r w:rsidRPr="000779C2">
              <w:rPr>
                <w:rFonts w:eastAsia="Times New Roman"/>
                <w:color w:val="000000" w:themeColor="text1"/>
                <w:szCs w:val="24"/>
                <w:lang w:val="fr-FR"/>
              </w:rPr>
              <w:t>Liabilities</w:t>
            </w:r>
            <w:proofErr w:type="spellEnd"/>
            <w:r w:rsidRPr="000779C2">
              <w:rPr>
                <w:rFonts w:eastAsia="Times New Roman"/>
                <w:color w:val="000000" w:themeColor="text1"/>
                <w:szCs w:val="24"/>
                <w:lang w:val="fr-FR"/>
              </w:rPr>
              <w:t xml:space="preserve"> </w:t>
            </w:r>
          </w:p>
        </w:tc>
      </w:tr>
      <w:tr w:rsidR="00E6457C" w:rsidRPr="000779C2" w14:paraId="0D139B20" w14:textId="77777777" w:rsidTr="001940C0">
        <w:trPr>
          <w:trHeight w:val="630"/>
        </w:trPr>
        <w:tc>
          <w:tcPr>
            <w:tcW w:w="1255" w:type="pct"/>
            <w:noWrap/>
            <w:hideMark/>
          </w:tcPr>
          <w:p w14:paraId="47644348"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Cash Ratio</w:t>
            </w:r>
          </w:p>
        </w:tc>
        <w:tc>
          <w:tcPr>
            <w:tcW w:w="823" w:type="pct"/>
            <w:noWrap/>
            <w:hideMark/>
          </w:tcPr>
          <w:p w14:paraId="6C75ECC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0.54</w:t>
            </w:r>
          </w:p>
        </w:tc>
        <w:tc>
          <w:tcPr>
            <w:tcW w:w="479" w:type="pct"/>
            <w:noWrap/>
            <w:hideMark/>
          </w:tcPr>
          <w:p w14:paraId="0308B2E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0.52</w:t>
            </w:r>
          </w:p>
        </w:tc>
        <w:tc>
          <w:tcPr>
            <w:tcW w:w="414" w:type="pct"/>
            <w:noWrap/>
            <w:hideMark/>
          </w:tcPr>
          <w:p w14:paraId="7FC34AD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0.60</w:t>
            </w:r>
          </w:p>
        </w:tc>
        <w:tc>
          <w:tcPr>
            <w:tcW w:w="414" w:type="pct"/>
            <w:noWrap/>
            <w:hideMark/>
          </w:tcPr>
          <w:p w14:paraId="021BD41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0.86</w:t>
            </w:r>
          </w:p>
        </w:tc>
        <w:tc>
          <w:tcPr>
            <w:tcW w:w="414" w:type="pct"/>
            <w:noWrap/>
            <w:hideMark/>
          </w:tcPr>
          <w:p w14:paraId="00A310D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0.89</w:t>
            </w:r>
          </w:p>
        </w:tc>
        <w:tc>
          <w:tcPr>
            <w:tcW w:w="1202" w:type="pct"/>
            <w:hideMark/>
          </w:tcPr>
          <w:p w14:paraId="0ACA4707"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Cash and cash equivalent / Current Liabilities </w:t>
            </w:r>
          </w:p>
        </w:tc>
      </w:tr>
      <w:tr w:rsidR="00E6457C" w:rsidRPr="000779C2" w14:paraId="164FF585" w14:textId="77777777" w:rsidTr="001940C0">
        <w:trPr>
          <w:trHeight w:val="315"/>
        </w:trPr>
        <w:tc>
          <w:tcPr>
            <w:tcW w:w="1255" w:type="pct"/>
            <w:noWrap/>
            <w:hideMark/>
          </w:tcPr>
          <w:p w14:paraId="4432DB32" w14:textId="77777777" w:rsidR="00E6457C" w:rsidRPr="000779C2" w:rsidRDefault="00E6457C" w:rsidP="0055632B">
            <w:pPr>
              <w:spacing w:before="0" w:after="0" w:line="240" w:lineRule="auto"/>
              <w:jc w:val="left"/>
              <w:rPr>
                <w:rFonts w:eastAsia="Times New Roman"/>
                <w:color w:val="000000" w:themeColor="text1"/>
                <w:szCs w:val="24"/>
                <w:lang w:val="en-IN"/>
              </w:rPr>
            </w:pPr>
          </w:p>
        </w:tc>
        <w:tc>
          <w:tcPr>
            <w:tcW w:w="823" w:type="pct"/>
            <w:noWrap/>
            <w:hideMark/>
          </w:tcPr>
          <w:p w14:paraId="6E0FDE84"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79" w:type="pct"/>
            <w:noWrap/>
            <w:hideMark/>
          </w:tcPr>
          <w:p w14:paraId="71D859B3"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13F609A9"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60DD65F2"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289CCEAE"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22B1B3EB"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6F99F210" w14:textId="77777777" w:rsidTr="001940C0">
        <w:trPr>
          <w:trHeight w:val="315"/>
        </w:trPr>
        <w:tc>
          <w:tcPr>
            <w:tcW w:w="1255" w:type="pct"/>
            <w:noWrap/>
            <w:hideMark/>
          </w:tcPr>
          <w:p w14:paraId="148ABD2B"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Gearing Ratio</w:t>
            </w:r>
          </w:p>
        </w:tc>
        <w:tc>
          <w:tcPr>
            <w:tcW w:w="823" w:type="pct"/>
            <w:noWrap/>
            <w:hideMark/>
          </w:tcPr>
          <w:p w14:paraId="2987E9E6"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5E24D6C6"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465048F0"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110B0551"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6ED7BE01"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65A11470" w14:textId="77777777" w:rsidR="00E6457C" w:rsidRPr="000779C2" w:rsidRDefault="00E6457C" w:rsidP="0055632B">
            <w:pPr>
              <w:spacing w:before="0" w:after="0" w:line="240" w:lineRule="auto"/>
              <w:jc w:val="right"/>
              <w:rPr>
                <w:rFonts w:eastAsia="Times New Roman"/>
                <w:b/>
                <w:bCs/>
                <w:color w:val="000000" w:themeColor="text1"/>
                <w:szCs w:val="24"/>
                <w:lang w:val="en-IN"/>
              </w:rPr>
            </w:pPr>
          </w:p>
        </w:tc>
      </w:tr>
      <w:tr w:rsidR="00E6457C" w:rsidRPr="000779C2" w14:paraId="668E2719" w14:textId="77777777" w:rsidTr="001940C0">
        <w:trPr>
          <w:trHeight w:val="315"/>
        </w:trPr>
        <w:tc>
          <w:tcPr>
            <w:tcW w:w="1255" w:type="pct"/>
            <w:hideMark/>
          </w:tcPr>
          <w:p w14:paraId="7FE846C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Debt to equity ratio</w:t>
            </w:r>
          </w:p>
        </w:tc>
        <w:tc>
          <w:tcPr>
            <w:tcW w:w="823" w:type="pct"/>
            <w:noWrap/>
            <w:hideMark/>
          </w:tcPr>
          <w:p w14:paraId="0CF0EB09"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0.010</w:t>
            </w:r>
          </w:p>
        </w:tc>
        <w:tc>
          <w:tcPr>
            <w:tcW w:w="479" w:type="pct"/>
            <w:noWrap/>
            <w:hideMark/>
          </w:tcPr>
          <w:p w14:paraId="1175738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0.011</w:t>
            </w:r>
          </w:p>
        </w:tc>
        <w:tc>
          <w:tcPr>
            <w:tcW w:w="414" w:type="pct"/>
            <w:noWrap/>
            <w:hideMark/>
          </w:tcPr>
          <w:p w14:paraId="61DE429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0.015</w:t>
            </w:r>
          </w:p>
        </w:tc>
        <w:tc>
          <w:tcPr>
            <w:tcW w:w="414" w:type="pct"/>
            <w:noWrap/>
            <w:hideMark/>
          </w:tcPr>
          <w:p w14:paraId="26AE2D78"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0.016</w:t>
            </w:r>
          </w:p>
        </w:tc>
        <w:tc>
          <w:tcPr>
            <w:tcW w:w="414" w:type="pct"/>
            <w:noWrap/>
            <w:hideMark/>
          </w:tcPr>
          <w:p w14:paraId="0313236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0.024</w:t>
            </w:r>
          </w:p>
        </w:tc>
        <w:tc>
          <w:tcPr>
            <w:tcW w:w="1202" w:type="pct"/>
            <w:hideMark/>
          </w:tcPr>
          <w:p w14:paraId="10429D03"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Total Debt / Shareholder's Equity </w:t>
            </w:r>
          </w:p>
        </w:tc>
      </w:tr>
      <w:tr w:rsidR="00E6457C" w:rsidRPr="000779C2" w14:paraId="0FD41122" w14:textId="77777777" w:rsidTr="001940C0">
        <w:trPr>
          <w:trHeight w:val="315"/>
        </w:trPr>
        <w:tc>
          <w:tcPr>
            <w:tcW w:w="1255" w:type="pct"/>
            <w:hideMark/>
          </w:tcPr>
          <w:p w14:paraId="767EE4F6"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Debt ratio</w:t>
            </w:r>
          </w:p>
        </w:tc>
        <w:tc>
          <w:tcPr>
            <w:tcW w:w="823" w:type="pct"/>
            <w:noWrap/>
            <w:hideMark/>
          </w:tcPr>
          <w:p w14:paraId="7D22AD5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0.005</w:t>
            </w:r>
          </w:p>
        </w:tc>
        <w:tc>
          <w:tcPr>
            <w:tcW w:w="479" w:type="pct"/>
            <w:noWrap/>
            <w:hideMark/>
          </w:tcPr>
          <w:p w14:paraId="3662070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0.005</w:t>
            </w:r>
          </w:p>
        </w:tc>
        <w:tc>
          <w:tcPr>
            <w:tcW w:w="414" w:type="pct"/>
            <w:noWrap/>
            <w:hideMark/>
          </w:tcPr>
          <w:p w14:paraId="69B4789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0.006</w:t>
            </w:r>
          </w:p>
        </w:tc>
        <w:tc>
          <w:tcPr>
            <w:tcW w:w="414" w:type="pct"/>
            <w:noWrap/>
            <w:hideMark/>
          </w:tcPr>
          <w:p w14:paraId="4B8281D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0.006</w:t>
            </w:r>
          </w:p>
        </w:tc>
        <w:tc>
          <w:tcPr>
            <w:tcW w:w="414" w:type="pct"/>
            <w:noWrap/>
            <w:hideMark/>
          </w:tcPr>
          <w:p w14:paraId="68BCA25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0.007</w:t>
            </w:r>
          </w:p>
        </w:tc>
        <w:tc>
          <w:tcPr>
            <w:tcW w:w="1202" w:type="pct"/>
            <w:hideMark/>
          </w:tcPr>
          <w:p w14:paraId="27AC15FB"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Total Debt/ Total Assets</w:t>
            </w:r>
          </w:p>
        </w:tc>
      </w:tr>
      <w:tr w:rsidR="00E6457C" w:rsidRPr="000779C2" w14:paraId="29665ACD" w14:textId="77777777" w:rsidTr="001940C0">
        <w:trPr>
          <w:trHeight w:val="315"/>
        </w:trPr>
        <w:tc>
          <w:tcPr>
            <w:tcW w:w="1255" w:type="pct"/>
            <w:hideMark/>
          </w:tcPr>
          <w:p w14:paraId="55A1FBC0"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Equity Ratio</w:t>
            </w:r>
          </w:p>
        </w:tc>
        <w:tc>
          <w:tcPr>
            <w:tcW w:w="823" w:type="pct"/>
            <w:noWrap/>
            <w:hideMark/>
          </w:tcPr>
          <w:p w14:paraId="4243C9A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0.512</w:t>
            </w:r>
          </w:p>
        </w:tc>
        <w:tc>
          <w:tcPr>
            <w:tcW w:w="479" w:type="pct"/>
            <w:noWrap/>
            <w:hideMark/>
          </w:tcPr>
          <w:p w14:paraId="3D9B911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0.486</w:t>
            </w:r>
          </w:p>
        </w:tc>
        <w:tc>
          <w:tcPr>
            <w:tcW w:w="414" w:type="pct"/>
            <w:noWrap/>
            <w:hideMark/>
          </w:tcPr>
          <w:p w14:paraId="1418EFA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0.404</w:t>
            </w:r>
          </w:p>
        </w:tc>
        <w:tc>
          <w:tcPr>
            <w:tcW w:w="414" w:type="pct"/>
            <w:noWrap/>
            <w:hideMark/>
          </w:tcPr>
          <w:p w14:paraId="1BAE8F2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0.381</w:t>
            </w:r>
          </w:p>
        </w:tc>
        <w:tc>
          <w:tcPr>
            <w:tcW w:w="414" w:type="pct"/>
            <w:noWrap/>
            <w:hideMark/>
          </w:tcPr>
          <w:p w14:paraId="12B732A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0.313</w:t>
            </w:r>
          </w:p>
        </w:tc>
        <w:tc>
          <w:tcPr>
            <w:tcW w:w="1202" w:type="pct"/>
            <w:hideMark/>
          </w:tcPr>
          <w:p w14:paraId="191DDAFA"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Total equity/ Total assets </w:t>
            </w:r>
          </w:p>
        </w:tc>
      </w:tr>
      <w:tr w:rsidR="00E6457C" w:rsidRPr="000779C2" w14:paraId="3BC14C78" w14:textId="77777777" w:rsidTr="001940C0">
        <w:trPr>
          <w:trHeight w:val="630"/>
        </w:trPr>
        <w:tc>
          <w:tcPr>
            <w:tcW w:w="1255" w:type="pct"/>
            <w:hideMark/>
          </w:tcPr>
          <w:p w14:paraId="56B623DE"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Debt-to-Capital ratio</w:t>
            </w:r>
          </w:p>
        </w:tc>
        <w:tc>
          <w:tcPr>
            <w:tcW w:w="823" w:type="pct"/>
            <w:noWrap/>
            <w:hideMark/>
          </w:tcPr>
          <w:p w14:paraId="248ADAB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0.010</w:t>
            </w:r>
          </w:p>
        </w:tc>
        <w:tc>
          <w:tcPr>
            <w:tcW w:w="479" w:type="pct"/>
            <w:noWrap/>
            <w:hideMark/>
          </w:tcPr>
          <w:p w14:paraId="7DF6250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0.011</w:t>
            </w:r>
          </w:p>
        </w:tc>
        <w:tc>
          <w:tcPr>
            <w:tcW w:w="414" w:type="pct"/>
            <w:noWrap/>
            <w:hideMark/>
          </w:tcPr>
          <w:p w14:paraId="66F7695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0.015</w:t>
            </w:r>
          </w:p>
        </w:tc>
        <w:tc>
          <w:tcPr>
            <w:tcW w:w="414" w:type="pct"/>
            <w:noWrap/>
            <w:hideMark/>
          </w:tcPr>
          <w:p w14:paraId="3C91FD5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0.016</w:t>
            </w:r>
          </w:p>
        </w:tc>
        <w:tc>
          <w:tcPr>
            <w:tcW w:w="414" w:type="pct"/>
            <w:noWrap/>
            <w:hideMark/>
          </w:tcPr>
          <w:p w14:paraId="47AFA87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0.023</w:t>
            </w:r>
          </w:p>
        </w:tc>
        <w:tc>
          <w:tcPr>
            <w:tcW w:w="1202" w:type="pct"/>
            <w:hideMark/>
          </w:tcPr>
          <w:p w14:paraId="38DE1B12"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Total debt/ Total debt + Total equity </w:t>
            </w:r>
          </w:p>
        </w:tc>
      </w:tr>
      <w:tr w:rsidR="00E6457C" w:rsidRPr="000779C2" w14:paraId="31622A1E" w14:textId="77777777" w:rsidTr="001940C0">
        <w:trPr>
          <w:trHeight w:val="315"/>
        </w:trPr>
        <w:tc>
          <w:tcPr>
            <w:tcW w:w="1255" w:type="pct"/>
            <w:noWrap/>
            <w:hideMark/>
          </w:tcPr>
          <w:p w14:paraId="019F63A6" w14:textId="77777777" w:rsidR="00E6457C" w:rsidRPr="000779C2" w:rsidRDefault="00E6457C" w:rsidP="0055632B">
            <w:pPr>
              <w:spacing w:before="0" w:after="0" w:line="240" w:lineRule="auto"/>
              <w:jc w:val="left"/>
              <w:rPr>
                <w:rFonts w:eastAsia="Times New Roman"/>
                <w:color w:val="000000" w:themeColor="text1"/>
                <w:szCs w:val="24"/>
                <w:lang w:val="en-IN"/>
              </w:rPr>
            </w:pPr>
          </w:p>
        </w:tc>
        <w:tc>
          <w:tcPr>
            <w:tcW w:w="823" w:type="pct"/>
            <w:noWrap/>
            <w:hideMark/>
          </w:tcPr>
          <w:p w14:paraId="5ABE98CA"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79" w:type="pct"/>
            <w:noWrap/>
            <w:hideMark/>
          </w:tcPr>
          <w:p w14:paraId="5CF87425"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428C90EC"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25A093A4"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1C4CAF41"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44EC1EB0"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124600FA" w14:textId="77777777" w:rsidTr="001940C0">
        <w:trPr>
          <w:trHeight w:val="315"/>
        </w:trPr>
        <w:tc>
          <w:tcPr>
            <w:tcW w:w="1255" w:type="pct"/>
            <w:noWrap/>
            <w:hideMark/>
          </w:tcPr>
          <w:p w14:paraId="1DF6951F"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Efficiency Ratio</w:t>
            </w:r>
          </w:p>
        </w:tc>
        <w:tc>
          <w:tcPr>
            <w:tcW w:w="823" w:type="pct"/>
            <w:noWrap/>
            <w:hideMark/>
          </w:tcPr>
          <w:p w14:paraId="17C38009"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42138E78"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034D6A17"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4BEB9553"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27CC6800"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67BE801F" w14:textId="77777777" w:rsidR="00E6457C" w:rsidRPr="000779C2" w:rsidRDefault="00E6457C" w:rsidP="0055632B">
            <w:pPr>
              <w:spacing w:before="0" w:after="0" w:line="240" w:lineRule="auto"/>
              <w:jc w:val="right"/>
              <w:rPr>
                <w:rFonts w:eastAsia="Times New Roman"/>
                <w:b/>
                <w:bCs/>
                <w:color w:val="000000" w:themeColor="text1"/>
                <w:szCs w:val="24"/>
                <w:lang w:val="en-IN"/>
              </w:rPr>
            </w:pPr>
          </w:p>
        </w:tc>
      </w:tr>
      <w:tr w:rsidR="00E6457C" w:rsidRPr="000779C2" w14:paraId="390B6C17" w14:textId="77777777" w:rsidTr="001940C0">
        <w:trPr>
          <w:trHeight w:val="630"/>
        </w:trPr>
        <w:tc>
          <w:tcPr>
            <w:tcW w:w="1255" w:type="pct"/>
            <w:hideMark/>
          </w:tcPr>
          <w:p w14:paraId="22A036E3"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Inventory Turnover ratio</w:t>
            </w:r>
          </w:p>
        </w:tc>
        <w:tc>
          <w:tcPr>
            <w:tcW w:w="823" w:type="pct"/>
            <w:noWrap/>
            <w:hideMark/>
          </w:tcPr>
          <w:p w14:paraId="7766618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152.8</w:t>
            </w:r>
          </w:p>
        </w:tc>
        <w:tc>
          <w:tcPr>
            <w:tcW w:w="479" w:type="pct"/>
            <w:noWrap/>
            <w:hideMark/>
          </w:tcPr>
          <w:p w14:paraId="2DB95C2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186.25</w:t>
            </w:r>
          </w:p>
        </w:tc>
        <w:tc>
          <w:tcPr>
            <w:tcW w:w="414" w:type="pct"/>
            <w:noWrap/>
            <w:hideMark/>
          </w:tcPr>
          <w:p w14:paraId="3B12113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148.4</w:t>
            </w:r>
          </w:p>
        </w:tc>
        <w:tc>
          <w:tcPr>
            <w:tcW w:w="414" w:type="pct"/>
            <w:noWrap/>
            <w:hideMark/>
          </w:tcPr>
          <w:p w14:paraId="3F2BA09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162</w:t>
            </w:r>
          </w:p>
        </w:tc>
        <w:tc>
          <w:tcPr>
            <w:tcW w:w="414" w:type="pct"/>
            <w:noWrap/>
            <w:hideMark/>
          </w:tcPr>
          <w:p w14:paraId="07BD3F8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121.5</w:t>
            </w:r>
          </w:p>
        </w:tc>
        <w:tc>
          <w:tcPr>
            <w:tcW w:w="1202" w:type="pct"/>
            <w:hideMark/>
          </w:tcPr>
          <w:p w14:paraId="023B53D3"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Cost of goods sold / Average Inventory </w:t>
            </w:r>
          </w:p>
        </w:tc>
      </w:tr>
      <w:tr w:rsidR="00E6457C" w:rsidRPr="000779C2" w14:paraId="22AD08C7" w14:textId="77777777" w:rsidTr="001940C0">
        <w:trPr>
          <w:trHeight w:val="315"/>
        </w:trPr>
        <w:tc>
          <w:tcPr>
            <w:tcW w:w="1255" w:type="pct"/>
            <w:hideMark/>
          </w:tcPr>
          <w:p w14:paraId="063E8F2B" w14:textId="77777777" w:rsidR="00E6457C" w:rsidRPr="000779C2" w:rsidRDefault="00E6457C" w:rsidP="0055632B">
            <w:pPr>
              <w:spacing w:before="0" w:after="0" w:line="240" w:lineRule="auto"/>
              <w:jc w:val="left"/>
              <w:rPr>
                <w:rFonts w:eastAsia="Times New Roman"/>
                <w:color w:val="000000" w:themeColor="text1"/>
                <w:szCs w:val="24"/>
                <w:lang w:val="en-IN"/>
              </w:rPr>
            </w:pPr>
            <w:proofErr w:type="spellStart"/>
            <w:r w:rsidRPr="000779C2">
              <w:rPr>
                <w:rFonts w:eastAsia="Times New Roman"/>
                <w:color w:val="000000" w:themeColor="text1"/>
                <w:szCs w:val="24"/>
                <w:lang w:val="en-IN"/>
              </w:rPr>
              <w:lastRenderedPageBreak/>
              <w:t>Recievable</w:t>
            </w:r>
            <w:proofErr w:type="spellEnd"/>
            <w:r w:rsidRPr="000779C2">
              <w:rPr>
                <w:rFonts w:eastAsia="Times New Roman"/>
                <w:color w:val="000000" w:themeColor="text1"/>
                <w:szCs w:val="24"/>
                <w:lang w:val="en-IN"/>
              </w:rPr>
              <w:t xml:space="preserve"> turnover ratio</w:t>
            </w:r>
          </w:p>
        </w:tc>
        <w:tc>
          <w:tcPr>
            <w:tcW w:w="823" w:type="pct"/>
            <w:noWrap/>
            <w:hideMark/>
          </w:tcPr>
          <w:p w14:paraId="290722D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6.23</w:t>
            </w:r>
          </w:p>
        </w:tc>
        <w:tc>
          <w:tcPr>
            <w:tcW w:w="479" w:type="pct"/>
            <w:noWrap/>
            <w:hideMark/>
          </w:tcPr>
          <w:p w14:paraId="11CF564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6.27</w:t>
            </w:r>
          </w:p>
        </w:tc>
        <w:tc>
          <w:tcPr>
            <w:tcW w:w="414" w:type="pct"/>
            <w:noWrap/>
            <w:hideMark/>
          </w:tcPr>
          <w:p w14:paraId="5A2D13D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6.25</w:t>
            </w:r>
          </w:p>
        </w:tc>
        <w:tc>
          <w:tcPr>
            <w:tcW w:w="414" w:type="pct"/>
            <w:noWrap/>
            <w:hideMark/>
          </w:tcPr>
          <w:p w14:paraId="0E60091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6.02</w:t>
            </w:r>
          </w:p>
        </w:tc>
        <w:tc>
          <w:tcPr>
            <w:tcW w:w="414" w:type="pct"/>
            <w:noWrap/>
            <w:hideMark/>
          </w:tcPr>
          <w:p w14:paraId="154957E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5.06</w:t>
            </w:r>
          </w:p>
        </w:tc>
        <w:tc>
          <w:tcPr>
            <w:tcW w:w="1202" w:type="pct"/>
            <w:hideMark/>
          </w:tcPr>
          <w:p w14:paraId="39BCFFC5"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Credit sales/ Accounts </w:t>
            </w:r>
            <w:proofErr w:type="spellStart"/>
            <w:r w:rsidRPr="000779C2">
              <w:rPr>
                <w:rFonts w:eastAsia="Times New Roman"/>
                <w:color w:val="000000" w:themeColor="text1"/>
                <w:szCs w:val="24"/>
                <w:lang w:val="en-IN"/>
              </w:rPr>
              <w:t>recievable</w:t>
            </w:r>
            <w:proofErr w:type="spellEnd"/>
            <w:r w:rsidRPr="000779C2">
              <w:rPr>
                <w:rFonts w:eastAsia="Times New Roman"/>
                <w:color w:val="000000" w:themeColor="text1"/>
                <w:szCs w:val="24"/>
                <w:lang w:val="en-IN"/>
              </w:rPr>
              <w:t xml:space="preserve"> </w:t>
            </w:r>
          </w:p>
        </w:tc>
      </w:tr>
      <w:tr w:rsidR="00E6457C" w:rsidRPr="000779C2" w14:paraId="2A27BE8A" w14:textId="77777777" w:rsidTr="001940C0">
        <w:trPr>
          <w:trHeight w:val="315"/>
        </w:trPr>
        <w:tc>
          <w:tcPr>
            <w:tcW w:w="1255" w:type="pct"/>
            <w:hideMark/>
          </w:tcPr>
          <w:p w14:paraId="63367675"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Total asset turnover ratio</w:t>
            </w:r>
          </w:p>
        </w:tc>
        <w:tc>
          <w:tcPr>
            <w:tcW w:w="823" w:type="pct"/>
            <w:noWrap/>
            <w:hideMark/>
          </w:tcPr>
          <w:p w14:paraId="3B6B613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0.97</w:t>
            </w:r>
          </w:p>
        </w:tc>
        <w:tc>
          <w:tcPr>
            <w:tcW w:w="479" w:type="pct"/>
            <w:noWrap/>
            <w:hideMark/>
          </w:tcPr>
          <w:p w14:paraId="217E28D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1.04</w:t>
            </w:r>
          </w:p>
        </w:tc>
        <w:tc>
          <w:tcPr>
            <w:tcW w:w="414" w:type="pct"/>
            <w:noWrap/>
            <w:hideMark/>
          </w:tcPr>
          <w:p w14:paraId="7FF29FF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0.96</w:t>
            </w:r>
          </w:p>
        </w:tc>
        <w:tc>
          <w:tcPr>
            <w:tcW w:w="414" w:type="pct"/>
            <w:noWrap/>
            <w:hideMark/>
          </w:tcPr>
          <w:p w14:paraId="19EFC65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0.92</w:t>
            </w:r>
          </w:p>
        </w:tc>
        <w:tc>
          <w:tcPr>
            <w:tcW w:w="414" w:type="pct"/>
            <w:noWrap/>
            <w:hideMark/>
          </w:tcPr>
          <w:p w14:paraId="1E98919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0.62</w:t>
            </w:r>
          </w:p>
        </w:tc>
        <w:tc>
          <w:tcPr>
            <w:tcW w:w="1202" w:type="pct"/>
            <w:hideMark/>
          </w:tcPr>
          <w:p w14:paraId="5E16C245"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Net sales/ Total assets </w:t>
            </w:r>
          </w:p>
        </w:tc>
      </w:tr>
      <w:tr w:rsidR="00E6457C" w:rsidRPr="000779C2" w14:paraId="5AEC2F5C" w14:textId="77777777" w:rsidTr="001940C0">
        <w:trPr>
          <w:trHeight w:val="630"/>
        </w:trPr>
        <w:tc>
          <w:tcPr>
            <w:tcW w:w="1255" w:type="pct"/>
            <w:hideMark/>
          </w:tcPr>
          <w:p w14:paraId="51C57612"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Accounts payable ratio</w:t>
            </w:r>
          </w:p>
        </w:tc>
        <w:tc>
          <w:tcPr>
            <w:tcW w:w="823" w:type="pct"/>
            <w:noWrap/>
            <w:hideMark/>
          </w:tcPr>
          <w:p w14:paraId="1F4F646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1.13</w:t>
            </w:r>
          </w:p>
        </w:tc>
        <w:tc>
          <w:tcPr>
            <w:tcW w:w="479" w:type="pct"/>
            <w:noWrap/>
            <w:hideMark/>
          </w:tcPr>
          <w:p w14:paraId="43CAE74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1.15</w:t>
            </w:r>
          </w:p>
        </w:tc>
        <w:tc>
          <w:tcPr>
            <w:tcW w:w="414" w:type="pct"/>
            <w:noWrap/>
            <w:hideMark/>
          </w:tcPr>
          <w:p w14:paraId="5A1698C8"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1.04</w:t>
            </w:r>
          </w:p>
        </w:tc>
        <w:tc>
          <w:tcPr>
            <w:tcW w:w="414" w:type="pct"/>
            <w:noWrap/>
            <w:hideMark/>
          </w:tcPr>
          <w:p w14:paraId="2FF0074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0.95</w:t>
            </w:r>
          </w:p>
        </w:tc>
        <w:tc>
          <w:tcPr>
            <w:tcW w:w="414" w:type="pct"/>
            <w:noWrap/>
            <w:hideMark/>
          </w:tcPr>
          <w:p w14:paraId="2653E15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5.46</w:t>
            </w:r>
          </w:p>
        </w:tc>
        <w:tc>
          <w:tcPr>
            <w:tcW w:w="1202" w:type="pct"/>
            <w:hideMark/>
          </w:tcPr>
          <w:p w14:paraId="7AF9C449"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Cost of goods sold/Accounts payable </w:t>
            </w:r>
          </w:p>
        </w:tc>
      </w:tr>
      <w:tr w:rsidR="00E6457C" w:rsidRPr="000779C2" w14:paraId="55721910" w14:textId="77777777" w:rsidTr="001940C0">
        <w:trPr>
          <w:trHeight w:val="315"/>
        </w:trPr>
        <w:tc>
          <w:tcPr>
            <w:tcW w:w="1255" w:type="pct"/>
            <w:noWrap/>
            <w:hideMark/>
          </w:tcPr>
          <w:p w14:paraId="31E1CC97" w14:textId="77777777" w:rsidR="00E6457C" w:rsidRPr="000779C2" w:rsidRDefault="00E6457C" w:rsidP="0055632B">
            <w:pPr>
              <w:spacing w:before="0" w:after="0" w:line="240" w:lineRule="auto"/>
              <w:jc w:val="left"/>
              <w:rPr>
                <w:rFonts w:eastAsia="Times New Roman"/>
                <w:color w:val="000000" w:themeColor="text1"/>
                <w:szCs w:val="24"/>
                <w:lang w:val="en-IN"/>
              </w:rPr>
            </w:pPr>
          </w:p>
        </w:tc>
        <w:tc>
          <w:tcPr>
            <w:tcW w:w="823" w:type="pct"/>
            <w:noWrap/>
            <w:hideMark/>
          </w:tcPr>
          <w:p w14:paraId="3E729379"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79" w:type="pct"/>
            <w:noWrap/>
            <w:hideMark/>
          </w:tcPr>
          <w:p w14:paraId="4C9061E5"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5A087F55"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1309C45C"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78BEC726"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49EAF2D1"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6A4353CB" w14:textId="77777777" w:rsidTr="001940C0">
        <w:trPr>
          <w:trHeight w:val="315"/>
        </w:trPr>
        <w:tc>
          <w:tcPr>
            <w:tcW w:w="1255" w:type="pct"/>
            <w:noWrap/>
            <w:hideMark/>
          </w:tcPr>
          <w:p w14:paraId="15384C30"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Investment Ratio</w:t>
            </w:r>
          </w:p>
        </w:tc>
        <w:tc>
          <w:tcPr>
            <w:tcW w:w="823" w:type="pct"/>
            <w:noWrap/>
            <w:hideMark/>
          </w:tcPr>
          <w:p w14:paraId="2BCF8AF5"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54129159"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675EF3F2"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40C18B57"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5C0B6F2E"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3DB52B1A" w14:textId="77777777" w:rsidR="00E6457C" w:rsidRPr="000779C2" w:rsidRDefault="00E6457C" w:rsidP="0055632B">
            <w:pPr>
              <w:spacing w:before="0" w:after="0" w:line="240" w:lineRule="auto"/>
              <w:jc w:val="right"/>
              <w:rPr>
                <w:rFonts w:eastAsia="Times New Roman"/>
                <w:b/>
                <w:bCs/>
                <w:color w:val="000000" w:themeColor="text1"/>
                <w:szCs w:val="24"/>
                <w:lang w:val="en-IN"/>
              </w:rPr>
            </w:pPr>
          </w:p>
        </w:tc>
      </w:tr>
      <w:tr w:rsidR="00E6457C" w:rsidRPr="000779C2" w14:paraId="6589FCA3" w14:textId="77777777" w:rsidTr="001940C0">
        <w:trPr>
          <w:trHeight w:val="1260"/>
        </w:trPr>
        <w:tc>
          <w:tcPr>
            <w:tcW w:w="1255" w:type="pct"/>
            <w:noWrap/>
            <w:hideMark/>
          </w:tcPr>
          <w:p w14:paraId="33F27A4C"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Earnings Per Share (EPS) (¢)</w:t>
            </w:r>
          </w:p>
        </w:tc>
        <w:tc>
          <w:tcPr>
            <w:tcW w:w="823" w:type="pct"/>
            <w:noWrap/>
            <w:hideMark/>
          </w:tcPr>
          <w:p w14:paraId="784A907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490.9</w:t>
            </w:r>
          </w:p>
        </w:tc>
        <w:tc>
          <w:tcPr>
            <w:tcW w:w="479" w:type="pct"/>
            <w:noWrap/>
            <w:hideMark/>
          </w:tcPr>
          <w:p w14:paraId="5F963EA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389.6</w:t>
            </w:r>
          </w:p>
        </w:tc>
        <w:tc>
          <w:tcPr>
            <w:tcW w:w="414" w:type="pct"/>
            <w:noWrap/>
            <w:hideMark/>
          </w:tcPr>
          <w:p w14:paraId="21EDDFA3"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443.8</w:t>
            </w:r>
          </w:p>
        </w:tc>
        <w:tc>
          <w:tcPr>
            <w:tcW w:w="414" w:type="pct"/>
            <w:noWrap/>
            <w:hideMark/>
          </w:tcPr>
          <w:p w14:paraId="3DA943A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207.2</w:t>
            </w:r>
          </w:p>
        </w:tc>
        <w:tc>
          <w:tcPr>
            <w:tcW w:w="414" w:type="pct"/>
            <w:noWrap/>
            <w:hideMark/>
          </w:tcPr>
          <w:p w14:paraId="219677C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145.4</w:t>
            </w:r>
          </w:p>
        </w:tc>
        <w:tc>
          <w:tcPr>
            <w:tcW w:w="1202" w:type="pct"/>
            <w:hideMark/>
          </w:tcPr>
          <w:p w14:paraId="247CDF29"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(Net Profit - Preference Dividends)/Weighted Average Number of Ordinary Shares Outstanding</w:t>
            </w:r>
          </w:p>
        </w:tc>
      </w:tr>
      <w:tr w:rsidR="00E6457C" w:rsidRPr="000779C2" w14:paraId="2E03D15E" w14:textId="77777777" w:rsidTr="001940C0">
        <w:trPr>
          <w:trHeight w:val="945"/>
        </w:trPr>
        <w:tc>
          <w:tcPr>
            <w:tcW w:w="1255" w:type="pct"/>
            <w:noWrap/>
            <w:hideMark/>
          </w:tcPr>
          <w:p w14:paraId="79ADE3C2"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Dividend Per Share (¢)</w:t>
            </w:r>
          </w:p>
        </w:tc>
        <w:tc>
          <w:tcPr>
            <w:tcW w:w="823" w:type="pct"/>
            <w:noWrap/>
            <w:hideMark/>
          </w:tcPr>
          <w:p w14:paraId="1F0794E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184.5</w:t>
            </w:r>
          </w:p>
        </w:tc>
        <w:tc>
          <w:tcPr>
            <w:tcW w:w="479" w:type="pct"/>
            <w:noWrap/>
            <w:hideMark/>
          </w:tcPr>
          <w:p w14:paraId="00E8D69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167.6</w:t>
            </w:r>
          </w:p>
        </w:tc>
        <w:tc>
          <w:tcPr>
            <w:tcW w:w="414" w:type="pct"/>
            <w:noWrap/>
            <w:hideMark/>
          </w:tcPr>
          <w:p w14:paraId="7F7C07F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152.3</w:t>
            </w:r>
          </w:p>
        </w:tc>
        <w:tc>
          <w:tcPr>
            <w:tcW w:w="414" w:type="pct"/>
            <w:noWrap/>
            <w:hideMark/>
          </w:tcPr>
          <w:p w14:paraId="544A444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138.4</w:t>
            </w:r>
          </w:p>
        </w:tc>
        <w:tc>
          <w:tcPr>
            <w:tcW w:w="414" w:type="pct"/>
            <w:noWrap/>
            <w:hideMark/>
          </w:tcPr>
          <w:p w14:paraId="402B44E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85.9</w:t>
            </w:r>
          </w:p>
        </w:tc>
        <w:tc>
          <w:tcPr>
            <w:tcW w:w="1202" w:type="pct"/>
            <w:hideMark/>
          </w:tcPr>
          <w:p w14:paraId="56FFCA61"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Total Ordinary Dividends Paid/Number of Ordinary Shares Outstanding</w:t>
            </w:r>
          </w:p>
        </w:tc>
      </w:tr>
      <w:tr w:rsidR="00E6457C" w:rsidRPr="000779C2" w14:paraId="19E308F6" w14:textId="77777777" w:rsidTr="001940C0">
        <w:trPr>
          <w:trHeight w:val="630"/>
        </w:trPr>
        <w:tc>
          <w:tcPr>
            <w:tcW w:w="1255" w:type="pct"/>
            <w:noWrap/>
            <w:hideMark/>
          </w:tcPr>
          <w:p w14:paraId="6383CCBA"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Dividend Payout Ratio</w:t>
            </w:r>
          </w:p>
        </w:tc>
        <w:tc>
          <w:tcPr>
            <w:tcW w:w="823" w:type="pct"/>
            <w:noWrap/>
            <w:hideMark/>
          </w:tcPr>
          <w:p w14:paraId="5251E3A5"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37.58</w:t>
            </w:r>
          </w:p>
        </w:tc>
        <w:tc>
          <w:tcPr>
            <w:tcW w:w="479" w:type="pct"/>
            <w:noWrap/>
            <w:hideMark/>
          </w:tcPr>
          <w:p w14:paraId="2A97163F"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43.02</w:t>
            </w:r>
          </w:p>
        </w:tc>
        <w:tc>
          <w:tcPr>
            <w:tcW w:w="414" w:type="pct"/>
            <w:noWrap/>
            <w:hideMark/>
          </w:tcPr>
          <w:p w14:paraId="013D388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34.32</w:t>
            </w:r>
          </w:p>
        </w:tc>
        <w:tc>
          <w:tcPr>
            <w:tcW w:w="414" w:type="pct"/>
            <w:noWrap/>
            <w:hideMark/>
          </w:tcPr>
          <w:p w14:paraId="24AEF52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66.80</w:t>
            </w:r>
          </w:p>
        </w:tc>
        <w:tc>
          <w:tcPr>
            <w:tcW w:w="414" w:type="pct"/>
            <w:noWrap/>
            <w:hideMark/>
          </w:tcPr>
          <w:p w14:paraId="6700A08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59.08</w:t>
            </w:r>
          </w:p>
        </w:tc>
        <w:tc>
          <w:tcPr>
            <w:tcW w:w="1202" w:type="pct"/>
            <w:hideMark/>
          </w:tcPr>
          <w:p w14:paraId="1E1B56F0"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Dividend Per Share/Earnings Per Share*100</w:t>
            </w:r>
          </w:p>
        </w:tc>
      </w:tr>
      <w:tr w:rsidR="00E6457C" w:rsidRPr="000779C2" w14:paraId="278F6A34" w14:textId="77777777" w:rsidTr="001940C0">
        <w:trPr>
          <w:trHeight w:val="630"/>
        </w:trPr>
        <w:tc>
          <w:tcPr>
            <w:tcW w:w="1255" w:type="pct"/>
            <w:noWrap/>
            <w:hideMark/>
          </w:tcPr>
          <w:p w14:paraId="35DB7BB1"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Dividend Cover </w:t>
            </w:r>
          </w:p>
        </w:tc>
        <w:tc>
          <w:tcPr>
            <w:tcW w:w="823" w:type="pct"/>
            <w:noWrap/>
            <w:hideMark/>
          </w:tcPr>
          <w:p w14:paraId="4025033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2.66</w:t>
            </w:r>
          </w:p>
        </w:tc>
        <w:tc>
          <w:tcPr>
            <w:tcW w:w="479" w:type="pct"/>
            <w:noWrap/>
            <w:hideMark/>
          </w:tcPr>
          <w:p w14:paraId="66F99E50"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2.32</w:t>
            </w:r>
          </w:p>
        </w:tc>
        <w:tc>
          <w:tcPr>
            <w:tcW w:w="414" w:type="pct"/>
            <w:noWrap/>
            <w:hideMark/>
          </w:tcPr>
          <w:p w14:paraId="113B3F87"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2.91</w:t>
            </w:r>
          </w:p>
        </w:tc>
        <w:tc>
          <w:tcPr>
            <w:tcW w:w="414" w:type="pct"/>
            <w:noWrap/>
            <w:hideMark/>
          </w:tcPr>
          <w:p w14:paraId="2900D71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1.50</w:t>
            </w:r>
          </w:p>
        </w:tc>
        <w:tc>
          <w:tcPr>
            <w:tcW w:w="414" w:type="pct"/>
            <w:noWrap/>
            <w:hideMark/>
          </w:tcPr>
          <w:p w14:paraId="2047636C"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1.69</w:t>
            </w:r>
          </w:p>
        </w:tc>
        <w:tc>
          <w:tcPr>
            <w:tcW w:w="1202" w:type="pct"/>
            <w:hideMark/>
          </w:tcPr>
          <w:p w14:paraId="6DBDDB35"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Earnings Per Share/Dividend Per Share</w:t>
            </w:r>
          </w:p>
        </w:tc>
      </w:tr>
      <w:tr w:rsidR="00E6457C" w:rsidRPr="000779C2" w14:paraId="09B8C5A4" w14:textId="77777777" w:rsidTr="001940C0">
        <w:trPr>
          <w:trHeight w:val="315"/>
        </w:trPr>
        <w:tc>
          <w:tcPr>
            <w:tcW w:w="1255" w:type="pct"/>
            <w:noWrap/>
            <w:hideMark/>
          </w:tcPr>
          <w:p w14:paraId="43EA20BC" w14:textId="77777777" w:rsidR="00E6457C" w:rsidRPr="000779C2" w:rsidRDefault="00E6457C" w:rsidP="0055632B">
            <w:pPr>
              <w:spacing w:before="0" w:after="0" w:line="240" w:lineRule="auto"/>
              <w:jc w:val="left"/>
              <w:rPr>
                <w:rFonts w:eastAsia="Times New Roman"/>
                <w:color w:val="000000" w:themeColor="text1"/>
                <w:szCs w:val="24"/>
                <w:lang w:val="en-IN"/>
              </w:rPr>
            </w:pPr>
          </w:p>
        </w:tc>
        <w:tc>
          <w:tcPr>
            <w:tcW w:w="823" w:type="pct"/>
            <w:noWrap/>
            <w:hideMark/>
          </w:tcPr>
          <w:p w14:paraId="07F6AFF5"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79" w:type="pct"/>
            <w:noWrap/>
            <w:hideMark/>
          </w:tcPr>
          <w:p w14:paraId="1DC8ED73"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404A0508"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72AFDCD8"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414" w:type="pct"/>
            <w:noWrap/>
            <w:hideMark/>
          </w:tcPr>
          <w:p w14:paraId="5FB83B9C"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c>
          <w:tcPr>
            <w:tcW w:w="1202" w:type="pct"/>
            <w:noWrap/>
            <w:hideMark/>
          </w:tcPr>
          <w:p w14:paraId="39D3B44D" w14:textId="77777777" w:rsidR="00E6457C" w:rsidRPr="000779C2" w:rsidRDefault="00E6457C" w:rsidP="0055632B">
            <w:pPr>
              <w:spacing w:before="0" w:after="0" w:line="240" w:lineRule="auto"/>
              <w:jc w:val="left"/>
              <w:rPr>
                <w:rFonts w:eastAsia="Times New Roman"/>
                <w:color w:val="000000" w:themeColor="text1"/>
                <w:sz w:val="20"/>
                <w:szCs w:val="20"/>
                <w:lang w:val="en-IN"/>
              </w:rPr>
            </w:pPr>
          </w:p>
        </w:tc>
      </w:tr>
      <w:tr w:rsidR="00E6457C" w:rsidRPr="000779C2" w14:paraId="5F40463F" w14:textId="77777777" w:rsidTr="001940C0">
        <w:trPr>
          <w:trHeight w:val="315"/>
        </w:trPr>
        <w:tc>
          <w:tcPr>
            <w:tcW w:w="1255" w:type="pct"/>
            <w:noWrap/>
            <w:hideMark/>
          </w:tcPr>
          <w:p w14:paraId="1082EBFD" w14:textId="77777777" w:rsidR="00E6457C" w:rsidRPr="000779C2" w:rsidRDefault="00E6457C"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Cash Flow Ratio</w:t>
            </w:r>
          </w:p>
        </w:tc>
        <w:tc>
          <w:tcPr>
            <w:tcW w:w="823" w:type="pct"/>
            <w:noWrap/>
            <w:hideMark/>
          </w:tcPr>
          <w:p w14:paraId="09A4005C"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479" w:type="pct"/>
            <w:noWrap/>
            <w:hideMark/>
          </w:tcPr>
          <w:p w14:paraId="73AE8CC8"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414" w:type="pct"/>
            <w:noWrap/>
            <w:hideMark/>
          </w:tcPr>
          <w:p w14:paraId="0A5BB9D0"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414" w:type="pct"/>
            <w:noWrap/>
            <w:hideMark/>
          </w:tcPr>
          <w:p w14:paraId="7BF41C6D"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414" w:type="pct"/>
            <w:noWrap/>
            <w:hideMark/>
          </w:tcPr>
          <w:p w14:paraId="5EF386D2" w14:textId="77777777" w:rsidR="00E6457C" w:rsidRPr="000779C2" w:rsidRDefault="00E6457C"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202" w:type="pct"/>
            <w:noWrap/>
            <w:hideMark/>
          </w:tcPr>
          <w:p w14:paraId="3F87FEA1" w14:textId="77777777" w:rsidR="00E6457C" w:rsidRPr="000779C2" w:rsidRDefault="00E6457C" w:rsidP="0055632B">
            <w:pPr>
              <w:spacing w:before="0" w:after="0" w:line="240" w:lineRule="auto"/>
              <w:jc w:val="right"/>
              <w:rPr>
                <w:rFonts w:eastAsia="Times New Roman"/>
                <w:b/>
                <w:bCs/>
                <w:color w:val="000000" w:themeColor="text1"/>
                <w:szCs w:val="24"/>
                <w:lang w:val="en-IN"/>
              </w:rPr>
            </w:pPr>
          </w:p>
        </w:tc>
      </w:tr>
      <w:tr w:rsidR="00E6457C" w:rsidRPr="000779C2" w14:paraId="19990349" w14:textId="77777777" w:rsidTr="001940C0">
        <w:trPr>
          <w:trHeight w:val="630"/>
        </w:trPr>
        <w:tc>
          <w:tcPr>
            <w:tcW w:w="1255" w:type="pct"/>
            <w:hideMark/>
          </w:tcPr>
          <w:p w14:paraId="3FD3BDF9"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Operating Cash Flow Ratio</w:t>
            </w:r>
          </w:p>
        </w:tc>
        <w:tc>
          <w:tcPr>
            <w:tcW w:w="823" w:type="pct"/>
            <w:noWrap/>
            <w:hideMark/>
          </w:tcPr>
          <w:p w14:paraId="392BC031"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0.43</w:t>
            </w:r>
          </w:p>
        </w:tc>
        <w:tc>
          <w:tcPr>
            <w:tcW w:w="479" w:type="pct"/>
            <w:noWrap/>
            <w:hideMark/>
          </w:tcPr>
          <w:p w14:paraId="5E78DD4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0.38</w:t>
            </w:r>
          </w:p>
        </w:tc>
        <w:tc>
          <w:tcPr>
            <w:tcW w:w="414" w:type="pct"/>
            <w:noWrap/>
            <w:hideMark/>
          </w:tcPr>
          <w:p w14:paraId="5DCD156D"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0.41</w:t>
            </w:r>
          </w:p>
        </w:tc>
        <w:tc>
          <w:tcPr>
            <w:tcW w:w="414" w:type="pct"/>
            <w:noWrap/>
            <w:hideMark/>
          </w:tcPr>
          <w:p w14:paraId="1FBBD86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0.42</w:t>
            </w:r>
          </w:p>
        </w:tc>
        <w:tc>
          <w:tcPr>
            <w:tcW w:w="414" w:type="pct"/>
            <w:noWrap/>
            <w:hideMark/>
          </w:tcPr>
          <w:p w14:paraId="0468DCA8"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0.39</w:t>
            </w:r>
          </w:p>
        </w:tc>
        <w:tc>
          <w:tcPr>
            <w:tcW w:w="1202" w:type="pct"/>
            <w:hideMark/>
          </w:tcPr>
          <w:p w14:paraId="45E5BD39"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Cash Flow from Operating Activities/ Current Liabilities</w:t>
            </w:r>
          </w:p>
        </w:tc>
      </w:tr>
      <w:tr w:rsidR="00E6457C" w:rsidRPr="000779C2" w14:paraId="4AAF6F2B" w14:textId="77777777" w:rsidTr="001940C0">
        <w:trPr>
          <w:trHeight w:val="630"/>
        </w:trPr>
        <w:tc>
          <w:tcPr>
            <w:tcW w:w="1255" w:type="pct"/>
            <w:hideMark/>
          </w:tcPr>
          <w:p w14:paraId="1E1FB740"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Operating Cash Flow to Total Liabilities Ratio</w:t>
            </w:r>
          </w:p>
        </w:tc>
        <w:tc>
          <w:tcPr>
            <w:tcW w:w="823" w:type="pct"/>
            <w:noWrap/>
            <w:hideMark/>
          </w:tcPr>
          <w:p w14:paraId="41C5E0C6"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0.11</w:t>
            </w:r>
          </w:p>
        </w:tc>
        <w:tc>
          <w:tcPr>
            <w:tcW w:w="479" w:type="pct"/>
            <w:noWrap/>
            <w:hideMark/>
          </w:tcPr>
          <w:p w14:paraId="5F4CF38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0.10</w:t>
            </w:r>
          </w:p>
        </w:tc>
        <w:tc>
          <w:tcPr>
            <w:tcW w:w="414" w:type="pct"/>
            <w:noWrap/>
            <w:hideMark/>
          </w:tcPr>
          <w:p w14:paraId="2628707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0.13</w:t>
            </w:r>
          </w:p>
        </w:tc>
        <w:tc>
          <w:tcPr>
            <w:tcW w:w="414" w:type="pct"/>
            <w:noWrap/>
            <w:hideMark/>
          </w:tcPr>
          <w:p w14:paraId="786E816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0.11</w:t>
            </w:r>
          </w:p>
        </w:tc>
        <w:tc>
          <w:tcPr>
            <w:tcW w:w="414" w:type="pct"/>
            <w:noWrap/>
            <w:hideMark/>
          </w:tcPr>
          <w:p w14:paraId="426845C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0.43</w:t>
            </w:r>
          </w:p>
        </w:tc>
        <w:tc>
          <w:tcPr>
            <w:tcW w:w="1202" w:type="pct"/>
            <w:hideMark/>
          </w:tcPr>
          <w:p w14:paraId="3548F36D"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Cash Flow from Operating Activities/ Total Liabilities</w:t>
            </w:r>
          </w:p>
        </w:tc>
      </w:tr>
      <w:tr w:rsidR="00E6457C" w:rsidRPr="000779C2" w14:paraId="7AA84EE0" w14:textId="77777777" w:rsidTr="001940C0">
        <w:trPr>
          <w:trHeight w:val="945"/>
        </w:trPr>
        <w:tc>
          <w:tcPr>
            <w:tcW w:w="1255" w:type="pct"/>
            <w:hideMark/>
          </w:tcPr>
          <w:p w14:paraId="4748A4E7"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Cash Flow Margin Ratio</w:t>
            </w:r>
          </w:p>
        </w:tc>
        <w:tc>
          <w:tcPr>
            <w:tcW w:w="823" w:type="pct"/>
            <w:noWrap/>
            <w:hideMark/>
          </w:tcPr>
          <w:p w14:paraId="48EB1B6B"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17.31</w:t>
            </w:r>
          </w:p>
        </w:tc>
        <w:tc>
          <w:tcPr>
            <w:tcW w:w="479" w:type="pct"/>
            <w:noWrap/>
            <w:hideMark/>
          </w:tcPr>
          <w:p w14:paraId="7E87A81E"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14.71</w:t>
            </w:r>
          </w:p>
        </w:tc>
        <w:tc>
          <w:tcPr>
            <w:tcW w:w="414" w:type="pct"/>
            <w:noWrap/>
            <w:hideMark/>
          </w:tcPr>
          <w:p w14:paraId="35497558"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19.31</w:t>
            </w:r>
          </w:p>
        </w:tc>
        <w:tc>
          <w:tcPr>
            <w:tcW w:w="414" w:type="pct"/>
            <w:noWrap/>
            <w:hideMark/>
          </w:tcPr>
          <w:p w14:paraId="5E2780EA"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16.60</w:t>
            </w:r>
          </w:p>
        </w:tc>
        <w:tc>
          <w:tcPr>
            <w:tcW w:w="414" w:type="pct"/>
            <w:noWrap/>
            <w:hideMark/>
          </w:tcPr>
          <w:p w14:paraId="2C8989F2" w14:textId="77777777" w:rsidR="00E6457C" w:rsidRPr="000779C2" w:rsidRDefault="00E6457C"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21.88</w:t>
            </w:r>
          </w:p>
        </w:tc>
        <w:tc>
          <w:tcPr>
            <w:tcW w:w="1202" w:type="pct"/>
            <w:hideMark/>
          </w:tcPr>
          <w:p w14:paraId="337DC2D6" w14:textId="77777777" w:rsidR="00E6457C" w:rsidRPr="000779C2" w:rsidRDefault="00E6457C"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Cash Flow from Operating Activities/Net Sales (Revenue) × 100</w:t>
            </w:r>
          </w:p>
        </w:tc>
      </w:tr>
    </w:tbl>
    <w:p w14:paraId="760D9245" w14:textId="77777777" w:rsidR="004D21F4" w:rsidRPr="000779C2" w:rsidRDefault="004D21F4" w:rsidP="0055632B">
      <w:pPr>
        <w:pStyle w:val="Heading2"/>
        <w:spacing w:before="0" w:after="0"/>
        <w:rPr>
          <w:color w:val="000000" w:themeColor="text1"/>
          <w:lang w:val="en-IN"/>
        </w:rPr>
      </w:pPr>
    </w:p>
    <w:p w14:paraId="0F243DDC" w14:textId="370C8315" w:rsidR="00E6457C" w:rsidRPr="000779C2" w:rsidRDefault="0037227A" w:rsidP="0055632B">
      <w:pPr>
        <w:pStyle w:val="Heading2"/>
        <w:spacing w:before="0" w:after="0"/>
        <w:rPr>
          <w:color w:val="000000" w:themeColor="text1"/>
          <w:lang w:val="en-IN"/>
        </w:rPr>
      </w:pPr>
      <w:bookmarkStart w:id="32" w:name="_Toc235615333"/>
      <w:r w:rsidRPr="000779C2">
        <w:rPr>
          <w:color w:val="000000" w:themeColor="text1"/>
          <w:lang w:val="en-IN"/>
        </w:rPr>
        <w:t>Appendix 2: Calculation of Working Capital Management Ratios for InterContinental Hotels Group for the Financial Period 2021-2025</w:t>
      </w:r>
      <w:bookmarkEnd w:id="32"/>
    </w:p>
    <w:tbl>
      <w:tblPr>
        <w:tblStyle w:val="TableGrid"/>
        <w:tblW w:w="5000" w:type="pct"/>
        <w:tblLook w:val="04A0" w:firstRow="1" w:lastRow="0" w:firstColumn="1" w:lastColumn="0" w:noHBand="0" w:noVBand="1"/>
      </w:tblPr>
      <w:tblGrid>
        <w:gridCol w:w="1861"/>
        <w:gridCol w:w="960"/>
        <w:gridCol w:w="1003"/>
        <w:gridCol w:w="974"/>
        <w:gridCol w:w="1003"/>
        <w:gridCol w:w="1088"/>
        <w:gridCol w:w="2130"/>
      </w:tblGrid>
      <w:tr w:rsidR="0037227A" w:rsidRPr="000779C2" w14:paraId="13A7E4CB" w14:textId="77777777" w:rsidTr="00F77CAC">
        <w:trPr>
          <w:trHeight w:val="315"/>
        </w:trPr>
        <w:tc>
          <w:tcPr>
            <w:tcW w:w="1032" w:type="pct"/>
            <w:noWrap/>
            <w:hideMark/>
          </w:tcPr>
          <w:p w14:paraId="3B279DF3" w14:textId="77777777" w:rsidR="0037227A" w:rsidRPr="000779C2" w:rsidRDefault="0037227A" w:rsidP="0055632B">
            <w:pPr>
              <w:spacing w:before="0" w:after="0" w:line="240" w:lineRule="auto"/>
              <w:jc w:val="left"/>
              <w:rPr>
                <w:rFonts w:eastAsia="Times New Roman"/>
                <w:color w:val="000000" w:themeColor="text1"/>
                <w:sz w:val="20"/>
                <w:szCs w:val="24"/>
                <w:lang w:val="en-IN"/>
              </w:rPr>
            </w:pPr>
          </w:p>
        </w:tc>
        <w:tc>
          <w:tcPr>
            <w:tcW w:w="532" w:type="pct"/>
            <w:noWrap/>
            <w:hideMark/>
          </w:tcPr>
          <w:p w14:paraId="79E33C41"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2025</w:t>
            </w:r>
          </w:p>
        </w:tc>
        <w:tc>
          <w:tcPr>
            <w:tcW w:w="556" w:type="pct"/>
            <w:noWrap/>
            <w:hideMark/>
          </w:tcPr>
          <w:p w14:paraId="1D8B86AC"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2024</w:t>
            </w:r>
          </w:p>
        </w:tc>
        <w:tc>
          <w:tcPr>
            <w:tcW w:w="540" w:type="pct"/>
            <w:noWrap/>
            <w:hideMark/>
          </w:tcPr>
          <w:p w14:paraId="0CBA2E1C"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2023</w:t>
            </w:r>
          </w:p>
        </w:tc>
        <w:tc>
          <w:tcPr>
            <w:tcW w:w="556" w:type="pct"/>
            <w:noWrap/>
            <w:hideMark/>
          </w:tcPr>
          <w:p w14:paraId="5D878F6F"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2022</w:t>
            </w:r>
          </w:p>
        </w:tc>
        <w:tc>
          <w:tcPr>
            <w:tcW w:w="603" w:type="pct"/>
            <w:noWrap/>
            <w:hideMark/>
          </w:tcPr>
          <w:p w14:paraId="3496760F" w14:textId="77777777" w:rsidR="0037227A" w:rsidRPr="000779C2" w:rsidRDefault="0037227A" w:rsidP="0055632B">
            <w:pPr>
              <w:spacing w:before="0" w:after="0" w:line="240" w:lineRule="auto"/>
              <w:jc w:val="right"/>
              <w:rPr>
                <w:rFonts w:eastAsia="Times New Roman"/>
                <w:b/>
                <w:bCs/>
                <w:color w:val="000000" w:themeColor="text1"/>
                <w:szCs w:val="24"/>
                <w:lang w:val="en-IN"/>
              </w:rPr>
            </w:pPr>
            <w:r w:rsidRPr="000779C2">
              <w:rPr>
                <w:rFonts w:eastAsia="Times New Roman"/>
                <w:b/>
                <w:bCs/>
                <w:color w:val="000000" w:themeColor="text1"/>
                <w:szCs w:val="24"/>
                <w:lang w:val="en-IN"/>
              </w:rPr>
              <w:t>2021</w:t>
            </w:r>
          </w:p>
        </w:tc>
        <w:tc>
          <w:tcPr>
            <w:tcW w:w="1181" w:type="pct"/>
            <w:hideMark/>
          </w:tcPr>
          <w:p w14:paraId="0B3BE409" w14:textId="77777777" w:rsidR="0037227A" w:rsidRPr="000779C2" w:rsidRDefault="0037227A" w:rsidP="0055632B">
            <w:pPr>
              <w:spacing w:before="0" w:after="0" w:line="240" w:lineRule="auto"/>
              <w:jc w:val="left"/>
              <w:rPr>
                <w:rFonts w:eastAsia="Times New Roman"/>
                <w:b/>
                <w:bCs/>
                <w:color w:val="000000" w:themeColor="text1"/>
                <w:szCs w:val="24"/>
                <w:lang w:val="en-IN"/>
              </w:rPr>
            </w:pPr>
            <w:r w:rsidRPr="000779C2">
              <w:rPr>
                <w:rFonts w:eastAsia="Times New Roman"/>
                <w:b/>
                <w:bCs/>
                <w:color w:val="000000" w:themeColor="text1"/>
                <w:szCs w:val="24"/>
                <w:lang w:val="en-IN"/>
              </w:rPr>
              <w:t>Formula</w:t>
            </w:r>
          </w:p>
        </w:tc>
      </w:tr>
      <w:tr w:rsidR="0037227A" w:rsidRPr="000779C2" w14:paraId="573FBDC7" w14:textId="77777777" w:rsidTr="00F77CAC">
        <w:trPr>
          <w:trHeight w:val="630"/>
        </w:trPr>
        <w:tc>
          <w:tcPr>
            <w:tcW w:w="1032" w:type="pct"/>
            <w:hideMark/>
          </w:tcPr>
          <w:p w14:paraId="2B010A14"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Inventory Turnover ratio</w:t>
            </w:r>
          </w:p>
        </w:tc>
        <w:tc>
          <w:tcPr>
            <w:tcW w:w="532" w:type="pct"/>
            <w:noWrap/>
            <w:hideMark/>
          </w:tcPr>
          <w:p w14:paraId="61EC5BEF"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152.8</w:t>
            </w:r>
          </w:p>
        </w:tc>
        <w:tc>
          <w:tcPr>
            <w:tcW w:w="556" w:type="pct"/>
            <w:noWrap/>
            <w:hideMark/>
          </w:tcPr>
          <w:p w14:paraId="438FC248"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186.25</w:t>
            </w:r>
          </w:p>
        </w:tc>
        <w:tc>
          <w:tcPr>
            <w:tcW w:w="540" w:type="pct"/>
            <w:noWrap/>
            <w:hideMark/>
          </w:tcPr>
          <w:p w14:paraId="7D1D118E"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148.4</w:t>
            </w:r>
          </w:p>
        </w:tc>
        <w:tc>
          <w:tcPr>
            <w:tcW w:w="556" w:type="pct"/>
            <w:noWrap/>
            <w:hideMark/>
          </w:tcPr>
          <w:p w14:paraId="5F3766C6"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162</w:t>
            </w:r>
          </w:p>
        </w:tc>
        <w:tc>
          <w:tcPr>
            <w:tcW w:w="603" w:type="pct"/>
            <w:noWrap/>
            <w:hideMark/>
          </w:tcPr>
          <w:p w14:paraId="6B6EB33C"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121.5</w:t>
            </w:r>
          </w:p>
        </w:tc>
        <w:tc>
          <w:tcPr>
            <w:tcW w:w="1181" w:type="pct"/>
            <w:hideMark/>
          </w:tcPr>
          <w:p w14:paraId="10DF07ED"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Cost of goods sold / Average Inventory </w:t>
            </w:r>
          </w:p>
        </w:tc>
      </w:tr>
      <w:tr w:rsidR="0037227A" w:rsidRPr="000779C2" w14:paraId="743497C1" w14:textId="77777777" w:rsidTr="00F77CAC">
        <w:trPr>
          <w:trHeight w:val="630"/>
        </w:trPr>
        <w:tc>
          <w:tcPr>
            <w:tcW w:w="1032" w:type="pct"/>
            <w:hideMark/>
          </w:tcPr>
          <w:p w14:paraId="43605B5A" w14:textId="77777777" w:rsidR="0037227A" w:rsidRPr="000779C2" w:rsidRDefault="0037227A" w:rsidP="0055632B">
            <w:pPr>
              <w:spacing w:before="0" w:after="0" w:line="240" w:lineRule="auto"/>
              <w:jc w:val="left"/>
              <w:rPr>
                <w:rFonts w:eastAsia="Times New Roman"/>
                <w:color w:val="000000" w:themeColor="text1"/>
                <w:szCs w:val="24"/>
                <w:lang w:val="en-IN"/>
              </w:rPr>
            </w:pPr>
            <w:proofErr w:type="spellStart"/>
            <w:r w:rsidRPr="000779C2">
              <w:rPr>
                <w:rFonts w:eastAsia="Times New Roman"/>
                <w:color w:val="000000" w:themeColor="text1"/>
                <w:szCs w:val="24"/>
                <w:lang w:val="en-IN"/>
              </w:rPr>
              <w:t>Recievable</w:t>
            </w:r>
            <w:proofErr w:type="spellEnd"/>
            <w:r w:rsidRPr="000779C2">
              <w:rPr>
                <w:rFonts w:eastAsia="Times New Roman"/>
                <w:color w:val="000000" w:themeColor="text1"/>
                <w:szCs w:val="24"/>
                <w:lang w:val="en-IN"/>
              </w:rPr>
              <w:t xml:space="preserve"> turnover ratio</w:t>
            </w:r>
          </w:p>
        </w:tc>
        <w:tc>
          <w:tcPr>
            <w:tcW w:w="532" w:type="pct"/>
            <w:noWrap/>
            <w:hideMark/>
          </w:tcPr>
          <w:p w14:paraId="629D604A"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6.23</w:t>
            </w:r>
          </w:p>
        </w:tc>
        <w:tc>
          <w:tcPr>
            <w:tcW w:w="556" w:type="pct"/>
            <w:noWrap/>
            <w:hideMark/>
          </w:tcPr>
          <w:p w14:paraId="4A83D37E"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6.27</w:t>
            </w:r>
          </w:p>
        </w:tc>
        <w:tc>
          <w:tcPr>
            <w:tcW w:w="540" w:type="pct"/>
            <w:noWrap/>
            <w:hideMark/>
          </w:tcPr>
          <w:p w14:paraId="3E557618"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6.25</w:t>
            </w:r>
          </w:p>
        </w:tc>
        <w:tc>
          <w:tcPr>
            <w:tcW w:w="556" w:type="pct"/>
            <w:noWrap/>
            <w:hideMark/>
          </w:tcPr>
          <w:p w14:paraId="6FA05114"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6.02</w:t>
            </w:r>
          </w:p>
        </w:tc>
        <w:tc>
          <w:tcPr>
            <w:tcW w:w="603" w:type="pct"/>
            <w:noWrap/>
            <w:hideMark/>
          </w:tcPr>
          <w:p w14:paraId="74536EB7"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5.06</w:t>
            </w:r>
          </w:p>
        </w:tc>
        <w:tc>
          <w:tcPr>
            <w:tcW w:w="1181" w:type="pct"/>
            <w:hideMark/>
          </w:tcPr>
          <w:p w14:paraId="3FCB4576"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Credit sales/ Accounts </w:t>
            </w:r>
            <w:proofErr w:type="spellStart"/>
            <w:r w:rsidRPr="000779C2">
              <w:rPr>
                <w:rFonts w:eastAsia="Times New Roman"/>
                <w:color w:val="000000" w:themeColor="text1"/>
                <w:szCs w:val="24"/>
                <w:lang w:val="en-IN"/>
              </w:rPr>
              <w:t>recievable</w:t>
            </w:r>
            <w:proofErr w:type="spellEnd"/>
            <w:r w:rsidRPr="000779C2">
              <w:rPr>
                <w:rFonts w:eastAsia="Times New Roman"/>
                <w:color w:val="000000" w:themeColor="text1"/>
                <w:szCs w:val="24"/>
                <w:lang w:val="en-IN"/>
              </w:rPr>
              <w:t xml:space="preserve"> </w:t>
            </w:r>
          </w:p>
        </w:tc>
      </w:tr>
      <w:tr w:rsidR="0037227A" w:rsidRPr="000779C2" w14:paraId="538F7F40" w14:textId="77777777" w:rsidTr="00F77CAC">
        <w:trPr>
          <w:trHeight w:val="630"/>
        </w:trPr>
        <w:tc>
          <w:tcPr>
            <w:tcW w:w="1032" w:type="pct"/>
            <w:hideMark/>
          </w:tcPr>
          <w:p w14:paraId="20AEC9CA"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Days Sales Outstanding</w:t>
            </w:r>
          </w:p>
        </w:tc>
        <w:tc>
          <w:tcPr>
            <w:tcW w:w="532" w:type="pct"/>
            <w:noWrap/>
            <w:hideMark/>
          </w:tcPr>
          <w:p w14:paraId="6C801BD4"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58.59</w:t>
            </w:r>
          </w:p>
        </w:tc>
        <w:tc>
          <w:tcPr>
            <w:tcW w:w="556" w:type="pct"/>
            <w:noWrap/>
            <w:hideMark/>
          </w:tcPr>
          <w:p w14:paraId="09B87EDE"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58.20</w:t>
            </w:r>
          </w:p>
        </w:tc>
        <w:tc>
          <w:tcPr>
            <w:tcW w:w="540" w:type="pct"/>
            <w:noWrap/>
            <w:hideMark/>
          </w:tcPr>
          <w:p w14:paraId="05E7BF07"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58.41</w:t>
            </w:r>
          </w:p>
        </w:tc>
        <w:tc>
          <w:tcPr>
            <w:tcW w:w="556" w:type="pct"/>
            <w:noWrap/>
            <w:hideMark/>
          </w:tcPr>
          <w:p w14:paraId="269821BF"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60.58</w:t>
            </w:r>
          </w:p>
        </w:tc>
        <w:tc>
          <w:tcPr>
            <w:tcW w:w="603" w:type="pct"/>
            <w:noWrap/>
            <w:hideMark/>
          </w:tcPr>
          <w:p w14:paraId="35536AB0"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72.07</w:t>
            </w:r>
          </w:p>
        </w:tc>
        <w:tc>
          <w:tcPr>
            <w:tcW w:w="1181" w:type="pct"/>
            <w:hideMark/>
          </w:tcPr>
          <w:p w14:paraId="5C30B4A8"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365/Receivables Turnover Ratio</w:t>
            </w:r>
          </w:p>
        </w:tc>
      </w:tr>
      <w:tr w:rsidR="0037227A" w:rsidRPr="000779C2" w14:paraId="08A44BAF" w14:textId="77777777" w:rsidTr="00F77CAC">
        <w:trPr>
          <w:trHeight w:val="630"/>
        </w:trPr>
        <w:tc>
          <w:tcPr>
            <w:tcW w:w="1032" w:type="pct"/>
            <w:hideMark/>
          </w:tcPr>
          <w:p w14:paraId="43119B82"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Accounts payable ratio</w:t>
            </w:r>
          </w:p>
        </w:tc>
        <w:tc>
          <w:tcPr>
            <w:tcW w:w="532" w:type="pct"/>
            <w:noWrap/>
            <w:hideMark/>
          </w:tcPr>
          <w:p w14:paraId="15879B3A"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1.13</w:t>
            </w:r>
          </w:p>
        </w:tc>
        <w:tc>
          <w:tcPr>
            <w:tcW w:w="556" w:type="pct"/>
            <w:noWrap/>
            <w:hideMark/>
          </w:tcPr>
          <w:p w14:paraId="0E5AC11D"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1.15</w:t>
            </w:r>
          </w:p>
        </w:tc>
        <w:tc>
          <w:tcPr>
            <w:tcW w:w="540" w:type="pct"/>
            <w:noWrap/>
            <w:hideMark/>
          </w:tcPr>
          <w:p w14:paraId="4AAF1C1F"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1.04</w:t>
            </w:r>
          </w:p>
        </w:tc>
        <w:tc>
          <w:tcPr>
            <w:tcW w:w="556" w:type="pct"/>
            <w:noWrap/>
            <w:hideMark/>
          </w:tcPr>
          <w:p w14:paraId="3AD6C002"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0.95</w:t>
            </w:r>
          </w:p>
        </w:tc>
        <w:tc>
          <w:tcPr>
            <w:tcW w:w="603" w:type="pct"/>
            <w:noWrap/>
            <w:hideMark/>
          </w:tcPr>
          <w:p w14:paraId="5B90D209"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5.46</w:t>
            </w:r>
          </w:p>
        </w:tc>
        <w:tc>
          <w:tcPr>
            <w:tcW w:w="1181" w:type="pct"/>
            <w:hideMark/>
          </w:tcPr>
          <w:p w14:paraId="5DD67DC8"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 xml:space="preserve">Cost of goods sold/Accounts payable </w:t>
            </w:r>
          </w:p>
        </w:tc>
      </w:tr>
      <w:tr w:rsidR="0037227A" w:rsidRPr="000779C2" w14:paraId="6A9D0F68" w14:textId="77777777" w:rsidTr="00F77CAC">
        <w:trPr>
          <w:trHeight w:val="315"/>
        </w:trPr>
        <w:tc>
          <w:tcPr>
            <w:tcW w:w="1032" w:type="pct"/>
            <w:hideMark/>
          </w:tcPr>
          <w:p w14:paraId="21F82CE0"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Days Payable Outstanding</w:t>
            </w:r>
          </w:p>
        </w:tc>
        <w:tc>
          <w:tcPr>
            <w:tcW w:w="532" w:type="pct"/>
            <w:noWrap/>
            <w:hideMark/>
          </w:tcPr>
          <w:p w14:paraId="48DE5EF9"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322.96</w:t>
            </w:r>
          </w:p>
        </w:tc>
        <w:tc>
          <w:tcPr>
            <w:tcW w:w="556" w:type="pct"/>
            <w:noWrap/>
            <w:hideMark/>
          </w:tcPr>
          <w:p w14:paraId="15EE48E2"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318.46</w:t>
            </w:r>
          </w:p>
        </w:tc>
        <w:tc>
          <w:tcPr>
            <w:tcW w:w="540" w:type="pct"/>
            <w:noWrap/>
            <w:hideMark/>
          </w:tcPr>
          <w:p w14:paraId="716EB215"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349.75</w:t>
            </w:r>
          </w:p>
        </w:tc>
        <w:tc>
          <w:tcPr>
            <w:tcW w:w="556" w:type="pct"/>
            <w:noWrap/>
            <w:hideMark/>
          </w:tcPr>
          <w:p w14:paraId="3EB2C15F"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383.59</w:t>
            </w:r>
          </w:p>
        </w:tc>
        <w:tc>
          <w:tcPr>
            <w:tcW w:w="603" w:type="pct"/>
            <w:noWrap/>
            <w:hideMark/>
          </w:tcPr>
          <w:p w14:paraId="6AB12929" w14:textId="77777777" w:rsidR="0037227A" w:rsidRPr="000779C2" w:rsidRDefault="0037227A" w:rsidP="0055632B">
            <w:pPr>
              <w:spacing w:before="0" w:after="0" w:line="240" w:lineRule="auto"/>
              <w:jc w:val="right"/>
              <w:rPr>
                <w:rFonts w:eastAsia="Times New Roman"/>
                <w:color w:val="000000" w:themeColor="text1"/>
                <w:szCs w:val="24"/>
                <w:lang w:val="en-IN"/>
              </w:rPr>
            </w:pPr>
            <w:r w:rsidRPr="000779C2">
              <w:rPr>
                <w:rFonts w:eastAsia="Times New Roman"/>
                <w:color w:val="000000" w:themeColor="text1"/>
                <w:szCs w:val="24"/>
                <w:lang w:val="en-IN"/>
              </w:rPr>
              <w:t>66.84</w:t>
            </w:r>
          </w:p>
        </w:tc>
        <w:tc>
          <w:tcPr>
            <w:tcW w:w="1181" w:type="pct"/>
            <w:hideMark/>
          </w:tcPr>
          <w:p w14:paraId="2984E6F5" w14:textId="77777777" w:rsidR="0037227A" w:rsidRPr="000779C2" w:rsidRDefault="0037227A" w:rsidP="0055632B">
            <w:pPr>
              <w:spacing w:before="0" w:after="0" w:line="240" w:lineRule="auto"/>
              <w:jc w:val="left"/>
              <w:rPr>
                <w:rFonts w:eastAsia="Times New Roman"/>
                <w:color w:val="000000" w:themeColor="text1"/>
                <w:szCs w:val="24"/>
                <w:lang w:val="en-IN"/>
              </w:rPr>
            </w:pPr>
            <w:r w:rsidRPr="000779C2">
              <w:rPr>
                <w:rFonts w:eastAsia="Times New Roman"/>
                <w:color w:val="000000" w:themeColor="text1"/>
                <w:szCs w:val="24"/>
                <w:lang w:val="en-IN"/>
              </w:rPr>
              <w:t>365/Accounts payable ratio</w:t>
            </w:r>
          </w:p>
        </w:tc>
      </w:tr>
    </w:tbl>
    <w:p w14:paraId="20B97210" w14:textId="77777777" w:rsidR="00F77CAC" w:rsidRPr="000779C2" w:rsidRDefault="00F77CAC" w:rsidP="00F77CAC">
      <w:pPr>
        <w:spacing w:before="0" w:after="0"/>
        <w:jc w:val="center"/>
        <w:rPr>
          <w:color w:val="000000" w:themeColor="text1"/>
          <w:sz w:val="18"/>
          <w:szCs w:val="18"/>
          <w:lang w:val="en-IN"/>
        </w:rPr>
      </w:pPr>
    </w:p>
    <w:p w14:paraId="0AB71F38" w14:textId="77777777" w:rsidR="004D21F4" w:rsidRPr="000779C2" w:rsidRDefault="004D21F4" w:rsidP="00F77CAC">
      <w:pPr>
        <w:pStyle w:val="Heading2"/>
        <w:spacing w:before="0" w:after="0"/>
        <w:jc w:val="center"/>
        <w:rPr>
          <w:color w:val="000000" w:themeColor="text1"/>
          <w:lang w:val="en-IN"/>
        </w:rPr>
      </w:pPr>
    </w:p>
    <w:p w14:paraId="50C768FF" w14:textId="77777777" w:rsidR="004D21F4" w:rsidRPr="000779C2" w:rsidRDefault="004D21F4" w:rsidP="0055632B">
      <w:pPr>
        <w:pStyle w:val="Heading2"/>
        <w:spacing w:before="0" w:after="0"/>
        <w:rPr>
          <w:color w:val="000000" w:themeColor="text1"/>
          <w:lang w:val="en-IN"/>
        </w:rPr>
      </w:pPr>
    </w:p>
    <w:p w14:paraId="379065E5" w14:textId="2E356098" w:rsidR="0037227A" w:rsidRPr="000779C2" w:rsidRDefault="0037227A" w:rsidP="0055632B">
      <w:pPr>
        <w:pStyle w:val="Heading2"/>
        <w:spacing w:before="0" w:after="0"/>
        <w:rPr>
          <w:color w:val="000000" w:themeColor="text1"/>
          <w:lang w:val="en-IN"/>
        </w:rPr>
      </w:pPr>
      <w:bookmarkStart w:id="33" w:name="_Toc235615334"/>
      <w:r w:rsidRPr="000779C2">
        <w:rPr>
          <w:color w:val="000000" w:themeColor="text1"/>
          <w:lang w:val="en-IN"/>
        </w:rPr>
        <w:t xml:space="preserve">Appendix 3: </w:t>
      </w:r>
      <w:r w:rsidR="007A247E" w:rsidRPr="000779C2">
        <w:rPr>
          <w:color w:val="000000" w:themeColor="text1"/>
          <w:lang w:val="en-IN"/>
        </w:rPr>
        <w:t>Investment Appraisal Calculations</w:t>
      </w:r>
      <w:bookmarkEnd w:id="33"/>
    </w:p>
    <w:tbl>
      <w:tblPr>
        <w:tblStyle w:val="TableGrid"/>
        <w:tblW w:w="4029" w:type="dxa"/>
        <w:tblLook w:val="04A0" w:firstRow="1" w:lastRow="0" w:firstColumn="1" w:lastColumn="0" w:noHBand="0" w:noVBand="1"/>
      </w:tblPr>
      <w:tblGrid>
        <w:gridCol w:w="4029"/>
      </w:tblGrid>
      <w:tr w:rsidR="004D21F4" w:rsidRPr="000779C2" w14:paraId="5AC790DA" w14:textId="77777777" w:rsidTr="004D21F4">
        <w:trPr>
          <w:trHeight w:val="3755"/>
        </w:trPr>
        <w:tc>
          <w:tcPr>
            <w:tcW w:w="4029" w:type="dxa"/>
          </w:tcPr>
          <w:p w14:paraId="02C1AAF1" w14:textId="77777777" w:rsidR="004D21F4" w:rsidRPr="000779C2" w:rsidRDefault="004D21F4" w:rsidP="00D65268">
            <w:pPr>
              <w:spacing w:before="0" w:after="0"/>
              <w:jc w:val="center"/>
              <w:rPr>
                <w:color w:val="000000" w:themeColor="text1"/>
                <w:szCs w:val="24"/>
                <w:lang w:val="en-IN"/>
              </w:rPr>
            </w:pPr>
            <w:r w:rsidRPr="000779C2">
              <w:rPr>
                <w:noProof/>
                <w:color w:val="000000" w:themeColor="text1"/>
                <w:szCs w:val="24"/>
                <w:lang w:val="en-IN"/>
              </w:rPr>
              <w:drawing>
                <wp:inline distT="0" distB="0" distL="0" distR="0" wp14:anchorId="350CE8F8" wp14:editId="4B52408B">
                  <wp:extent cx="2415687" cy="2350898"/>
                  <wp:effectExtent l="0" t="0" r="0" b="0"/>
                  <wp:docPr id="199906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67729" name=""/>
                          <pic:cNvPicPr/>
                        </pic:nvPicPr>
                        <pic:blipFill>
                          <a:blip r:embed="rId43"/>
                          <a:stretch>
                            <a:fillRect/>
                          </a:stretch>
                        </pic:blipFill>
                        <pic:spPr>
                          <a:xfrm>
                            <a:off x="0" y="0"/>
                            <a:ext cx="2441105" cy="2375634"/>
                          </a:xfrm>
                          <a:prstGeom prst="rect">
                            <a:avLst/>
                          </a:prstGeom>
                        </pic:spPr>
                      </pic:pic>
                    </a:graphicData>
                  </a:graphic>
                </wp:inline>
              </w:drawing>
            </w:r>
          </w:p>
        </w:tc>
      </w:tr>
    </w:tbl>
    <w:p w14:paraId="2969160E" w14:textId="77777777" w:rsidR="005B448A" w:rsidRPr="000779C2" w:rsidRDefault="005B448A" w:rsidP="0055632B">
      <w:pPr>
        <w:spacing w:before="0" w:after="0"/>
        <w:jc w:val="center"/>
        <w:rPr>
          <w:color w:val="000000" w:themeColor="text1"/>
          <w:sz w:val="18"/>
          <w:szCs w:val="18"/>
          <w:lang w:val="en-IN"/>
        </w:rPr>
      </w:pPr>
    </w:p>
    <w:p w14:paraId="72A4009D" w14:textId="0A5BDCAE" w:rsidR="007A247E" w:rsidRPr="000779C2" w:rsidRDefault="007A247E" w:rsidP="0055632B">
      <w:pPr>
        <w:spacing w:before="0" w:after="0"/>
        <w:jc w:val="center"/>
        <w:rPr>
          <w:color w:val="000000" w:themeColor="text1"/>
          <w:sz w:val="18"/>
          <w:szCs w:val="18"/>
          <w:lang w:val="en-IN"/>
        </w:rPr>
      </w:pPr>
    </w:p>
    <w:tbl>
      <w:tblPr>
        <w:tblStyle w:val="TableGrid"/>
        <w:tblW w:w="0" w:type="auto"/>
        <w:tblLook w:val="04A0" w:firstRow="1" w:lastRow="0" w:firstColumn="1" w:lastColumn="0" w:noHBand="0" w:noVBand="1"/>
      </w:tblPr>
      <w:tblGrid>
        <w:gridCol w:w="7314"/>
      </w:tblGrid>
      <w:tr w:rsidR="005B448A" w:rsidRPr="000779C2" w14:paraId="6AF6CD6D" w14:textId="77777777" w:rsidTr="005B448A">
        <w:trPr>
          <w:trHeight w:val="6237"/>
        </w:trPr>
        <w:tc>
          <w:tcPr>
            <w:tcW w:w="7314" w:type="dxa"/>
          </w:tcPr>
          <w:p w14:paraId="2A611F34" w14:textId="77777777" w:rsidR="005B448A" w:rsidRPr="000779C2" w:rsidRDefault="005B448A" w:rsidP="004A09A6">
            <w:pPr>
              <w:spacing w:before="0" w:after="0"/>
              <w:jc w:val="center"/>
              <w:rPr>
                <w:color w:val="000000" w:themeColor="text1"/>
                <w:szCs w:val="24"/>
                <w:lang w:val="en-IN"/>
              </w:rPr>
            </w:pPr>
            <w:r w:rsidRPr="000779C2">
              <w:rPr>
                <w:noProof/>
                <w:color w:val="000000" w:themeColor="text1"/>
                <w:szCs w:val="24"/>
                <w:lang w:val="en-IN"/>
              </w:rPr>
              <w:lastRenderedPageBreak/>
              <w:drawing>
                <wp:inline distT="0" distB="0" distL="0" distR="0" wp14:anchorId="1933D000" wp14:editId="73BF5E26">
                  <wp:extent cx="4286848" cy="4001058"/>
                  <wp:effectExtent l="0" t="0" r="0" b="0"/>
                  <wp:docPr id="1463393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393770" name=""/>
                          <pic:cNvPicPr/>
                        </pic:nvPicPr>
                        <pic:blipFill>
                          <a:blip r:embed="rId44"/>
                          <a:stretch>
                            <a:fillRect/>
                          </a:stretch>
                        </pic:blipFill>
                        <pic:spPr>
                          <a:xfrm>
                            <a:off x="0" y="0"/>
                            <a:ext cx="4286848" cy="4001058"/>
                          </a:xfrm>
                          <a:prstGeom prst="rect">
                            <a:avLst/>
                          </a:prstGeom>
                        </pic:spPr>
                      </pic:pic>
                    </a:graphicData>
                  </a:graphic>
                </wp:inline>
              </w:drawing>
            </w:r>
          </w:p>
        </w:tc>
      </w:tr>
    </w:tbl>
    <w:p w14:paraId="0773E130" w14:textId="77777777" w:rsidR="005B448A" w:rsidRPr="000779C2" w:rsidRDefault="005B448A" w:rsidP="005B448A">
      <w:pPr>
        <w:spacing w:before="0" w:after="0"/>
        <w:jc w:val="center"/>
        <w:rPr>
          <w:color w:val="000000" w:themeColor="text1"/>
          <w:sz w:val="18"/>
          <w:szCs w:val="18"/>
          <w:lang w:val="en-IN"/>
        </w:rPr>
      </w:pPr>
    </w:p>
    <w:p w14:paraId="25AF7D17" w14:textId="77777777" w:rsidR="005B448A" w:rsidRPr="000779C2" w:rsidRDefault="005B448A" w:rsidP="0055632B">
      <w:pPr>
        <w:spacing w:before="0" w:after="0"/>
        <w:jc w:val="center"/>
        <w:rPr>
          <w:color w:val="000000" w:themeColor="text1"/>
          <w:szCs w:val="24"/>
          <w:lang w:val="en-IN"/>
        </w:rPr>
      </w:pPr>
    </w:p>
    <w:p w14:paraId="433D7DA4" w14:textId="77777777" w:rsidR="005B448A" w:rsidRPr="000779C2" w:rsidRDefault="005B448A" w:rsidP="0055632B">
      <w:pPr>
        <w:spacing w:before="0" w:after="0"/>
        <w:jc w:val="center"/>
        <w:rPr>
          <w:color w:val="000000" w:themeColor="text1"/>
          <w:szCs w:val="24"/>
          <w:lang w:val="en-IN"/>
        </w:rPr>
      </w:pPr>
    </w:p>
    <w:p w14:paraId="15352E2A" w14:textId="77777777" w:rsidR="005B448A" w:rsidRPr="000779C2" w:rsidRDefault="005B448A" w:rsidP="0055632B">
      <w:pPr>
        <w:spacing w:before="0" w:after="0"/>
        <w:jc w:val="center"/>
        <w:rPr>
          <w:color w:val="000000" w:themeColor="text1"/>
          <w:szCs w:val="24"/>
          <w:lang w:val="en-IN"/>
        </w:rPr>
      </w:pPr>
    </w:p>
    <w:p w14:paraId="7748D180" w14:textId="77777777" w:rsidR="005B448A" w:rsidRPr="000779C2" w:rsidRDefault="005B448A" w:rsidP="0055632B">
      <w:pPr>
        <w:spacing w:before="0" w:after="0"/>
        <w:jc w:val="center"/>
        <w:rPr>
          <w:color w:val="000000" w:themeColor="text1"/>
          <w:szCs w:val="24"/>
          <w:lang w:val="en-IN"/>
        </w:rPr>
      </w:pPr>
    </w:p>
    <w:tbl>
      <w:tblPr>
        <w:tblStyle w:val="TableGrid"/>
        <w:tblW w:w="0" w:type="auto"/>
        <w:tblLook w:val="04A0" w:firstRow="1" w:lastRow="0" w:firstColumn="1" w:lastColumn="0" w:noHBand="0" w:noVBand="1"/>
      </w:tblPr>
      <w:tblGrid>
        <w:gridCol w:w="9019"/>
      </w:tblGrid>
      <w:tr w:rsidR="005B448A" w:rsidRPr="000779C2" w14:paraId="46814765" w14:textId="77777777">
        <w:tc>
          <w:tcPr>
            <w:tcW w:w="9019" w:type="dxa"/>
          </w:tcPr>
          <w:p w14:paraId="797632A1" w14:textId="77777777" w:rsidR="005B448A" w:rsidRPr="000779C2" w:rsidRDefault="005B448A" w:rsidP="008A1314">
            <w:pPr>
              <w:spacing w:before="0" w:after="0"/>
              <w:jc w:val="center"/>
              <w:rPr>
                <w:color w:val="000000" w:themeColor="text1"/>
                <w:szCs w:val="24"/>
                <w:lang w:val="en-IN"/>
              </w:rPr>
            </w:pPr>
            <w:r w:rsidRPr="000779C2">
              <w:rPr>
                <w:noProof/>
                <w:color w:val="000000" w:themeColor="text1"/>
                <w:szCs w:val="24"/>
                <w:lang w:val="en-IN"/>
              </w:rPr>
              <w:lastRenderedPageBreak/>
              <w:drawing>
                <wp:inline distT="0" distB="0" distL="0" distR="0" wp14:anchorId="689CBFBC" wp14:editId="60748B87">
                  <wp:extent cx="5182323" cy="3743847"/>
                  <wp:effectExtent l="0" t="0" r="0" b="9525"/>
                  <wp:docPr id="1680308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08229" name=""/>
                          <pic:cNvPicPr/>
                        </pic:nvPicPr>
                        <pic:blipFill>
                          <a:blip r:embed="rId45"/>
                          <a:stretch>
                            <a:fillRect/>
                          </a:stretch>
                        </pic:blipFill>
                        <pic:spPr>
                          <a:xfrm>
                            <a:off x="0" y="0"/>
                            <a:ext cx="5182323" cy="3743847"/>
                          </a:xfrm>
                          <a:prstGeom prst="rect">
                            <a:avLst/>
                          </a:prstGeom>
                        </pic:spPr>
                      </pic:pic>
                    </a:graphicData>
                  </a:graphic>
                </wp:inline>
              </w:drawing>
            </w:r>
          </w:p>
        </w:tc>
      </w:tr>
    </w:tbl>
    <w:p w14:paraId="74E3CA17" w14:textId="77777777" w:rsidR="005B448A" w:rsidRPr="000779C2" w:rsidRDefault="005B448A" w:rsidP="005B448A">
      <w:pPr>
        <w:spacing w:before="0" w:after="0"/>
        <w:jc w:val="center"/>
        <w:rPr>
          <w:color w:val="000000" w:themeColor="text1"/>
          <w:sz w:val="18"/>
          <w:szCs w:val="18"/>
          <w:lang w:val="en-IN"/>
        </w:rPr>
      </w:pPr>
    </w:p>
    <w:p w14:paraId="678F991E" w14:textId="77777777" w:rsidR="005B448A" w:rsidRPr="000779C2" w:rsidRDefault="005B448A" w:rsidP="0055632B">
      <w:pPr>
        <w:spacing w:before="0" w:after="0"/>
        <w:jc w:val="center"/>
        <w:rPr>
          <w:color w:val="000000" w:themeColor="text1"/>
          <w:szCs w:val="24"/>
          <w:lang w:val="en-IN"/>
        </w:rPr>
      </w:pPr>
    </w:p>
    <w:p w14:paraId="05F038C2" w14:textId="77777777" w:rsidR="005B448A" w:rsidRPr="000779C2" w:rsidRDefault="005B448A" w:rsidP="0055632B">
      <w:pPr>
        <w:spacing w:before="0" w:after="0"/>
        <w:jc w:val="center"/>
        <w:rPr>
          <w:color w:val="000000" w:themeColor="text1"/>
          <w:szCs w:val="24"/>
          <w:lang w:val="en-IN"/>
        </w:rPr>
      </w:pPr>
    </w:p>
    <w:p w14:paraId="02986B07" w14:textId="77777777" w:rsidR="005B448A" w:rsidRPr="000779C2" w:rsidRDefault="005B448A" w:rsidP="0055632B">
      <w:pPr>
        <w:spacing w:before="0" w:after="0"/>
        <w:jc w:val="center"/>
        <w:rPr>
          <w:color w:val="000000" w:themeColor="text1"/>
          <w:szCs w:val="24"/>
          <w:lang w:val="en-IN"/>
        </w:rPr>
      </w:pPr>
    </w:p>
    <w:p w14:paraId="605F672B" w14:textId="77777777" w:rsidR="005B448A" w:rsidRPr="000779C2" w:rsidRDefault="005B448A" w:rsidP="0055632B">
      <w:pPr>
        <w:spacing w:before="0" w:after="0"/>
        <w:jc w:val="center"/>
        <w:rPr>
          <w:color w:val="000000" w:themeColor="text1"/>
          <w:szCs w:val="24"/>
          <w:lang w:val="en-IN"/>
        </w:rPr>
      </w:pPr>
    </w:p>
    <w:p w14:paraId="0EFBF240" w14:textId="77777777" w:rsidR="005B448A" w:rsidRPr="000779C2" w:rsidRDefault="005B448A" w:rsidP="0055632B">
      <w:pPr>
        <w:spacing w:before="0" w:after="0"/>
        <w:jc w:val="center"/>
        <w:rPr>
          <w:color w:val="000000" w:themeColor="text1"/>
          <w:szCs w:val="24"/>
          <w:lang w:val="en-IN"/>
        </w:rPr>
      </w:pPr>
    </w:p>
    <w:tbl>
      <w:tblPr>
        <w:tblStyle w:val="TableGrid"/>
        <w:tblW w:w="0" w:type="auto"/>
        <w:tblLook w:val="04A0" w:firstRow="1" w:lastRow="0" w:firstColumn="1" w:lastColumn="0" w:noHBand="0" w:noVBand="1"/>
      </w:tblPr>
      <w:tblGrid>
        <w:gridCol w:w="8376"/>
      </w:tblGrid>
      <w:tr w:rsidR="005B448A" w:rsidRPr="000779C2" w14:paraId="593CA3A3" w14:textId="77777777" w:rsidTr="005B448A">
        <w:trPr>
          <w:trHeight w:val="5893"/>
        </w:trPr>
        <w:tc>
          <w:tcPr>
            <w:tcW w:w="8376" w:type="dxa"/>
          </w:tcPr>
          <w:p w14:paraId="2A63FF0F" w14:textId="77777777" w:rsidR="005B448A" w:rsidRPr="000779C2" w:rsidRDefault="005B448A" w:rsidP="000C432B">
            <w:pPr>
              <w:spacing w:before="0" w:after="0"/>
              <w:jc w:val="center"/>
              <w:rPr>
                <w:color w:val="000000" w:themeColor="text1"/>
                <w:szCs w:val="24"/>
                <w:lang w:val="en-IN"/>
              </w:rPr>
            </w:pPr>
            <w:r w:rsidRPr="000779C2">
              <w:rPr>
                <w:noProof/>
                <w:color w:val="000000" w:themeColor="text1"/>
                <w:szCs w:val="24"/>
                <w:lang w:val="en-IN"/>
              </w:rPr>
              <w:lastRenderedPageBreak/>
              <w:drawing>
                <wp:inline distT="0" distB="0" distL="0" distR="0" wp14:anchorId="065E7F1B" wp14:editId="723EEEF2">
                  <wp:extent cx="4848902" cy="3715268"/>
                  <wp:effectExtent l="0" t="0" r="8890" b="0"/>
                  <wp:docPr id="2340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9011" name=""/>
                          <pic:cNvPicPr/>
                        </pic:nvPicPr>
                        <pic:blipFill>
                          <a:blip r:embed="rId46"/>
                          <a:stretch>
                            <a:fillRect/>
                          </a:stretch>
                        </pic:blipFill>
                        <pic:spPr>
                          <a:xfrm>
                            <a:off x="0" y="0"/>
                            <a:ext cx="4848902" cy="3715268"/>
                          </a:xfrm>
                          <a:prstGeom prst="rect">
                            <a:avLst/>
                          </a:prstGeom>
                        </pic:spPr>
                      </pic:pic>
                    </a:graphicData>
                  </a:graphic>
                </wp:inline>
              </w:drawing>
            </w:r>
          </w:p>
        </w:tc>
      </w:tr>
    </w:tbl>
    <w:p w14:paraId="29B1CB66" w14:textId="0FB4E93A" w:rsidR="007A247E" w:rsidRDefault="007A247E" w:rsidP="005B448A">
      <w:pPr>
        <w:spacing w:before="0" w:after="0"/>
        <w:jc w:val="center"/>
        <w:rPr>
          <w:color w:val="000000" w:themeColor="text1"/>
          <w:szCs w:val="24"/>
          <w:lang w:val="en-IN"/>
        </w:rPr>
      </w:pPr>
    </w:p>
    <w:p w14:paraId="4F1AE174" w14:textId="77777777" w:rsidR="00BE4B64" w:rsidRDefault="00BE4B64" w:rsidP="005B448A">
      <w:pPr>
        <w:spacing w:before="0" w:after="0"/>
        <w:jc w:val="center"/>
        <w:rPr>
          <w:color w:val="000000" w:themeColor="text1"/>
          <w:szCs w:val="24"/>
          <w:lang w:val="en-IN"/>
        </w:rPr>
      </w:pPr>
    </w:p>
    <w:p w14:paraId="471030DF" w14:textId="517ACA12" w:rsidR="00BE4B64" w:rsidRPr="000779C2" w:rsidRDefault="00BE4B64" w:rsidP="005B448A">
      <w:pPr>
        <w:spacing w:before="0" w:after="0"/>
        <w:jc w:val="center"/>
        <w:rPr>
          <w:color w:val="000000" w:themeColor="text1"/>
          <w:szCs w:val="24"/>
          <w:lang w:val="en-IN"/>
        </w:rPr>
      </w:pPr>
      <w:r>
        <w:rPr>
          <w:color w:val="000000" w:themeColor="text1"/>
          <w:szCs w:val="24"/>
          <w:lang w:val="en-IN"/>
        </w:rPr>
        <w:t>Below I have attached the Link for my Excel Worksheet</w:t>
      </w:r>
    </w:p>
    <w:p w14:paraId="7F6AB132" w14:textId="023E5C45" w:rsidR="005B448A" w:rsidRPr="000779C2" w:rsidRDefault="00BE4B64" w:rsidP="005B448A">
      <w:pPr>
        <w:spacing w:before="0" w:after="0"/>
        <w:jc w:val="center"/>
        <w:rPr>
          <w:color w:val="000000" w:themeColor="text1"/>
          <w:szCs w:val="24"/>
          <w:lang w:val="en-IN"/>
        </w:rPr>
      </w:pPr>
      <w:hyperlink r:id="rId47" w:history="1">
        <w:proofErr w:type="spellStart"/>
        <w:r w:rsidRPr="00BE4B64">
          <w:rPr>
            <w:rStyle w:val="Hyperlink"/>
            <w:szCs w:val="24"/>
            <w:lang w:val="en-IN"/>
          </w:rPr>
          <w:t>Lakmi</w:t>
        </w:r>
        <w:proofErr w:type="spellEnd"/>
        <w:r w:rsidRPr="00BE4B64">
          <w:rPr>
            <w:rStyle w:val="Hyperlink"/>
            <w:szCs w:val="24"/>
            <w:lang w:val="en-IN"/>
          </w:rPr>
          <w:t xml:space="preserve"> </w:t>
        </w:r>
        <w:proofErr w:type="spellStart"/>
        <w:r w:rsidRPr="00BE4B64">
          <w:rPr>
            <w:rStyle w:val="Hyperlink"/>
            <w:szCs w:val="24"/>
            <w:lang w:val="en-IN"/>
          </w:rPr>
          <w:t>SIngh</w:t>
        </w:r>
        <w:proofErr w:type="spellEnd"/>
        <w:r w:rsidRPr="00BE4B64">
          <w:rPr>
            <w:rStyle w:val="Hyperlink"/>
            <w:szCs w:val="24"/>
            <w:lang w:val="en-IN"/>
          </w:rPr>
          <w:t xml:space="preserve"> Exce</w:t>
        </w:r>
        <w:r w:rsidRPr="00BE4B64">
          <w:rPr>
            <w:rStyle w:val="Hyperlink"/>
            <w:szCs w:val="24"/>
            <w:lang w:val="en-IN"/>
          </w:rPr>
          <w:t>l</w:t>
        </w:r>
        <w:r w:rsidRPr="00BE4B64">
          <w:rPr>
            <w:rStyle w:val="Hyperlink"/>
            <w:szCs w:val="24"/>
            <w:lang w:val="en-IN"/>
          </w:rPr>
          <w:t xml:space="preserve"> Link</w:t>
        </w:r>
      </w:hyperlink>
    </w:p>
    <w:sectPr w:rsidR="005B448A" w:rsidRPr="000779C2" w:rsidSect="00BC1852">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embedRegular r:id="rId1" w:fontKey="{DB2D87DB-C861-C04E-AE93-EC4EBC50482A}"/>
  </w:font>
  <w:font w:name="Times New Roman">
    <w:panose1 w:val="02020603050405020304"/>
    <w:charset w:val="00"/>
    <w:family w:val="roman"/>
    <w:pitch w:val="variable"/>
    <w:sig w:usb0="E0002EFF" w:usb1="C000785B" w:usb2="00000009" w:usb3="00000000" w:csb0="000001FF" w:csb1="00000000"/>
    <w:embedRegular r:id="rId2" w:fontKey="{4E83ED98-423E-BE49-ABF5-282B25CABF37}"/>
    <w:embedBold r:id="rId3" w:fontKey="{97E146E6-8D6C-1748-A3A2-2A5CAD8F591D}"/>
  </w:font>
  <w:font w:name="Symbol">
    <w:panose1 w:val="05050102010706020507"/>
    <w:charset w:val="02"/>
    <w:family w:val="decorative"/>
    <w:pitch w:val="variable"/>
    <w:sig w:usb0="00000000" w:usb1="10000000" w:usb2="00000000" w:usb3="00000000" w:csb0="80000000" w:csb1="00000000"/>
    <w:embedRegular r:id="rId4" w:fontKey="{85F61A10-98BD-FA4F-BF49-23FA31BB04EC}"/>
  </w:font>
  <w:font w:name="Courier New">
    <w:panose1 w:val="02070309020205020404"/>
    <w:charset w:val="00"/>
    <w:family w:val="modern"/>
    <w:pitch w:val="fixed"/>
    <w:sig w:usb0="E0002EFF" w:usb1="C0007843" w:usb2="00000009" w:usb3="00000000" w:csb0="000001FF" w:csb1="00000000"/>
    <w:embedRegular r:id="rId5" w:fontKey="{EF0F675A-02AB-4640-BA0B-DDD37371BAAD}"/>
  </w:font>
  <w:font w:name="Arial">
    <w:panose1 w:val="020B0604020202020204"/>
    <w:charset w:val="00"/>
    <w:family w:val="swiss"/>
    <w:pitch w:val="variable"/>
    <w:sig w:usb0="E0002EFF" w:usb1="C000785B" w:usb2="00000009" w:usb3="00000000" w:csb0="000001FF" w:csb1="00000000"/>
    <w:embedRegular r:id="rId6" w:fontKey="{7A876B5B-EB3C-E04C-AF28-DB76355159F5}"/>
    <w:embedBold r:id="rId7" w:fontKey="{D39D3342-DE48-9A49-8F8B-19176CE684D7}"/>
    <w:embedItalic r:id="rId8" w:fontKey="{CC88BCD9-F7C6-7547-BBA1-2E98619A6E8F}"/>
  </w:font>
  <w:font w:name="Calibri">
    <w:panose1 w:val="020F0502020204030204"/>
    <w:charset w:val="00"/>
    <w:family w:val="swiss"/>
    <w:pitch w:val="variable"/>
    <w:sig w:usb0="E4002EFF" w:usb1="C200247B" w:usb2="00000009" w:usb3="00000000" w:csb0="000001FF" w:csb1="00000000"/>
    <w:embedRegular r:id="rId9" w:fontKey="{4E9ECE13-A90D-5F40-B4EB-0B3046B3B71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10" w:fontKey="{4CD7EFD8-8A10-1448-84B7-88D61406671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328469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471411A2"/>
    <w:multiLevelType w:val="hybridMultilevel"/>
    <w:tmpl w:val="65BEB2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06423D"/>
    <w:multiLevelType w:val="hybridMultilevel"/>
    <w:tmpl w:val="FD6265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559810">
    <w:abstractNumId w:val="1"/>
  </w:num>
  <w:num w:numId="2" w16cid:durableId="605699860">
    <w:abstractNumId w:val="0"/>
  </w:num>
  <w:num w:numId="3" w16cid:durableId="184019167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6"/>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19D"/>
    <w:rsid w:val="000275C1"/>
    <w:rsid w:val="00032EC6"/>
    <w:rsid w:val="00036CF6"/>
    <w:rsid w:val="00046C03"/>
    <w:rsid w:val="000779C2"/>
    <w:rsid w:val="000840DB"/>
    <w:rsid w:val="00084849"/>
    <w:rsid w:val="000B501E"/>
    <w:rsid w:val="000E0530"/>
    <w:rsid w:val="00110DF8"/>
    <w:rsid w:val="001127AA"/>
    <w:rsid w:val="00130B04"/>
    <w:rsid w:val="00144644"/>
    <w:rsid w:val="00171997"/>
    <w:rsid w:val="00172020"/>
    <w:rsid w:val="0018726E"/>
    <w:rsid w:val="001940C0"/>
    <w:rsid w:val="001C033A"/>
    <w:rsid w:val="001C7440"/>
    <w:rsid w:val="001D7705"/>
    <w:rsid w:val="00225C5E"/>
    <w:rsid w:val="002269D5"/>
    <w:rsid w:val="00232BC0"/>
    <w:rsid w:val="0025228D"/>
    <w:rsid w:val="0025633A"/>
    <w:rsid w:val="002A3948"/>
    <w:rsid w:val="002F218B"/>
    <w:rsid w:val="003234D7"/>
    <w:rsid w:val="0033627D"/>
    <w:rsid w:val="00344CDC"/>
    <w:rsid w:val="0037227A"/>
    <w:rsid w:val="00375F6E"/>
    <w:rsid w:val="003805B8"/>
    <w:rsid w:val="003A212A"/>
    <w:rsid w:val="003B6CD3"/>
    <w:rsid w:val="003B6E27"/>
    <w:rsid w:val="00422C44"/>
    <w:rsid w:val="0045637F"/>
    <w:rsid w:val="00462977"/>
    <w:rsid w:val="00487AA2"/>
    <w:rsid w:val="004A0CF3"/>
    <w:rsid w:val="004D21F4"/>
    <w:rsid w:val="004D5E40"/>
    <w:rsid w:val="00524BEC"/>
    <w:rsid w:val="00542D1B"/>
    <w:rsid w:val="005471DC"/>
    <w:rsid w:val="0055632B"/>
    <w:rsid w:val="00571F5E"/>
    <w:rsid w:val="00577E21"/>
    <w:rsid w:val="005A512A"/>
    <w:rsid w:val="005A6ADA"/>
    <w:rsid w:val="005B448A"/>
    <w:rsid w:val="00623EF6"/>
    <w:rsid w:val="00631FC7"/>
    <w:rsid w:val="006F751B"/>
    <w:rsid w:val="00735970"/>
    <w:rsid w:val="00757DCE"/>
    <w:rsid w:val="00765217"/>
    <w:rsid w:val="00774F87"/>
    <w:rsid w:val="007940F4"/>
    <w:rsid w:val="007A247E"/>
    <w:rsid w:val="007B0C7B"/>
    <w:rsid w:val="007B4CC7"/>
    <w:rsid w:val="007C3C99"/>
    <w:rsid w:val="0080566E"/>
    <w:rsid w:val="008122B8"/>
    <w:rsid w:val="00812A98"/>
    <w:rsid w:val="00835729"/>
    <w:rsid w:val="00861D08"/>
    <w:rsid w:val="00885EFD"/>
    <w:rsid w:val="008B57D8"/>
    <w:rsid w:val="008B6E6A"/>
    <w:rsid w:val="0093350D"/>
    <w:rsid w:val="00935836"/>
    <w:rsid w:val="009366A2"/>
    <w:rsid w:val="00961D88"/>
    <w:rsid w:val="00970823"/>
    <w:rsid w:val="0097198F"/>
    <w:rsid w:val="00996253"/>
    <w:rsid w:val="009D019D"/>
    <w:rsid w:val="009E1777"/>
    <w:rsid w:val="00A06853"/>
    <w:rsid w:val="00A20C2B"/>
    <w:rsid w:val="00A2593E"/>
    <w:rsid w:val="00A27684"/>
    <w:rsid w:val="00A510BD"/>
    <w:rsid w:val="00A9130C"/>
    <w:rsid w:val="00AA18E9"/>
    <w:rsid w:val="00AB179F"/>
    <w:rsid w:val="00AB5EF7"/>
    <w:rsid w:val="00AE0A8B"/>
    <w:rsid w:val="00AE57FD"/>
    <w:rsid w:val="00AF2A20"/>
    <w:rsid w:val="00B139B0"/>
    <w:rsid w:val="00B34261"/>
    <w:rsid w:val="00B34821"/>
    <w:rsid w:val="00B4626F"/>
    <w:rsid w:val="00B4669A"/>
    <w:rsid w:val="00B8398C"/>
    <w:rsid w:val="00BB2920"/>
    <w:rsid w:val="00BC1852"/>
    <w:rsid w:val="00BD2EA0"/>
    <w:rsid w:val="00BE4B64"/>
    <w:rsid w:val="00BE5DDE"/>
    <w:rsid w:val="00BE7290"/>
    <w:rsid w:val="00BF008C"/>
    <w:rsid w:val="00C06288"/>
    <w:rsid w:val="00C06865"/>
    <w:rsid w:val="00C23FF9"/>
    <w:rsid w:val="00CB0273"/>
    <w:rsid w:val="00CC6D1B"/>
    <w:rsid w:val="00CD58F1"/>
    <w:rsid w:val="00CE3339"/>
    <w:rsid w:val="00CF0739"/>
    <w:rsid w:val="00D16843"/>
    <w:rsid w:val="00D42173"/>
    <w:rsid w:val="00D808E0"/>
    <w:rsid w:val="00D828D4"/>
    <w:rsid w:val="00DA19D7"/>
    <w:rsid w:val="00DC2043"/>
    <w:rsid w:val="00DF4C74"/>
    <w:rsid w:val="00E41A96"/>
    <w:rsid w:val="00E6457C"/>
    <w:rsid w:val="00EE3DE2"/>
    <w:rsid w:val="00EE6E5C"/>
    <w:rsid w:val="00F47473"/>
    <w:rsid w:val="00F5184F"/>
    <w:rsid w:val="00F67065"/>
    <w:rsid w:val="00F71584"/>
    <w:rsid w:val="00F76193"/>
    <w:rsid w:val="00F77CAC"/>
    <w:rsid w:val="00F838B6"/>
    <w:rsid w:val="00F964D3"/>
    <w:rsid w:val="00FB0F07"/>
    <w:rsid w:val="00FC07CD"/>
    <w:rsid w:val="00FD21C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D5E11"/>
  <w15:docId w15:val="{AF6C1753-43FF-426B-B4DD-CA2013F33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84F"/>
    <w:pPr>
      <w:spacing w:before="120" w:after="120" w:line="360" w:lineRule="auto"/>
      <w:jc w:val="both"/>
    </w:pPr>
    <w:rPr>
      <w:sz w:val="24"/>
    </w:rPr>
  </w:style>
  <w:style w:type="paragraph" w:styleId="Heading1">
    <w:name w:val="heading 1"/>
    <w:basedOn w:val="Normal"/>
    <w:next w:val="Normal"/>
    <w:uiPriority w:val="9"/>
    <w:qFormat/>
    <w:rsid w:val="00F5184F"/>
    <w:pPr>
      <w:keepNext/>
      <w:keepLines/>
      <w:spacing w:before="520" w:after="240"/>
      <w:outlineLvl w:val="0"/>
    </w:pPr>
    <w:rPr>
      <w:b/>
      <w:sz w:val="28"/>
      <w:szCs w:val="40"/>
    </w:rPr>
  </w:style>
  <w:style w:type="paragraph" w:styleId="Heading2">
    <w:name w:val="heading 2"/>
    <w:basedOn w:val="Normal"/>
    <w:next w:val="Normal"/>
    <w:uiPriority w:val="9"/>
    <w:unhideWhenUsed/>
    <w:qFormat/>
    <w:rsid w:val="00F5184F"/>
    <w:pPr>
      <w:keepNext/>
      <w:keepLines/>
      <w:spacing w:before="480" w:after="24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8B57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B57D8"/>
    <w:pPr>
      <w:spacing w:after="100"/>
    </w:pPr>
  </w:style>
  <w:style w:type="paragraph" w:styleId="TOC2">
    <w:name w:val="toc 2"/>
    <w:basedOn w:val="Normal"/>
    <w:next w:val="Normal"/>
    <w:autoRedefine/>
    <w:uiPriority w:val="39"/>
    <w:unhideWhenUsed/>
    <w:rsid w:val="008B57D8"/>
    <w:pPr>
      <w:spacing w:after="100"/>
      <w:ind w:left="240"/>
    </w:pPr>
  </w:style>
  <w:style w:type="character" w:styleId="Hyperlink">
    <w:name w:val="Hyperlink"/>
    <w:basedOn w:val="DefaultParagraphFont"/>
    <w:uiPriority w:val="99"/>
    <w:unhideWhenUsed/>
    <w:rsid w:val="008B57D8"/>
    <w:rPr>
      <w:color w:val="0000FF" w:themeColor="hyperlink"/>
      <w:u w:val="single"/>
    </w:rPr>
  </w:style>
  <w:style w:type="character" w:styleId="UnresolvedMention">
    <w:name w:val="Unresolved Mention"/>
    <w:basedOn w:val="DefaultParagraphFont"/>
    <w:uiPriority w:val="99"/>
    <w:semiHidden/>
    <w:unhideWhenUsed/>
    <w:rsid w:val="00AE57FD"/>
    <w:rPr>
      <w:color w:val="605E5C"/>
      <w:shd w:val="clear" w:color="auto" w:fill="E1DFDD"/>
    </w:rPr>
  </w:style>
  <w:style w:type="paragraph" w:styleId="ListParagraph">
    <w:name w:val="List Paragraph"/>
    <w:basedOn w:val="Normal"/>
    <w:uiPriority w:val="34"/>
    <w:qFormat/>
    <w:rsid w:val="00970823"/>
    <w:pPr>
      <w:ind w:left="720"/>
      <w:contextualSpacing/>
    </w:pPr>
  </w:style>
  <w:style w:type="table" w:styleId="TableGrid">
    <w:name w:val="Table Grid"/>
    <w:basedOn w:val="TableNormal"/>
    <w:uiPriority w:val="39"/>
    <w:rsid w:val="00E6457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840DB"/>
    <w:rPr>
      <w:color w:val="800080" w:themeColor="followedHyperlink"/>
      <w:u w:val="single"/>
    </w:rPr>
  </w:style>
  <w:style w:type="character" w:styleId="CommentReference">
    <w:name w:val="annotation reference"/>
    <w:basedOn w:val="DefaultParagraphFont"/>
    <w:uiPriority w:val="99"/>
    <w:semiHidden/>
    <w:unhideWhenUsed/>
    <w:rsid w:val="00BE5DDE"/>
    <w:rPr>
      <w:sz w:val="16"/>
      <w:szCs w:val="16"/>
    </w:rPr>
  </w:style>
  <w:style w:type="paragraph" w:styleId="CommentText">
    <w:name w:val="annotation text"/>
    <w:basedOn w:val="Normal"/>
    <w:link w:val="CommentTextChar"/>
    <w:uiPriority w:val="99"/>
    <w:unhideWhenUsed/>
    <w:rsid w:val="00BE5DDE"/>
    <w:pPr>
      <w:spacing w:line="240" w:lineRule="auto"/>
    </w:pPr>
    <w:rPr>
      <w:sz w:val="20"/>
      <w:szCs w:val="20"/>
    </w:rPr>
  </w:style>
  <w:style w:type="character" w:customStyle="1" w:styleId="CommentTextChar">
    <w:name w:val="Comment Text Char"/>
    <w:basedOn w:val="DefaultParagraphFont"/>
    <w:link w:val="CommentText"/>
    <w:uiPriority w:val="99"/>
    <w:rsid w:val="00BE5DDE"/>
    <w:rPr>
      <w:sz w:val="20"/>
      <w:szCs w:val="20"/>
    </w:rPr>
  </w:style>
  <w:style w:type="paragraph" w:styleId="CommentSubject">
    <w:name w:val="annotation subject"/>
    <w:basedOn w:val="CommentText"/>
    <w:next w:val="CommentText"/>
    <w:link w:val="CommentSubjectChar"/>
    <w:uiPriority w:val="99"/>
    <w:semiHidden/>
    <w:unhideWhenUsed/>
    <w:rsid w:val="00BE5DDE"/>
    <w:rPr>
      <w:b/>
      <w:bCs/>
    </w:rPr>
  </w:style>
  <w:style w:type="character" w:customStyle="1" w:styleId="CommentSubjectChar">
    <w:name w:val="Comment Subject Char"/>
    <w:basedOn w:val="CommentTextChar"/>
    <w:link w:val="CommentSubject"/>
    <w:uiPriority w:val="99"/>
    <w:semiHidden/>
    <w:rsid w:val="00BE5DDE"/>
    <w:rPr>
      <w:b/>
      <w:bCs/>
      <w:sz w:val="20"/>
      <w:szCs w:val="20"/>
    </w:rPr>
  </w:style>
  <w:style w:type="paragraph" w:styleId="Revision">
    <w:name w:val="Revision"/>
    <w:hidden/>
    <w:uiPriority w:val="99"/>
    <w:semiHidden/>
    <w:rsid w:val="0097198F"/>
    <w:pPr>
      <w:spacing w:line="240" w:lineRule="auto"/>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dx.doi.org/10.2139/ssrn.5259954" TargetMode="External"/><Relationship Id="rId26" Type="http://schemas.openxmlformats.org/officeDocument/2006/relationships/hyperlink" Target="https://scholar.archive.org/work/wqooocv2b5bwbczccvuqp4dttu/access/wayback/https://jurnal.ibik.ac.id/index.php/jimkes/article/download/3166/2399/11408" TargetMode="External"/><Relationship Id="rId39" Type="http://schemas.openxmlformats.org/officeDocument/2006/relationships/hyperlink" Target="https://theeducationjournals.com/index.php/JTCMS/article/download/168/152" TargetMode="External"/><Relationship Id="rId21" Type="http://schemas.openxmlformats.org/officeDocument/2006/relationships/hyperlink" Target="https://doi.org/10.3390/ijfs11030100" TargetMode="External"/><Relationship Id="rId34" Type="http://schemas.openxmlformats.org/officeDocument/2006/relationships/hyperlink" Target="http://doi.org/10.37502/IJSMR.2022.5623" TargetMode="External"/><Relationship Id="rId42" Type="http://schemas.openxmlformats.org/officeDocument/2006/relationships/hyperlink" Target="http://dx.doi.org/10.1108/JFRA-05-2023-0234" TargetMode="External"/><Relationship Id="rId47" Type="http://schemas.openxmlformats.org/officeDocument/2006/relationships/hyperlink" Target="file:///Users/kavan/Desktop/Lakmi%20SIngh%20LCMB7002%20Work%20Excel.xlsx" TargetMode="External"/><Relationship Id="rId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chart" Target="charts/chart9.xml"/><Relationship Id="rId29" Type="http://schemas.openxmlformats.org/officeDocument/2006/relationships/hyperlink" Target="https://doi.org/10.3390/challe16010009" TargetMode="External"/><Relationship Id="rId11" Type="http://schemas.openxmlformats.org/officeDocument/2006/relationships/chart" Target="charts/chart4.xml"/><Relationship Id="rId24" Type="http://schemas.openxmlformats.org/officeDocument/2006/relationships/hyperlink" Target="https://www.tandfonline.com/doi/pdf/10.1080/1351847X.2025.2532548" TargetMode="External"/><Relationship Id="rId32" Type="http://schemas.openxmlformats.org/officeDocument/2006/relationships/hyperlink" Target="https://doi.org/10.3390/ijfs14070181" TargetMode="External"/><Relationship Id="rId37" Type="http://schemas.openxmlformats.org/officeDocument/2006/relationships/hyperlink" Target="https://www.tandfonline.com/doi/pdf/10.1080/23322039.2024.2404707" TargetMode="External"/><Relationship Id="rId40" Type="http://schemas.openxmlformats.org/officeDocument/2006/relationships/hyperlink" Target="https://doi.org/10.3390/su15010554" TargetMode="External"/><Relationship Id="rId45"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doi.org/10.1007/978-3-319-31816-5_3969-1" TargetMode="External"/><Relationship Id="rId28" Type="http://schemas.openxmlformats.org/officeDocument/2006/relationships/hyperlink" Target="https://doi.org/10.1108/CFRI-10-2021-0208" TargetMode="External"/><Relationship Id="rId36" Type="http://schemas.openxmlformats.org/officeDocument/2006/relationships/hyperlink" Target="https://doi.org/10.46254/NA09.20240184" TargetMode="External"/><Relationship Id="rId49"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doi.org/10.58314/UUHYT2" TargetMode="External"/><Relationship Id="rId31" Type="http://schemas.openxmlformats.org/officeDocument/2006/relationships/hyperlink" Target="https://www.academia.edu/download/81063588/article_677839_cd06f5c50b09f28acf4802268302e8ba.pdf" TargetMode="External"/><Relationship Id="rId44"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dx.doi.org/10.22458/rna.v12i1.3572" TargetMode="External"/><Relationship Id="rId27" Type="http://schemas.openxmlformats.org/officeDocument/2006/relationships/hyperlink" Target="https://www.ihgplc.com/~/media/Files/I/Ihg-Plc/investors/annual-report/2025/ihg-ar25-interactive.pdf" TargetMode="External"/><Relationship Id="rId30" Type="http://schemas.openxmlformats.org/officeDocument/2006/relationships/hyperlink" Target="https://www.researchgate.net/profile/Selim-Mekdessi/publication/376174052_Financial_Resilience_In_Mount-Lebanon_Hotel_Sector_Navigating_Crisis-Driven_Challenges/links/656c413ab1398a779dd499f4/Financial-Resilience-In-Mount-Lebanon-Hotel-Sector-Navigating-Crisis-Driven-Challenges.pdf" TargetMode="External"/><Relationship Id="rId35" Type="http://schemas.openxmlformats.org/officeDocument/2006/relationships/hyperlink" Target="https://doi.org/10.35912/ijfam.v4i1.852" TargetMode="External"/><Relationship Id="rId43" Type="http://schemas.openxmlformats.org/officeDocument/2006/relationships/image" Target="media/image2.png"/><Relationship Id="rId48" Type="http://schemas.openxmlformats.org/officeDocument/2006/relationships/fontTable" Target="fontTable.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hyperlink" Target="https://onlinelibrary.wiley.com/doi/abs/10.1111/acfi.12591" TargetMode="External"/><Relationship Id="rId25" Type="http://schemas.openxmlformats.org/officeDocument/2006/relationships/hyperlink" Target="https://doi.org/10.63125/xrfrsz89" TargetMode="External"/><Relationship Id="rId33" Type="http://schemas.openxmlformats.org/officeDocument/2006/relationships/hyperlink" Target="https://pmc.ncbi.nlm.nih.gov/articles/PMC8096609/pdf/11187_2021_Article_488.pdf" TargetMode="External"/><Relationship Id="rId38"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Relationship Id="rId46" Type="http://schemas.openxmlformats.org/officeDocument/2006/relationships/image" Target="media/image5.png"/><Relationship Id="rId20" Type="http://schemas.openxmlformats.org/officeDocument/2006/relationships/hyperlink" Target="https://doi.org/10.59576/sr.1139%0A" TargetMode="External"/><Relationship Id="rId41" Type="http://schemas.openxmlformats.org/officeDocument/2006/relationships/hyperlink" Target="https://doi.org/10.3390/risks12040072" TargetMode="External"/><Relationship Id="rId1" Type="http://schemas.openxmlformats.org/officeDocument/2006/relationships/customXml" Target="../customXml/item1.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pc\Desktop\Adity\July%202026\10\IHG%20EXCEL.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 in GP</a:t>
            </a:r>
            <a:r>
              <a:rPr lang="en-IN" b="1" baseline="0"/>
              <a:t> Margin, OP Margin and NP Margin</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Analysis'!$A$3</c:f>
              <c:strCache>
                <c:ptCount val="1"/>
                <c:pt idx="0">
                  <c:v>Profitability Ratio</c:v>
                </c:pt>
              </c:strCache>
            </c:strRef>
          </c:tx>
          <c:spPr>
            <a:ln w="28575" cap="rnd">
              <a:solidFill>
                <a:schemeClr val="accent1"/>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Analysis'!$B$3:$F$3</c:f>
              <c:numCache>
                <c:formatCode>General</c:formatCode>
                <c:ptCount val="5"/>
              </c:numCache>
            </c:numRef>
          </c:val>
          <c:smooth val="0"/>
          <c:extLst>
            <c:ext xmlns:c16="http://schemas.microsoft.com/office/drawing/2014/chart" uri="{C3380CC4-5D6E-409C-BE32-E72D297353CC}">
              <c16:uniqueId val="{00000000-ED17-40F2-BFA8-5D5F57E3E0F2}"/>
            </c:ext>
          </c:extLst>
        </c:ser>
        <c:ser>
          <c:idx val="1"/>
          <c:order val="1"/>
          <c:tx>
            <c:strRef>
              <c:f>'Ratio Analysis'!$A$4</c:f>
              <c:strCache>
                <c:ptCount val="1"/>
                <c:pt idx="0">
                  <c:v>Gross Profit Margin</c:v>
                </c:pt>
              </c:strCache>
            </c:strRef>
          </c:tx>
          <c:spPr>
            <a:ln w="28575" cap="rnd">
              <a:solidFill>
                <a:schemeClr val="accent2"/>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Analysis'!$B$4:$F$4</c:f>
              <c:numCache>
                <c:formatCode>0.00</c:formatCode>
                <c:ptCount val="5"/>
                <c:pt idx="0">
                  <c:v>85.276546540759298</c:v>
                </c:pt>
                <c:pt idx="1">
                  <c:v>84.866951046110088</c:v>
                </c:pt>
                <c:pt idx="2">
                  <c:v>83.95328719723183</c:v>
                </c:pt>
                <c:pt idx="3">
                  <c:v>83.350462487153138</c:v>
                </c:pt>
                <c:pt idx="4">
                  <c:v>83.28173374613003</c:v>
                </c:pt>
              </c:numCache>
            </c:numRef>
          </c:val>
          <c:smooth val="0"/>
          <c:extLst>
            <c:ext xmlns:c16="http://schemas.microsoft.com/office/drawing/2014/chart" uri="{C3380CC4-5D6E-409C-BE32-E72D297353CC}">
              <c16:uniqueId val="{00000001-ED17-40F2-BFA8-5D5F57E3E0F2}"/>
            </c:ext>
          </c:extLst>
        </c:ser>
        <c:ser>
          <c:idx val="2"/>
          <c:order val="2"/>
          <c:tx>
            <c:strRef>
              <c:f>'Ratio Analysis'!$A$5</c:f>
              <c:strCache>
                <c:ptCount val="1"/>
                <c:pt idx="0">
                  <c:v>Operating Profit Margin </c:v>
                </c:pt>
              </c:strCache>
            </c:strRef>
          </c:tx>
          <c:spPr>
            <a:ln w="28575" cap="rnd">
              <a:solidFill>
                <a:schemeClr val="accent3"/>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Analysis'!$B$5:$F$5</c:f>
              <c:numCache>
                <c:formatCode>0.00</c:formatCode>
                <c:ptCount val="5"/>
                <c:pt idx="0">
                  <c:v>23.087300057814609</c:v>
                </c:pt>
                <c:pt idx="1">
                  <c:v>21.145642900670321</c:v>
                </c:pt>
                <c:pt idx="2">
                  <c:v>23.053633217993081</c:v>
                </c:pt>
                <c:pt idx="3">
                  <c:v>16.135662898252825</c:v>
                </c:pt>
                <c:pt idx="4">
                  <c:v>16.993464052287582</c:v>
                </c:pt>
              </c:numCache>
            </c:numRef>
          </c:val>
          <c:smooth val="0"/>
          <c:extLst>
            <c:ext xmlns:c16="http://schemas.microsoft.com/office/drawing/2014/chart" uri="{C3380CC4-5D6E-409C-BE32-E72D297353CC}">
              <c16:uniqueId val="{00000002-ED17-40F2-BFA8-5D5F57E3E0F2}"/>
            </c:ext>
          </c:extLst>
        </c:ser>
        <c:ser>
          <c:idx val="3"/>
          <c:order val="3"/>
          <c:tx>
            <c:strRef>
              <c:f>'Ratio Analysis'!$A$6</c:f>
              <c:strCache>
                <c:ptCount val="1"/>
                <c:pt idx="0">
                  <c:v>Net Profit Margin </c:v>
                </c:pt>
              </c:strCache>
            </c:strRef>
          </c:tx>
          <c:spPr>
            <a:ln w="28575" cap="rnd">
              <a:solidFill>
                <a:schemeClr val="accent4"/>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Analysis'!$B$6:$F$6</c:f>
              <c:numCache>
                <c:formatCode>0.00</c:formatCode>
                <c:ptCount val="5"/>
                <c:pt idx="0">
                  <c:v>14.627095779533628</c:v>
                </c:pt>
                <c:pt idx="1">
                  <c:v>13.16270566727605</c:v>
                </c:pt>
                <c:pt idx="2">
                  <c:v>16.219723183391004</c:v>
                </c:pt>
                <c:pt idx="3">
                  <c:v>9.660842754367934</c:v>
                </c:pt>
                <c:pt idx="4">
                  <c:v>9.1159270725834194</c:v>
                </c:pt>
              </c:numCache>
            </c:numRef>
          </c:val>
          <c:smooth val="0"/>
          <c:extLst>
            <c:ext xmlns:c16="http://schemas.microsoft.com/office/drawing/2014/chart" uri="{C3380CC4-5D6E-409C-BE32-E72D297353CC}">
              <c16:uniqueId val="{00000003-ED17-40F2-BFA8-5D5F57E3E0F2}"/>
            </c:ext>
          </c:extLst>
        </c:ser>
        <c:dLbls>
          <c:showLegendKey val="0"/>
          <c:showVal val="0"/>
          <c:showCatName val="0"/>
          <c:showSerName val="0"/>
          <c:showPercent val="0"/>
          <c:showBubbleSize val="0"/>
        </c:dLbls>
        <c:smooth val="0"/>
        <c:axId val="791645152"/>
        <c:axId val="744985904"/>
      </c:lineChart>
      <c:catAx>
        <c:axId val="791645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985904"/>
        <c:crosses val="autoZero"/>
        <c:auto val="1"/>
        <c:lblAlgn val="ctr"/>
        <c:lblOffset val="100"/>
        <c:noMultiLvlLbl val="0"/>
      </c:catAx>
      <c:valAx>
        <c:axId val="744985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6451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ROA and ROE</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Analysis'!$A$7</c:f>
              <c:strCache>
                <c:ptCount val="1"/>
                <c:pt idx="0">
                  <c:v>Return on Assets </c:v>
                </c:pt>
              </c:strCache>
            </c:strRef>
          </c:tx>
          <c:spPr>
            <a:ln w="28575" cap="rnd">
              <a:solidFill>
                <a:schemeClr val="accent1"/>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Analysis'!$B$7:$F$7</c:f>
              <c:numCache>
                <c:formatCode>0.00</c:formatCode>
                <c:ptCount val="5"/>
                <c:pt idx="0">
                  <c:v>14.200187090739009</c:v>
                </c:pt>
                <c:pt idx="1">
                  <c:v>13.647851727042964</c:v>
                </c:pt>
                <c:pt idx="2">
                  <c:v>15.582796592561813</c:v>
                </c:pt>
                <c:pt idx="3">
                  <c:v>8.9184060721062615</c:v>
                </c:pt>
                <c:pt idx="4">
                  <c:v>5.6191687871077187</c:v>
                </c:pt>
              </c:numCache>
            </c:numRef>
          </c:val>
          <c:smooth val="0"/>
          <c:extLst>
            <c:ext xmlns:c16="http://schemas.microsoft.com/office/drawing/2014/chart" uri="{C3380CC4-5D6E-409C-BE32-E72D297353CC}">
              <c16:uniqueId val="{00000000-F332-4AE5-9F19-8AB7CB8D2015}"/>
            </c:ext>
          </c:extLst>
        </c:ser>
        <c:ser>
          <c:idx val="1"/>
          <c:order val="1"/>
          <c:tx>
            <c:strRef>
              <c:f>'Ratio Analysis'!$A$8</c:f>
              <c:strCache>
                <c:ptCount val="1"/>
                <c:pt idx="0">
                  <c:v>Return on Equity </c:v>
                </c:pt>
              </c:strCache>
            </c:strRef>
          </c:tx>
          <c:spPr>
            <a:ln w="28575" cap="rnd">
              <a:solidFill>
                <a:schemeClr val="accent2"/>
              </a:solidFill>
              <a:round/>
            </a:ln>
            <a:effectLst/>
          </c:spPr>
          <c:marker>
            <c:symbol val="none"/>
          </c:marker>
          <c:cat>
            <c:numRef>
              <c:f>'Ratio Analysis'!$B$2:$F$2</c:f>
              <c:numCache>
                <c:formatCode>General</c:formatCode>
                <c:ptCount val="5"/>
                <c:pt idx="0">
                  <c:v>2025</c:v>
                </c:pt>
                <c:pt idx="1">
                  <c:v>2024</c:v>
                </c:pt>
                <c:pt idx="2">
                  <c:v>2023</c:v>
                </c:pt>
                <c:pt idx="3">
                  <c:v>2022</c:v>
                </c:pt>
                <c:pt idx="4">
                  <c:v>2021</c:v>
                </c:pt>
              </c:numCache>
            </c:numRef>
          </c:cat>
          <c:val>
            <c:numRef>
              <c:f>'Ratio Analysis'!$B$8:$F$8</c:f>
              <c:numCache>
                <c:formatCode>0.00</c:formatCode>
                <c:ptCount val="5"/>
                <c:pt idx="0">
                  <c:v>27.741228070175438</c:v>
                </c:pt>
                <c:pt idx="1">
                  <c:v>28.07625649913345</c:v>
                </c:pt>
                <c:pt idx="2">
                  <c:v>38.461538461538467</c:v>
                </c:pt>
                <c:pt idx="3">
                  <c:v>23.281733746130033</c:v>
                </c:pt>
                <c:pt idx="4">
                  <c:v>17.893315327481432</c:v>
                </c:pt>
              </c:numCache>
            </c:numRef>
          </c:val>
          <c:smooth val="0"/>
          <c:extLst>
            <c:ext xmlns:c16="http://schemas.microsoft.com/office/drawing/2014/chart" uri="{C3380CC4-5D6E-409C-BE32-E72D297353CC}">
              <c16:uniqueId val="{00000001-F332-4AE5-9F19-8AB7CB8D2015}"/>
            </c:ext>
          </c:extLst>
        </c:ser>
        <c:dLbls>
          <c:showLegendKey val="0"/>
          <c:showVal val="0"/>
          <c:showCatName val="0"/>
          <c:showSerName val="0"/>
          <c:showPercent val="0"/>
          <c:showBubbleSize val="0"/>
        </c:dLbls>
        <c:smooth val="0"/>
        <c:axId val="790593328"/>
        <c:axId val="744992144"/>
      </c:lineChart>
      <c:catAx>
        <c:axId val="79059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992144"/>
        <c:crosses val="autoZero"/>
        <c:auto val="1"/>
        <c:lblAlgn val="ctr"/>
        <c:lblOffset val="100"/>
        <c:noMultiLvlLbl val="0"/>
      </c:catAx>
      <c:valAx>
        <c:axId val="74499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5933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Liquidity Ratios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Analysis'!$A$11</c:f>
              <c:strCache>
                <c:ptCount val="1"/>
                <c:pt idx="0">
                  <c:v>Current Ratio</c:v>
                </c:pt>
              </c:strCache>
            </c:strRef>
          </c:tx>
          <c:spPr>
            <a:ln w="28575" cap="rnd">
              <a:solidFill>
                <a:schemeClr val="accent1"/>
              </a:solidFill>
              <a:round/>
            </a:ln>
            <a:effectLst/>
          </c:spPr>
          <c:marker>
            <c:symbol val="none"/>
          </c:marker>
          <c:cat>
            <c:numRef>
              <c:f>'Ratio Analysis'!$B$10:$F$10</c:f>
              <c:numCache>
                <c:formatCode>General</c:formatCode>
                <c:ptCount val="5"/>
                <c:pt idx="0">
                  <c:v>2025</c:v>
                </c:pt>
                <c:pt idx="1">
                  <c:v>2024</c:v>
                </c:pt>
                <c:pt idx="2">
                  <c:v>2023</c:v>
                </c:pt>
                <c:pt idx="3">
                  <c:v>2022</c:v>
                </c:pt>
                <c:pt idx="4">
                  <c:v>2021</c:v>
                </c:pt>
              </c:numCache>
            </c:numRef>
          </c:cat>
          <c:val>
            <c:numRef>
              <c:f>'Ratio Analysis'!$B$11:$F$11</c:f>
              <c:numCache>
                <c:formatCode>0.00</c:formatCode>
                <c:ptCount val="5"/>
                <c:pt idx="0">
                  <c:v>0.97571428571428576</c:v>
                </c:pt>
                <c:pt idx="1">
                  <c:v>0.96939834024896265</c:v>
                </c:pt>
                <c:pt idx="2">
                  <c:v>0.97214611872146117</c:v>
                </c:pt>
                <c:pt idx="3">
                  <c:v>1.0867875647668395</c:v>
                </c:pt>
                <c:pt idx="4">
                  <c:v>1.2721674876847291</c:v>
                </c:pt>
              </c:numCache>
            </c:numRef>
          </c:val>
          <c:smooth val="0"/>
          <c:extLst>
            <c:ext xmlns:c16="http://schemas.microsoft.com/office/drawing/2014/chart" uri="{C3380CC4-5D6E-409C-BE32-E72D297353CC}">
              <c16:uniqueId val="{00000000-1128-4D60-9607-44319545317C}"/>
            </c:ext>
          </c:extLst>
        </c:ser>
        <c:ser>
          <c:idx val="1"/>
          <c:order val="1"/>
          <c:tx>
            <c:strRef>
              <c:f>'Ratio Analysis'!$A$12</c:f>
              <c:strCache>
                <c:ptCount val="1"/>
                <c:pt idx="0">
                  <c:v>Quick Ratio</c:v>
                </c:pt>
              </c:strCache>
            </c:strRef>
          </c:tx>
          <c:spPr>
            <a:ln w="28575" cap="rnd">
              <a:solidFill>
                <a:schemeClr val="accent2"/>
              </a:solidFill>
              <a:round/>
            </a:ln>
            <a:effectLst/>
          </c:spPr>
          <c:marker>
            <c:symbol val="none"/>
          </c:marker>
          <c:cat>
            <c:numRef>
              <c:f>'Ratio Analysis'!$B$10:$F$10</c:f>
              <c:numCache>
                <c:formatCode>General</c:formatCode>
                <c:ptCount val="5"/>
                <c:pt idx="0">
                  <c:v>2025</c:v>
                </c:pt>
                <c:pt idx="1">
                  <c:v>2024</c:v>
                </c:pt>
                <c:pt idx="2">
                  <c:v>2023</c:v>
                </c:pt>
                <c:pt idx="3">
                  <c:v>2022</c:v>
                </c:pt>
                <c:pt idx="4">
                  <c:v>2021</c:v>
                </c:pt>
              </c:numCache>
            </c:numRef>
          </c:cat>
          <c:val>
            <c:numRef>
              <c:f>'Ratio Analysis'!$B$12:$F$12</c:f>
              <c:numCache>
                <c:formatCode>0.00</c:formatCode>
                <c:ptCount val="5"/>
                <c:pt idx="0">
                  <c:v>0.97333333333333338</c:v>
                </c:pt>
                <c:pt idx="1">
                  <c:v>0.96732365145228216</c:v>
                </c:pt>
                <c:pt idx="2">
                  <c:v>0.96986301369863015</c:v>
                </c:pt>
                <c:pt idx="3">
                  <c:v>1.0841968911917099</c:v>
                </c:pt>
                <c:pt idx="4">
                  <c:v>1.2697044334975369</c:v>
                </c:pt>
              </c:numCache>
            </c:numRef>
          </c:val>
          <c:smooth val="0"/>
          <c:extLst>
            <c:ext xmlns:c16="http://schemas.microsoft.com/office/drawing/2014/chart" uri="{C3380CC4-5D6E-409C-BE32-E72D297353CC}">
              <c16:uniqueId val="{00000001-1128-4D60-9607-44319545317C}"/>
            </c:ext>
          </c:extLst>
        </c:ser>
        <c:ser>
          <c:idx val="2"/>
          <c:order val="2"/>
          <c:tx>
            <c:strRef>
              <c:f>'Ratio Analysis'!$A$13</c:f>
              <c:strCache>
                <c:ptCount val="1"/>
                <c:pt idx="0">
                  <c:v>Cash Ratio</c:v>
                </c:pt>
              </c:strCache>
            </c:strRef>
          </c:tx>
          <c:spPr>
            <a:ln w="28575" cap="rnd">
              <a:solidFill>
                <a:schemeClr val="accent3"/>
              </a:solidFill>
              <a:round/>
            </a:ln>
            <a:effectLst/>
          </c:spPr>
          <c:marker>
            <c:symbol val="none"/>
          </c:marker>
          <c:cat>
            <c:numRef>
              <c:f>'Ratio Analysis'!$B$10:$F$10</c:f>
              <c:numCache>
                <c:formatCode>General</c:formatCode>
                <c:ptCount val="5"/>
                <c:pt idx="0">
                  <c:v>2025</c:v>
                </c:pt>
                <c:pt idx="1">
                  <c:v>2024</c:v>
                </c:pt>
                <c:pt idx="2">
                  <c:v>2023</c:v>
                </c:pt>
                <c:pt idx="3">
                  <c:v>2022</c:v>
                </c:pt>
                <c:pt idx="4">
                  <c:v>2021</c:v>
                </c:pt>
              </c:numCache>
            </c:numRef>
          </c:cat>
          <c:val>
            <c:numRef>
              <c:f>'Ratio Analysis'!$B$13:$F$13</c:f>
              <c:numCache>
                <c:formatCode>0.00</c:formatCode>
                <c:ptCount val="5"/>
                <c:pt idx="0">
                  <c:v>0.53761904761904766</c:v>
                </c:pt>
                <c:pt idx="1">
                  <c:v>0.52282157676348551</c:v>
                </c:pt>
                <c:pt idx="2">
                  <c:v>0.60365296803652968</c:v>
                </c:pt>
                <c:pt idx="3">
                  <c:v>0.85621761658031093</c:v>
                </c:pt>
                <c:pt idx="4">
                  <c:v>0.8928571428571429</c:v>
                </c:pt>
              </c:numCache>
            </c:numRef>
          </c:val>
          <c:smooth val="0"/>
          <c:extLst>
            <c:ext xmlns:c16="http://schemas.microsoft.com/office/drawing/2014/chart" uri="{C3380CC4-5D6E-409C-BE32-E72D297353CC}">
              <c16:uniqueId val="{00000002-1128-4D60-9607-44319545317C}"/>
            </c:ext>
          </c:extLst>
        </c:ser>
        <c:dLbls>
          <c:showLegendKey val="0"/>
          <c:showVal val="0"/>
          <c:showCatName val="0"/>
          <c:showSerName val="0"/>
          <c:showPercent val="0"/>
          <c:showBubbleSize val="0"/>
        </c:dLbls>
        <c:smooth val="0"/>
        <c:axId val="850998304"/>
        <c:axId val="752920464"/>
      </c:lineChart>
      <c:catAx>
        <c:axId val="85099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920464"/>
        <c:crosses val="autoZero"/>
        <c:auto val="1"/>
        <c:lblAlgn val="ctr"/>
        <c:lblOffset val="100"/>
        <c:noMultiLvlLbl val="0"/>
      </c:catAx>
      <c:valAx>
        <c:axId val="75292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9983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 in 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Analysis'!$A$16</c:f>
              <c:strCache>
                <c:ptCount val="1"/>
                <c:pt idx="0">
                  <c:v>Debt to equity ratio</c:v>
                </c:pt>
              </c:strCache>
            </c:strRef>
          </c:tx>
          <c:spPr>
            <a:ln w="28575" cap="rnd">
              <a:solidFill>
                <a:schemeClr val="accent1"/>
              </a:solidFill>
              <a:round/>
            </a:ln>
            <a:effectLst/>
          </c:spPr>
          <c:marker>
            <c:symbol val="none"/>
          </c:marker>
          <c:cat>
            <c:numRef>
              <c:f>'Ratio Analysis'!$B$15:$F$15</c:f>
              <c:numCache>
                <c:formatCode>General</c:formatCode>
                <c:ptCount val="5"/>
                <c:pt idx="0">
                  <c:v>2025</c:v>
                </c:pt>
                <c:pt idx="1">
                  <c:v>2024</c:v>
                </c:pt>
                <c:pt idx="2">
                  <c:v>2023</c:v>
                </c:pt>
                <c:pt idx="3">
                  <c:v>2022</c:v>
                </c:pt>
                <c:pt idx="4">
                  <c:v>2021</c:v>
                </c:pt>
              </c:numCache>
            </c:numRef>
          </c:cat>
          <c:val>
            <c:numRef>
              <c:f>'Ratio Analysis'!$B$16:$F$16</c:f>
              <c:numCache>
                <c:formatCode>0.000</c:formatCode>
                <c:ptCount val="5"/>
                <c:pt idx="0">
                  <c:v>1.023391812865497E-2</c:v>
                </c:pt>
                <c:pt idx="1">
                  <c:v>1.1265164644714038E-2</c:v>
                </c:pt>
                <c:pt idx="2">
                  <c:v>1.5384615384615385E-2</c:v>
                </c:pt>
                <c:pt idx="3">
                  <c:v>1.609907120743034E-2</c:v>
                </c:pt>
                <c:pt idx="4">
                  <c:v>2.3632680621201892E-2</c:v>
                </c:pt>
              </c:numCache>
            </c:numRef>
          </c:val>
          <c:smooth val="0"/>
          <c:extLst>
            <c:ext xmlns:c16="http://schemas.microsoft.com/office/drawing/2014/chart" uri="{C3380CC4-5D6E-409C-BE32-E72D297353CC}">
              <c16:uniqueId val="{00000000-E74F-4541-A431-52634C939455}"/>
            </c:ext>
          </c:extLst>
        </c:ser>
        <c:ser>
          <c:idx val="1"/>
          <c:order val="1"/>
          <c:tx>
            <c:strRef>
              <c:f>'Ratio Analysis'!$A$17</c:f>
              <c:strCache>
                <c:ptCount val="1"/>
                <c:pt idx="0">
                  <c:v>Debt ratio</c:v>
                </c:pt>
              </c:strCache>
            </c:strRef>
          </c:tx>
          <c:spPr>
            <a:ln w="28575" cap="rnd">
              <a:solidFill>
                <a:schemeClr val="accent2"/>
              </a:solidFill>
              <a:round/>
            </a:ln>
            <a:effectLst/>
          </c:spPr>
          <c:marker>
            <c:symbol val="none"/>
          </c:marker>
          <c:cat>
            <c:numRef>
              <c:f>'Ratio Analysis'!$B$15:$F$15</c:f>
              <c:numCache>
                <c:formatCode>General</c:formatCode>
                <c:ptCount val="5"/>
                <c:pt idx="0">
                  <c:v>2025</c:v>
                </c:pt>
                <c:pt idx="1">
                  <c:v>2024</c:v>
                </c:pt>
                <c:pt idx="2">
                  <c:v>2023</c:v>
                </c:pt>
                <c:pt idx="3">
                  <c:v>2022</c:v>
                </c:pt>
                <c:pt idx="4">
                  <c:v>2021</c:v>
                </c:pt>
              </c:numCache>
            </c:numRef>
          </c:cat>
          <c:val>
            <c:numRef>
              <c:f>'Ratio Analysis'!$B$17:$F$17</c:f>
              <c:numCache>
                <c:formatCode>0.000</c:formatCode>
                <c:ptCount val="5"/>
                <c:pt idx="0">
                  <c:v>5.2385406922357347E-3</c:v>
                </c:pt>
                <c:pt idx="1">
                  <c:v>5.4759898904802023E-3</c:v>
                </c:pt>
                <c:pt idx="2">
                  <c:v>6.2331186370247248E-3</c:v>
                </c:pt>
                <c:pt idx="3">
                  <c:v>6.1669829222011389E-3</c:v>
                </c:pt>
                <c:pt idx="4">
                  <c:v>7.4215436810856662E-3</c:v>
                </c:pt>
              </c:numCache>
            </c:numRef>
          </c:val>
          <c:smooth val="0"/>
          <c:extLst>
            <c:ext xmlns:c16="http://schemas.microsoft.com/office/drawing/2014/chart" uri="{C3380CC4-5D6E-409C-BE32-E72D297353CC}">
              <c16:uniqueId val="{00000001-E74F-4541-A431-52634C939455}"/>
            </c:ext>
          </c:extLst>
        </c:ser>
        <c:ser>
          <c:idx val="2"/>
          <c:order val="2"/>
          <c:tx>
            <c:strRef>
              <c:f>'Ratio Analysis'!$A$18</c:f>
              <c:strCache>
                <c:ptCount val="1"/>
                <c:pt idx="0">
                  <c:v>Equity Ratio</c:v>
                </c:pt>
              </c:strCache>
            </c:strRef>
          </c:tx>
          <c:spPr>
            <a:ln w="28575" cap="rnd">
              <a:solidFill>
                <a:schemeClr val="accent3"/>
              </a:solidFill>
              <a:round/>
            </a:ln>
            <a:effectLst/>
          </c:spPr>
          <c:marker>
            <c:symbol val="none"/>
          </c:marker>
          <c:cat>
            <c:numRef>
              <c:f>'Ratio Analysis'!$B$15:$F$15</c:f>
              <c:numCache>
                <c:formatCode>General</c:formatCode>
                <c:ptCount val="5"/>
                <c:pt idx="0">
                  <c:v>2025</c:v>
                </c:pt>
                <c:pt idx="1">
                  <c:v>2024</c:v>
                </c:pt>
                <c:pt idx="2">
                  <c:v>2023</c:v>
                </c:pt>
                <c:pt idx="3">
                  <c:v>2022</c:v>
                </c:pt>
                <c:pt idx="4">
                  <c:v>2021</c:v>
                </c:pt>
              </c:numCache>
            </c:numRef>
          </c:cat>
          <c:val>
            <c:numRef>
              <c:f>'Ratio Analysis'!$B$18:$F$18</c:f>
              <c:numCache>
                <c:formatCode>0.000</c:formatCode>
                <c:ptCount val="5"/>
                <c:pt idx="0">
                  <c:v>0.51188026192703462</c:v>
                </c:pt>
                <c:pt idx="1">
                  <c:v>0.48609941027801179</c:v>
                </c:pt>
                <c:pt idx="2">
                  <c:v>0.40432162892167045</c:v>
                </c:pt>
                <c:pt idx="3">
                  <c:v>0.38140417457305503</c:v>
                </c:pt>
                <c:pt idx="4">
                  <c:v>0.31255301102629346</c:v>
                </c:pt>
              </c:numCache>
            </c:numRef>
          </c:val>
          <c:smooth val="0"/>
          <c:extLst>
            <c:ext xmlns:c16="http://schemas.microsoft.com/office/drawing/2014/chart" uri="{C3380CC4-5D6E-409C-BE32-E72D297353CC}">
              <c16:uniqueId val="{00000002-E74F-4541-A431-52634C939455}"/>
            </c:ext>
          </c:extLst>
        </c:ser>
        <c:ser>
          <c:idx val="3"/>
          <c:order val="3"/>
          <c:tx>
            <c:strRef>
              <c:f>'Ratio Analysis'!$A$19</c:f>
              <c:strCache>
                <c:ptCount val="1"/>
                <c:pt idx="0">
                  <c:v>Debt-to-Capital ratio</c:v>
                </c:pt>
              </c:strCache>
            </c:strRef>
          </c:tx>
          <c:spPr>
            <a:ln w="28575" cap="rnd">
              <a:solidFill>
                <a:schemeClr val="accent4"/>
              </a:solidFill>
              <a:round/>
            </a:ln>
            <a:effectLst/>
          </c:spPr>
          <c:marker>
            <c:symbol val="none"/>
          </c:marker>
          <c:cat>
            <c:numRef>
              <c:f>'Ratio Analysis'!$B$15:$F$15</c:f>
              <c:numCache>
                <c:formatCode>General</c:formatCode>
                <c:ptCount val="5"/>
                <c:pt idx="0">
                  <c:v>2025</c:v>
                </c:pt>
                <c:pt idx="1">
                  <c:v>2024</c:v>
                </c:pt>
                <c:pt idx="2">
                  <c:v>2023</c:v>
                </c:pt>
                <c:pt idx="3">
                  <c:v>2022</c:v>
                </c:pt>
                <c:pt idx="4">
                  <c:v>2021</c:v>
                </c:pt>
              </c:numCache>
            </c:numRef>
          </c:cat>
          <c:val>
            <c:numRef>
              <c:f>'Ratio Analysis'!$B$19:$F$19</c:f>
              <c:numCache>
                <c:formatCode>0.000</c:formatCode>
                <c:ptCount val="5"/>
                <c:pt idx="0">
                  <c:v>1.0130246020260492E-2</c:v>
                </c:pt>
                <c:pt idx="1">
                  <c:v>1.1139674378748929E-2</c:v>
                </c:pt>
                <c:pt idx="2">
                  <c:v>1.5182186234817813E-2</c:v>
                </c:pt>
                <c:pt idx="3">
                  <c:v>1.591187270501836E-2</c:v>
                </c:pt>
                <c:pt idx="4">
                  <c:v>2.3194168323392977E-2</c:v>
                </c:pt>
              </c:numCache>
            </c:numRef>
          </c:val>
          <c:smooth val="0"/>
          <c:extLst>
            <c:ext xmlns:c16="http://schemas.microsoft.com/office/drawing/2014/chart" uri="{C3380CC4-5D6E-409C-BE32-E72D297353CC}">
              <c16:uniqueId val="{00000003-E74F-4541-A431-52634C939455}"/>
            </c:ext>
          </c:extLst>
        </c:ser>
        <c:dLbls>
          <c:showLegendKey val="0"/>
          <c:showVal val="0"/>
          <c:showCatName val="0"/>
          <c:showSerName val="0"/>
          <c:showPercent val="0"/>
          <c:showBubbleSize val="0"/>
        </c:dLbls>
        <c:smooth val="0"/>
        <c:axId val="806999616"/>
        <c:axId val="595489200"/>
      </c:lineChart>
      <c:catAx>
        <c:axId val="806999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489200"/>
        <c:crosses val="autoZero"/>
        <c:auto val="1"/>
        <c:lblAlgn val="ctr"/>
        <c:lblOffset val="100"/>
        <c:noMultiLvlLbl val="0"/>
      </c:catAx>
      <c:valAx>
        <c:axId val="59548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99961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Efficiency Ratios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Analysis'!$A$23</c:f>
              <c:strCache>
                <c:ptCount val="1"/>
                <c:pt idx="0">
                  <c:v>Recievable turnover ratio</c:v>
                </c:pt>
              </c:strCache>
            </c:strRef>
          </c:tx>
          <c:spPr>
            <a:ln w="28575" cap="rnd">
              <a:solidFill>
                <a:schemeClr val="accent1"/>
              </a:solidFill>
              <a:round/>
            </a:ln>
            <a:effectLst/>
          </c:spPr>
          <c:marker>
            <c:symbol val="none"/>
          </c:marker>
          <c:cat>
            <c:numRef>
              <c:f>'Ratio Analysis'!$B$21:$F$21</c:f>
              <c:numCache>
                <c:formatCode>General</c:formatCode>
                <c:ptCount val="5"/>
                <c:pt idx="0">
                  <c:v>2025</c:v>
                </c:pt>
                <c:pt idx="1">
                  <c:v>2024</c:v>
                </c:pt>
                <c:pt idx="2">
                  <c:v>2023</c:v>
                </c:pt>
                <c:pt idx="3">
                  <c:v>2022</c:v>
                </c:pt>
                <c:pt idx="4">
                  <c:v>2021</c:v>
                </c:pt>
              </c:numCache>
            </c:numRef>
          </c:cat>
          <c:val>
            <c:numRef>
              <c:f>'Ratio Analysis'!$B$23:$F$23</c:f>
              <c:numCache>
                <c:formatCode>0.00</c:formatCode>
                <c:ptCount val="5"/>
                <c:pt idx="0">
                  <c:v>6.2292917166866744</c:v>
                </c:pt>
                <c:pt idx="1">
                  <c:v>6.2713375796178346</c:v>
                </c:pt>
                <c:pt idx="2">
                  <c:v>6.2486486486486488</c:v>
                </c:pt>
                <c:pt idx="3">
                  <c:v>6.0247678018575854</c:v>
                </c:pt>
                <c:pt idx="4">
                  <c:v>5.0644599303135891</c:v>
                </c:pt>
              </c:numCache>
            </c:numRef>
          </c:val>
          <c:smooth val="0"/>
          <c:extLst>
            <c:ext xmlns:c16="http://schemas.microsoft.com/office/drawing/2014/chart" uri="{C3380CC4-5D6E-409C-BE32-E72D297353CC}">
              <c16:uniqueId val="{00000000-99D7-41EB-81B0-F78DAC3DE2D1}"/>
            </c:ext>
          </c:extLst>
        </c:ser>
        <c:ser>
          <c:idx val="1"/>
          <c:order val="1"/>
          <c:tx>
            <c:strRef>
              <c:f>'Ratio Analysis'!$A$24</c:f>
              <c:strCache>
                <c:ptCount val="1"/>
                <c:pt idx="0">
                  <c:v>Total asset turnover ratio</c:v>
                </c:pt>
              </c:strCache>
            </c:strRef>
          </c:tx>
          <c:spPr>
            <a:ln w="28575" cap="rnd">
              <a:solidFill>
                <a:schemeClr val="accent2"/>
              </a:solidFill>
              <a:round/>
            </a:ln>
            <a:effectLst/>
          </c:spPr>
          <c:marker>
            <c:symbol val="none"/>
          </c:marker>
          <c:cat>
            <c:numRef>
              <c:f>'Ratio Analysis'!$B$21:$F$21</c:f>
              <c:numCache>
                <c:formatCode>General</c:formatCode>
                <c:ptCount val="5"/>
                <c:pt idx="0">
                  <c:v>2025</c:v>
                </c:pt>
                <c:pt idx="1">
                  <c:v>2024</c:v>
                </c:pt>
                <c:pt idx="2">
                  <c:v>2023</c:v>
                </c:pt>
                <c:pt idx="3">
                  <c:v>2022</c:v>
                </c:pt>
                <c:pt idx="4">
                  <c:v>2021</c:v>
                </c:pt>
              </c:numCache>
            </c:numRef>
          </c:cat>
          <c:val>
            <c:numRef>
              <c:f>'Ratio Analysis'!$B$24:$F$24</c:f>
              <c:numCache>
                <c:formatCode>0.00</c:formatCode>
                <c:ptCount val="5"/>
                <c:pt idx="0">
                  <c:v>0.97081384471468657</c:v>
                </c:pt>
                <c:pt idx="1">
                  <c:v>1.0368576242628476</c:v>
                </c:pt>
                <c:pt idx="2">
                  <c:v>0.96073135258674425</c:v>
                </c:pt>
                <c:pt idx="3">
                  <c:v>0.92314990512333961</c:v>
                </c:pt>
                <c:pt idx="4">
                  <c:v>0.61641221374045807</c:v>
                </c:pt>
              </c:numCache>
            </c:numRef>
          </c:val>
          <c:smooth val="0"/>
          <c:extLst>
            <c:ext xmlns:c16="http://schemas.microsoft.com/office/drawing/2014/chart" uri="{C3380CC4-5D6E-409C-BE32-E72D297353CC}">
              <c16:uniqueId val="{00000001-99D7-41EB-81B0-F78DAC3DE2D1}"/>
            </c:ext>
          </c:extLst>
        </c:ser>
        <c:ser>
          <c:idx val="2"/>
          <c:order val="2"/>
          <c:tx>
            <c:strRef>
              <c:f>'Ratio Analysis'!$A$25</c:f>
              <c:strCache>
                <c:ptCount val="1"/>
                <c:pt idx="0">
                  <c:v>Accounts payable ratio</c:v>
                </c:pt>
              </c:strCache>
            </c:strRef>
          </c:tx>
          <c:spPr>
            <a:ln w="28575" cap="rnd">
              <a:solidFill>
                <a:schemeClr val="accent3"/>
              </a:solidFill>
              <a:round/>
            </a:ln>
            <a:effectLst/>
          </c:spPr>
          <c:marker>
            <c:symbol val="none"/>
          </c:marker>
          <c:cat>
            <c:numRef>
              <c:f>'Ratio Analysis'!$B$21:$F$21</c:f>
              <c:numCache>
                <c:formatCode>General</c:formatCode>
                <c:ptCount val="5"/>
                <c:pt idx="0">
                  <c:v>2025</c:v>
                </c:pt>
                <c:pt idx="1">
                  <c:v>2024</c:v>
                </c:pt>
                <c:pt idx="2">
                  <c:v>2023</c:v>
                </c:pt>
                <c:pt idx="3">
                  <c:v>2022</c:v>
                </c:pt>
                <c:pt idx="4">
                  <c:v>2021</c:v>
                </c:pt>
              </c:numCache>
            </c:numRef>
          </c:cat>
          <c:val>
            <c:numRef>
              <c:f>'Ratio Analysis'!$B$25:$F$25</c:f>
              <c:numCache>
                <c:formatCode>0.00</c:formatCode>
                <c:ptCount val="5"/>
                <c:pt idx="0">
                  <c:v>1.1301775147928994</c:v>
                </c:pt>
                <c:pt idx="1">
                  <c:v>1.1461538461538461</c:v>
                </c:pt>
                <c:pt idx="2">
                  <c:v>1.0436005625879043</c:v>
                </c:pt>
                <c:pt idx="3">
                  <c:v>0.95154185022026427</c:v>
                </c:pt>
                <c:pt idx="4">
                  <c:v>5.4606741573033704</c:v>
                </c:pt>
              </c:numCache>
            </c:numRef>
          </c:val>
          <c:smooth val="0"/>
          <c:extLst>
            <c:ext xmlns:c16="http://schemas.microsoft.com/office/drawing/2014/chart" uri="{C3380CC4-5D6E-409C-BE32-E72D297353CC}">
              <c16:uniqueId val="{00000002-99D7-41EB-81B0-F78DAC3DE2D1}"/>
            </c:ext>
          </c:extLst>
        </c:ser>
        <c:dLbls>
          <c:showLegendKey val="0"/>
          <c:showVal val="0"/>
          <c:showCatName val="0"/>
          <c:showSerName val="0"/>
          <c:showPercent val="0"/>
          <c:showBubbleSize val="0"/>
        </c:dLbls>
        <c:smooth val="0"/>
        <c:axId val="821683008"/>
        <c:axId val="752914704"/>
      </c:lineChart>
      <c:catAx>
        <c:axId val="82168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2914704"/>
        <c:crosses val="autoZero"/>
        <c:auto val="1"/>
        <c:lblAlgn val="ctr"/>
        <c:lblOffset val="100"/>
        <c:noMultiLvlLbl val="0"/>
      </c:catAx>
      <c:valAx>
        <c:axId val="752914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6830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EPS and DPS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Analysis'!$A$28</c:f>
              <c:strCache>
                <c:ptCount val="1"/>
                <c:pt idx="0">
                  <c:v>Earnings Per Share (EPS) (¢)</c:v>
                </c:pt>
              </c:strCache>
            </c:strRef>
          </c:tx>
          <c:spPr>
            <a:ln w="28575" cap="rnd">
              <a:solidFill>
                <a:schemeClr val="accent1"/>
              </a:solidFill>
              <a:round/>
            </a:ln>
            <a:effectLst/>
          </c:spPr>
          <c:marker>
            <c:symbol val="none"/>
          </c:marker>
          <c:cat>
            <c:numRef>
              <c:f>'Ratio Analysis'!$B$27:$F$27</c:f>
              <c:numCache>
                <c:formatCode>General</c:formatCode>
                <c:ptCount val="5"/>
                <c:pt idx="0">
                  <c:v>2025</c:v>
                </c:pt>
                <c:pt idx="1">
                  <c:v>2024</c:v>
                </c:pt>
                <c:pt idx="2">
                  <c:v>2023</c:v>
                </c:pt>
                <c:pt idx="3">
                  <c:v>2022</c:v>
                </c:pt>
                <c:pt idx="4">
                  <c:v>2021</c:v>
                </c:pt>
              </c:numCache>
            </c:numRef>
          </c:cat>
          <c:val>
            <c:numRef>
              <c:f>'Ratio Analysis'!$B$28:$F$28</c:f>
              <c:numCache>
                <c:formatCode>General</c:formatCode>
                <c:ptCount val="5"/>
                <c:pt idx="0">
                  <c:v>490.9</c:v>
                </c:pt>
                <c:pt idx="1">
                  <c:v>389.6</c:v>
                </c:pt>
                <c:pt idx="2">
                  <c:v>443.8</c:v>
                </c:pt>
                <c:pt idx="3">
                  <c:v>207.2</c:v>
                </c:pt>
                <c:pt idx="4">
                  <c:v>145.4</c:v>
                </c:pt>
              </c:numCache>
            </c:numRef>
          </c:val>
          <c:smooth val="0"/>
          <c:extLst>
            <c:ext xmlns:c16="http://schemas.microsoft.com/office/drawing/2014/chart" uri="{C3380CC4-5D6E-409C-BE32-E72D297353CC}">
              <c16:uniqueId val="{00000000-491E-4DF9-A7E6-EE8B404E4ED2}"/>
            </c:ext>
          </c:extLst>
        </c:ser>
        <c:ser>
          <c:idx val="1"/>
          <c:order val="1"/>
          <c:tx>
            <c:strRef>
              <c:f>'Ratio Analysis'!$A$29</c:f>
              <c:strCache>
                <c:ptCount val="1"/>
                <c:pt idx="0">
                  <c:v>Dividend Per Share (¢)</c:v>
                </c:pt>
              </c:strCache>
            </c:strRef>
          </c:tx>
          <c:spPr>
            <a:ln w="28575" cap="rnd">
              <a:solidFill>
                <a:schemeClr val="accent2"/>
              </a:solidFill>
              <a:round/>
            </a:ln>
            <a:effectLst/>
          </c:spPr>
          <c:marker>
            <c:symbol val="none"/>
          </c:marker>
          <c:cat>
            <c:numRef>
              <c:f>'Ratio Analysis'!$B$27:$F$27</c:f>
              <c:numCache>
                <c:formatCode>General</c:formatCode>
                <c:ptCount val="5"/>
                <c:pt idx="0">
                  <c:v>2025</c:v>
                </c:pt>
                <c:pt idx="1">
                  <c:v>2024</c:v>
                </c:pt>
                <c:pt idx="2">
                  <c:v>2023</c:v>
                </c:pt>
                <c:pt idx="3">
                  <c:v>2022</c:v>
                </c:pt>
                <c:pt idx="4">
                  <c:v>2021</c:v>
                </c:pt>
              </c:numCache>
            </c:numRef>
          </c:cat>
          <c:val>
            <c:numRef>
              <c:f>'Ratio Analysis'!$B$29:$F$29</c:f>
              <c:numCache>
                <c:formatCode>General</c:formatCode>
                <c:ptCount val="5"/>
                <c:pt idx="0">
                  <c:v>184.5</c:v>
                </c:pt>
                <c:pt idx="1">
                  <c:v>167.6</c:v>
                </c:pt>
                <c:pt idx="2">
                  <c:v>152.30000000000001</c:v>
                </c:pt>
                <c:pt idx="3">
                  <c:v>138.4</c:v>
                </c:pt>
                <c:pt idx="4">
                  <c:v>85.9</c:v>
                </c:pt>
              </c:numCache>
            </c:numRef>
          </c:val>
          <c:smooth val="0"/>
          <c:extLst>
            <c:ext xmlns:c16="http://schemas.microsoft.com/office/drawing/2014/chart" uri="{C3380CC4-5D6E-409C-BE32-E72D297353CC}">
              <c16:uniqueId val="{00000001-491E-4DF9-A7E6-EE8B404E4ED2}"/>
            </c:ext>
          </c:extLst>
        </c:ser>
        <c:dLbls>
          <c:showLegendKey val="0"/>
          <c:showVal val="0"/>
          <c:showCatName val="0"/>
          <c:showSerName val="0"/>
          <c:showPercent val="0"/>
          <c:showBubbleSize val="0"/>
        </c:dLbls>
        <c:smooth val="0"/>
        <c:axId val="807123968"/>
        <c:axId val="595502640"/>
      </c:lineChart>
      <c:catAx>
        <c:axId val="807123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502640"/>
        <c:crosses val="autoZero"/>
        <c:auto val="1"/>
        <c:lblAlgn val="ctr"/>
        <c:lblOffset val="100"/>
        <c:noMultiLvlLbl val="0"/>
      </c:catAx>
      <c:valAx>
        <c:axId val="59550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12396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DPR and Dividend Cover</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Analysis'!$A$30</c:f>
              <c:strCache>
                <c:ptCount val="1"/>
                <c:pt idx="0">
                  <c:v>Dividend Payout Ratio</c:v>
                </c:pt>
              </c:strCache>
            </c:strRef>
          </c:tx>
          <c:spPr>
            <a:ln w="28575" cap="rnd">
              <a:solidFill>
                <a:schemeClr val="accent1"/>
              </a:solidFill>
              <a:round/>
            </a:ln>
            <a:effectLst/>
          </c:spPr>
          <c:marker>
            <c:symbol val="none"/>
          </c:marker>
          <c:cat>
            <c:numRef>
              <c:f>'Ratio Analysis'!$B$27:$F$27</c:f>
              <c:numCache>
                <c:formatCode>General</c:formatCode>
                <c:ptCount val="5"/>
                <c:pt idx="0">
                  <c:v>2025</c:v>
                </c:pt>
                <c:pt idx="1">
                  <c:v>2024</c:v>
                </c:pt>
                <c:pt idx="2">
                  <c:v>2023</c:v>
                </c:pt>
                <c:pt idx="3">
                  <c:v>2022</c:v>
                </c:pt>
                <c:pt idx="4">
                  <c:v>2021</c:v>
                </c:pt>
              </c:numCache>
            </c:numRef>
          </c:cat>
          <c:val>
            <c:numRef>
              <c:f>'Ratio Analysis'!$B$30:$F$30</c:f>
              <c:numCache>
                <c:formatCode>0.00</c:formatCode>
                <c:ptCount val="5"/>
                <c:pt idx="0">
                  <c:v>37.584029333876558</c:v>
                </c:pt>
                <c:pt idx="1">
                  <c:v>43.01848049281314</c:v>
                </c:pt>
                <c:pt idx="2">
                  <c:v>34.317260027039211</c:v>
                </c:pt>
                <c:pt idx="3">
                  <c:v>66.795366795366803</c:v>
                </c:pt>
                <c:pt idx="4">
                  <c:v>59.078404401650616</c:v>
                </c:pt>
              </c:numCache>
            </c:numRef>
          </c:val>
          <c:smooth val="0"/>
          <c:extLst>
            <c:ext xmlns:c16="http://schemas.microsoft.com/office/drawing/2014/chart" uri="{C3380CC4-5D6E-409C-BE32-E72D297353CC}">
              <c16:uniqueId val="{00000000-26C7-4F8B-A4F9-12A3843BCD33}"/>
            </c:ext>
          </c:extLst>
        </c:ser>
        <c:ser>
          <c:idx val="1"/>
          <c:order val="1"/>
          <c:tx>
            <c:strRef>
              <c:f>'Ratio Analysis'!$A$31</c:f>
              <c:strCache>
                <c:ptCount val="1"/>
                <c:pt idx="0">
                  <c:v>Dividend Cover </c:v>
                </c:pt>
              </c:strCache>
            </c:strRef>
          </c:tx>
          <c:spPr>
            <a:ln w="28575" cap="rnd">
              <a:solidFill>
                <a:schemeClr val="accent2"/>
              </a:solidFill>
              <a:round/>
            </a:ln>
            <a:effectLst/>
          </c:spPr>
          <c:marker>
            <c:symbol val="none"/>
          </c:marker>
          <c:cat>
            <c:numRef>
              <c:f>'Ratio Analysis'!$B$27:$F$27</c:f>
              <c:numCache>
                <c:formatCode>General</c:formatCode>
                <c:ptCount val="5"/>
                <c:pt idx="0">
                  <c:v>2025</c:v>
                </c:pt>
                <c:pt idx="1">
                  <c:v>2024</c:v>
                </c:pt>
                <c:pt idx="2">
                  <c:v>2023</c:v>
                </c:pt>
                <c:pt idx="3">
                  <c:v>2022</c:v>
                </c:pt>
                <c:pt idx="4">
                  <c:v>2021</c:v>
                </c:pt>
              </c:numCache>
            </c:numRef>
          </c:cat>
          <c:val>
            <c:numRef>
              <c:f>'Ratio Analysis'!$B$31:$F$31</c:f>
              <c:numCache>
                <c:formatCode>0.00</c:formatCode>
                <c:ptCount val="5"/>
                <c:pt idx="0">
                  <c:v>2.6607046070460703</c:v>
                </c:pt>
                <c:pt idx="1">
                  <c:v>2.324582338902148</c:v>
                </c:pt>
                <c:pt idx="2">
                  <c:v>2.913985554826001</c:v>
                </c:pt>
                <c:pt idx="3">
                  <c:v>1.4971098265895952</c:v>
                </c:pt>
                <c:pt idx="4">
                  <c:v>1.6926658905704306</c:v>
                </c:pt>
              </c:numCache>
            </c:numRef>
          </c:val>
          <c:smooth val="0"/>
          <c:extLst>
            <c:ext xmlns:c16="http://schemas.microsoft.com/office/drawing/2014/chart" uri="{C3380CC4-5D6E-409C-BE32-E72D297353CC}">
              <c16:uniqueId val="{00000001-26C7-4F8B-A4F9-12A3843BCD33}"/>
            </c:ext>
          </c:extLst>
        </c:ser>
        <c:dLbls>
          <c:showLegendKey val="0"/>
          <c:showVal val="0"/>
          <c:showCatName val="0"/>
          <c:showSerName val="0"/>
          <c:showPercent val="0"/>
          <c:showBubbleSize val="0"/>
        </c:dLbls>
        <c:smooth val="0"/>
        <c:axId val="821764208"/>
        <c:axId val="595493520"/>
      </c:lineChart>
      <c:catAx>
        <c:axId val="821764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493520"/>
        <c:crosses val="autoZero"/>
        <c:auto val="1"/>
        <c:lblAlgn val="ctr"/>
        <c:lblOffset val="100"/>
        <c:noMultiLvlLbl val="0"/>
      </c:catAx>
      <c:valAx>
        <c:axId val="595493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7642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Trends</a:t>
            </a:r>
            <a:r>
              <a:rPr lang="en-IN" b="1" baseline="0"/>
              <a:t> in Cash Flow Ratios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lineChart>
        <c:grouping val="standard"/>
        <c:varyColors val="0"/>
        <c:ser>
          <c:idx val="0"/>
          <c:order val="0"/>
          <c:tx>
            <c:strRef>
              <c:f>'Ratio Analysis'!$A$34</c:f>
              <c:strCache>
                <c:ptCount val="1"/>
                <c:pt idx="0">
                  <c:v>Operating Cash Flow Ratio</c:v>
                </c:pt>
              </c:strCache>
            </c:strRef>
          </c:tx>
          <c:spPr>
            <a:ln w="28575" cap="rnd">
              <a:solidFill>
                <a:schemeClr val="accent1"/>
              </a:solidFill>
              <a:round/>
            </a:ln>
            <a:effectLst/>
          </c:spPr>
          <c:marker>
            <c:symbol val="none"/>
          </c:marker>
          <c:cat>
            <c:numRef>
              <c:f>'Ratio Analysis'!$B$33:$F$33</c:f>
              <c:numCache>
                <c:formatCode>General</c:formatCode>
                <c:ptCount val="5"/>
                <c:pt idx="0">
                  <c:v>2025</c:v>
                </c:pt>
                <c:pt idx="1">
                  <c:v>2024</c:v>
                </c:pt>
                <c:pt idx="2">
                  <c:v>2023</c:v>
                </c:pt>
                <c:pt idx="3">
                  <c:v>2022</c:v>
                </c:pt>
                <c:pt idx="4">
                  <c:v>2021</c:v>
                </c:pt>
              </c:numCache>
            </c:numRef>
          </c:cat>
          <c:val>
            <c:numRef>
              <c:f>'Ratio Analysis'!$B$34:$F$34</c:f>
              <c:numCache>
                <c:formatCode>0.00</c:formatCode>
                <c:ptCount val="5"/>
                <c:pt idx="0">
                  <c:v>0.42761904761904762</c:v>
                </c:pt>
                <c:pt idx="1">
                  <c:v>0.37551867219917012</c:v>
                </c:pt>
                <c:pt idx="2">
                  <c:v>0.4077625570776256</c:v>
                </c:pt>
                <c:pt idx="3">
                  <c:v>0.41839378238341968</c:v>
                </c:pt>
                <c:pt idx="4">
                  <c:v>0.39162561576354682</c:v>
                </c:pt>
              </c:numCache>
            </c:numRef>
          </c:val>
          <c:smooth val="0"/>
          <c:extLst>
            <c:ext xmlns:c16="http://schemas.microsoft.com/office/drawing/2014/chart" uri="{C3380CC4-5D6E-409C-BE32-E72D297353CC}">
              <c16:uniqueId val="{00000000-D439-4D7F-8C1E-CED79A1C1238}"/>
            </c:ext>
          </c:extLst>
        </c:ser>
        <c:ser>
          <c:idx val="1"/>
          <c:order val="1"/>
          <c:tx>
            <c:strRef>
              <c:f>'Ratio Analysis'!$A$35</c:f>
              <c:strCache>
                <c:ptCount val="1"/>
                <c:pt idx="0">
                  <c:v>Operating Cash Flow to Total Liabilities Ratio</c:v>
                </c:pt>
              </c:strCache>
            </c:strRef>
          </c:tx>
          <c:spPr>
            <a:ln w="28575" cap="rnd">
              <a:solidFill>
                <a:schemeClr val="accent2"/>
              </a:solidFill>
              <a:round/>
            </a:ln>
            <a:effectLst/>
          </c:spPr>
          <c:marker>
            <c:symbol val="none"/>
          </c:marker>
          <c:cat>
            <c:numRef>
              <c:f>'Ratio Analysis'!$B$33:$F$33</c:f>
              <c:numCache>
                <c:formatCode>General</c:formatCode>
                <c:ptCount val="5"/>
                <c:pt idx="0">
                  <c:v>2025</c:v>
                </c:pt>
                <c:pt idx="1">
                  <c:v>2024</c:v>
                </c:pt>
                <c:pt idx="2">
                  <c:v>2023</c:v>
                </c:pt>
                <c:pt idx="3">
                  <c:v>2022</c:v>
                </c:pt>
                <c:pt idx="4">
                  <c:v>2021</c:v>
                </c:pt>
              </c:numCache>
            </c:numRef>
          </c:cat>
          <c:val>
            <c:numRef>
              <c:f>'Ratio Analysis'!$B$35:$F$35</c:f>
              <c:numCache>
                <c:formatCode>0.00</c:formatCode>
                <c:ptCount val="5"/>
                <c:pt idx="0">
                  <c:v>0.11112486078455637</c:v>
                </c:pt>
                <c:pt idx="1">
                  <c:v>0.10260770975056689</c:v>
                </c:pt>
                <c:pt idx="2">
                  <c:v>0.13212013611480988</c:v>
                </c:pt>
                <c:pt idx="3">
                  <c:v>0.11092032967032966</c:v>
                </c:pt>
                <c:pt idx="4">
                  <c:v>0.43147896879240161</c:v>
                </c:pt>
              </c:numCache>
            </c:numRef>
          </c:val>
          <c:smooth val="0"/>
          <c:extLst>
            <c:ext xmlns:c16="http://schemas.microsoft.com/office/drawing/2014/chart" uri="{C3380CC4-5D6E-409C-BE32-E72D297353CC}">
              <c16:uniqueId val="{00000001-D439-4D7F-8C1E-CED79A1C1238}"/>
            </c:ext>
          </c:extLst>
        </c:ser>
        <c:ser>
          <c:idx val="2"/>
          <c:order val="2"/>
          <c:tx>
            <c:strRef>
              <c:f>'Ratio Analysis'!$A$36</c:f>
              <c:strCache>
                <c:ptCount val="1"/>
                <c:pt idx="0">
                  <c:v>Cash Flow Margin Ratio</c:v>
                </c:pt>
              </c:strCache>
            </c:strRef>
          </c:tx>
          <c:spPr>
            <a:ln w="28575" cap="rnd">
              <a:solidFill>
                <a:schemeClr val="accent3"/>
              </a:solidFill>
              <a:round/>
            </a:ln>
            <a:effectLst/>
          </c:spPr>
          <c:marker>
            <c:symbol val="none"/>
          </c:marker>
          <c:cat>
            <c:numRef>
              <c:f>'Ratio Analysis'!$B$33:$F$33</c:f>
              <c:numCache>
                <c:formatCode>General</c:formatCode>
                <c:ptCount val="5"/>
                <c:pt idx="0">
                  <c:v>2025</c:v>
                </c:pt>
                <c:pt idx="1">
                  <c:v>2024</c:v>
                </c:pt>
                <c:pt idx="2">
                  <c:v>2023</c:v>
                </c:pt>
                <c:pt idx="3">
                  <c:v>2022</c:v>
                </c:pt>
                <c:pt idx="4">
                  <c:v>2021</c:v>
                </c:pt>
              </c:numCache>
            </c:numRef>
          </c:cat>
          <c:val>
            <c:numRef>
              <c:f>'Ratio Analysis'!$B$36:$F$36</c:f>
              <c:numCache>
                <c:formatCode>0.00</c:formatCode>
                <c:ptCount val="5"/>
                <c:pt idx="0">
                  <c:v>17.305839275390248</c:v>
                </c:pt>
                <c:pt idx="1">
                  <c:v>14.706479788746698</c:v>
                </c:pt>
                <c:pt idx="2">
                  <c:v>19.31228373702422</c:v>
                </c:pt>
                <c:pt idx="3">
                  <c:v>16.59815005138746</c:v>
                </c:pt>
                <c:pt idx="4">
                  <c:v>21.878224974200204</c:v>
                </c:pt>
              </c:numCache>
            </c:numRef>
          </c:val>
          <c:smooth val="0"/>
          <c:extLst>
            <c:ext xmlns:c16="http://schemas.microsoft.com/office/drawing/2014/chart" uri="{C3380CC4-5D6E-409C-BE32-E72D297353CC}">
              <c16:uniqueId val="{00000002-D439-4D7F-8C1E-CED79A1C1238}"/>
            </c:ext>
          </c:extLst>
        </c:ser>
        <c:dLbls>
          <c:showLegendKey val="0"/>
          <c:showVal val="0"/>
          <c:showCatName val="0"/>
          <c:showSerName val="0"/>
          <c:showPercent val="0"/>
          <c:showBubbleSize val="0"/>
        </c:dLbls>
        <c:smooth val="0"/>
        <c:axId val="821646352"/>
        <c:axId val="595497360"/>
      </c:lineChart>
      <c:catAx>
        <c:axId val="82164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497360"/>
        <c:crosses val="autoZero"/>
        <c:auto val="1"/>
        <c:lblAlgn val="ctr"/>
        <c:lblOffset val="100"/>
        <c:noMultiLvlLbl val="0"/>
      </c:catAx>
      <c:valAx>
        <c:axId val="595497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6463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Working Capital Management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'Working capital '!$A$3</c:f>
              <c:strCache>
                <c:ptCount val="1"/>
                <c:pt idx="0">
                  <c:v>Inventory Turnover ratio</c:v>
                </c:pt>
              </c:strCache>
            </c:strRef>
          </c:tx>
          <c:spPr>
            <a:ln w="28575" cap="rnd">
              <a:solidFill>
                <a:schemeClr val="accent1"/>
              </a:solidFill>
              <a:round/>
            </a:ln>
            <a:effectLst/>
          </c:spPr>
          <c:marker>
            <c:symbol val="none"/>
          </c:marker>
          <c:cat>
            <c:numRef>
              <c:f>'Working capital '!$B$2:$F$2</c:f>
              <c:numCache>
                <c:formatCode>General</c:formatCode>
                <c:ptCount val="5"/>
                <c:pt idx="0">
                  <c:v>2025</c:v>
                </c:pt>
                <c:pt idx="1">
                  <c:v>2024</c:v>
                </c:pt>
                <c:pt idx="2">
                  <c:v>2023</c:v>
                </c:pt>
                <c:pt idx="3">
                  <c:v>2022</c:v>
                </c:pt>
                <c:pt idx="4">
                  <c:v>2021</c:v>
                </c:pt>
              </c:numCache>
            </c:numRef>
          </c:cat>
          <c:val>
            <c:numRef>
              <c:f>'Working capital '!$B$3:$F$3</c:f>
              <c:numCache>
                <c:formatCode>General</c:formatCode>
                <c:ptCount val="5"/>
                <c:pt idx="0">
                  <c:v>152.80000000000001</c:v>
                </c:pt>
                <c:pt idx="1">
                  <c:v>186.25</c:v>
                </c:pt>
                <c:pt idx="2">
                  <c:v>148.4</c:v>
                </c:pt>
                <c:pt idx="3">
                  <c:v>162</c:v>
                </c:pt>
                <c:pt idx="4">
                  <c:v>121.5</c:v>
                </c:pt>
              </c:numCache>
            </c:numRef>
          </c:val>
          <c:smooth val="0"/>
          <c:extLst>
            <c:ext xmlns:c16="http://schemas.microsoft.com/office/drawing/2014/chart" uri="{C3380CC4-5D6E-409C-BE32-E72D297353CC}">
              <c16:uniqueId val="{00000000-2FAB-45C4-A173-80E78E92CAC7}"/>
            </c:ext>
          </c:extLst>
        </c:ser>
        <c:ser>
          <c:idx val="1"/>
          <c:order val="1"/>
          <c:tx>
            <c:strRef>
              <c:f>'Working capital '!$A$4</c:f>
              <c:strCache>
                <c:ptCount val="1"/>
                <c:pt idx="0">
                  <c:v>Recievable turnover ratio</c:v>
                </c:pt>
              </c:strCache>
            </c:strRef>
          </c:tx>
          <c:spPr>
            <a:ln w="28575" cap="rnd">
              <a:solidFill>
                <a:schemeClr val="accent2"/>
              </a:solidFill>
              <a:round/>
            </a:ln>
            <a:effectLst/>
          </c:spPr>
          <c:marker>
            <c:symbol val="none"/>
          </c:marker>
          <c:cat>
            <c:numRef>
              <c:f>'Working capital '!$B$2:$F$2</c:f>
              <c:numCache>
                <c:formatCode>General</c:formatCode>
                <c:ptCount val="5"/>
                <c:pt idx="0">
                  <c:v>2025</c:v>
                </c:pt>
                <c:pt idx="1">
                  <c:v>2024</c:v>
                </c:pt>
                <c:pt idx="2">
                  <c:v>2023</c:v>
                </c:pt>
                <c:pt idx="3">
                  <c:v>2022</c:v>
                </c:pt>
                <c:pt idx="4">
                  <c:v>2021</c:v>
                </c:pt>
              </c:numCache>
            </c:numRef>
          </c:cat>
          <c:val>
            <c:numRef>
              <c:f>'Working capital '!$B$4:$F$4</c:f>
              <c:numCache>
                <c:formatCode>0.00</c:formatCode>
                <c:ptCount val="5"/>
                <c:pt idx="0">
                  <c:v>6.2292917166866744</c:v>
                </c:pt>
                <c:pt idx="1">
                  <c:v>6.2713375796178346</c:v>
                </c:pt>
                <c:pt idx="2">
                  <c:v>6.2486486486486488</c:v>
                </c:pt>
                <c:pt idx="3">
                  <c:v>6.0247678018575854</c:v>
                </c:pt>
                <c:pt idx="4">
                  <c:v>5.0644599303135891</c:v>
                </c:pt>
              </c:numCache>
            </c:numRef>
          </c:val>
          <c:smooth val="0"/>
          <c:extLst>
            <c:ext xmlns:c16="http://schemas.microsoft.com/office/drawing/2014/chart" uri="{C3380CC4-5D6E-409C-BE32-E72D297353CC}">
              <c16:uniqueId val="{00000001-2FAB-45C4-A173-80E78E92CAC7}"/>
            </c:ext>
          </c:extLst>
        </c:ser>
        <c:ser>
          <c:idx val="2"/>
          <c:order val="2"/>
          <c:tx>
            <c:strRef>
              <c:f>'Working capital '!$A$5</c:f>
              <c:strCache>
                <c:ptCount val="1"/>
                <c:pt idx="0">
                  <c:v>Days Sales Outstanding</c:v>
                </c:pt>
              </c:strCache>
            </c:strRef>
          </c:tx>
          <c:spPr>
            <a:ln w="28575" cap="rnd">
              <a:solidFill>
                <a:schemeClr val="accent3"/>
              </a:solidFill>
              <a:round/>
            </a:ln>
            <a:effectLst/>
          </c:spPr>
          <c:marker>
            <c:symbol val="none"/>
          </c:marker>
          <c:cat>
            <c:numRef>
              <c:f>'Working capital '!$B$2:$F$2</c:f>
              <c:numCache>
                <c:formatCode>General</c:formatCode>
                <c:ptCount val="5"/>
                <c:pt idx="0">
                  <c:v>2025</c:v>
                </c:pt>
                <c:pt idx="1">
                  <c:v>2024</c:v>
                </c:pt>
                <c:pt idx="2">
                  <c:v>2023</c:v>
                </c:pt>
                <c:pt idx="3">
                  <c:v>2022</c:v>
                </c:pt>
                <c:pt idx="4">
                  <c:v>2021</c:v>
                </c:pt>
              </c:numCache>
            </c:numRef>
          </c:cat>
          <c:val>
            <c:numRef>
              <c:f>'Working capital '!$B$5:$F$5</c:f>
              <c:numCache>
                <c:formatCode>0.00</c:formatCode>
                <c:ptCount val="5"/>
                <c:pt idx="0">
                  <c:v>58.59414145307381</c:v>
                </c:pt>
                <c:pt idx="1">
                  <c:v>58.201300020312814</c:v>
                </c:pt>
                <c:pt idx="2">
                  <c:v>58.412629757785467</c:v>
                </c:pt>
                <c:pt idx="3">
                  <c:v>60.583247687564231</c:v>
                </c:pt>
                <c:pt idx="4">
                  <c:v>72.070863433092526</c:v>
                </c:pt>
              </c:numCache>
            </c:numRef>
          </c:val>
          <c:smooth val="0"/>
          <c:extLst>
            <c:ext xmlns:c16="http://schemas.microsoft.com/office/drawing/2014/chart" uri="{C3380CC4-5D6E-409C-BE32-E72D297353CC}">
              <c16:uniqueId val="{00000002-2FAB-45C4-A173-80E78E92CAC7}"/>
            </c:ext>
          </c:extLst>
        </c:ser>
        <c:ser>
          <c:idx val="3"/>
          <c:order val="3"/>
          <c:tx>
            <c:strRef>
              <c:f>'Working capital '!$A$6</c:f>
              <c:strCache>
                <c:ptCount val="1"/>
                <c:pt idx="0">
                  <c:v>Accounts payable ratio</c:v>
                </c:pt>
              </c:strCache>
            </c:strRef>
          </c:tx>
          <c:spPr>
            <a:ln w="28575" cap="rnd">
              <a:solidFill>
                <a:schemeClr val="accent4"/>
              </a:solidFill>
              <a:round/>
            </a:ln>
            <a:effectLst/>
          </c:spPr>
          <c:marker>
            <c:symbol val="none"/>
          </c:marker>
          <c:cat>
            <c:numRef>
              <c:f>'Working capital '!$B$2:$F$2</c:f>
              <c:numCache>
                <c:formatCode>General</c:formatCode>
                <c:ptCount val="5"/>
                <c:pt idx="0">
                  <c:v>2025</c:v>
                </c:pt>
                <c:pt idx="1">
                  <c:v>2024</c:v>
                </c:pt>
                <c:pt idx="2">
                  <c:v>2023</c:v>
                </c:pt>
                <c:pt idx="3">
                  <c:v>2022</c:v>
                </c:pt>
                <c:pt idx="4">
                  <c:v>2021</c:v>
                </c:pt>
              </c:numCache>
            </c:numRef>
          </c:cat>
          <c:val>
            <c:numRef>
              <c:f>'Working capital '!$B$6:$F$6</c:f>
              <c:numCache>
                <c:formatCode>0.00</c:formatCode>
                <c:ptCount val="5"/>
                <c:pt idx="0">
                  <c:v>1.1301775147928994</c:v>
                </c:pt>
                <c:pt idx="1">
                  <c:v>1.1461538461538461</c:v>
                </c:pt>
                <c:pt idx="2">
                  <c:v>1.0436005625879043</c:v>
                </c:pt>
                <c:pt idx="3">
                  <c:v>0.95154185022026427</c:v>
                </c:pt>
                <c:pt idx="4">
                  <c:v>5.4606741573033704</c:v>
                </c:pt>
              </c:numCache>
            </c:numRef>
          </c:val>
          <c:smooth val="0"/>
          <c:extLst>
            <c:ext xmlns:c16="http://schemas.microsoft.com/office/drawing/2014/chart" uri="{C3380CC4-5D6E-409C-BE32-E72D297353CC}">
              <c16:uniqueId val="{00000003-2FAB-45C4-A173-80E78E92CAC7}"/>
            </c:ext>
          </c:extLst>
        </c:ser>
        <c:ser>
          <c:idx val="4"/>
          <c:order val="4"/>
          <c:tx>
            <c:strRef>
              <c:f>'Working capital '!$A$7</c:f>
              <c:strCache>
                <c:ptCount val="1"/>
                <c:pt idx="0">
                  <c:v>Days Payable Outstanding</c:v>
                </c:pt>
              </c:strCache>
            </c:strRef>
          </c:tx>
          <c:spPr>
            <a:ln w="28575" cap="rnd">
              <a:solidFill>
                <a:schemeClr val="accent5"/>
              </a:solidFill>
              <a:round/>
            </a:ln>
            <a:effectLst/>
          </c:spPr>
          <c:marker>
            <c:symbol val="none"/>
          </c:marker>
          <c:cat>
            <c:numRef>
              <c:f>'Working capital '!$B$2:$F$2</c:f>
              <c:numCache>
                <c:formatCode>General</c:formatCode>
                <c:ptCount val="5"/>
                <c:pt idx="0">
                  <c:v>2025</c:v>
                </c:pt>
                <c:pt idx="1">
                  <c:v>2024</c:v>
                </c:pt>
                <c:pt idx="2">
                  <c:v>2023</c:v>
                </c:pt>
                <c:pt idx="3">
                  <c:v>2022</c:v>
                </c:pt>
                <c:pt idx="4">
                  <c:v>2021</c:v>
                </c:pt>
              </c:numCache>
            </c:numRef>
          </c:cat>
          <c:val>
            <c:numRef>
              <c:f>'Working capital '!$B$7:$F$7</c:f>
              <c:numCache>
                <c:formatCode>0.00</c:formatCode>
                <c:ptCount val="5"/>
                <c:pt idx="0">
                  <c:v>322.95811518324609</c:v>
                </c:pt>
                <c:pt idx="1">
                  <c:v>318.45637583892619</c:v>
                </c:pt>
                <c:pt idx="2">
                  <c:v>349.75067385444743</c:v>
                </c:pt>
                <c:pt idx="3">
                  <c:v>383.58796296296299</c:v>
                </c:pt>
                <c:pt idx="4">
                  <c:v>66.841563786008237</c:v>
                </c:pt>
              </c:numCache>
            </c:numRef>
          </c:val>
          <c:smooth val="0"/>
          <c:extLst>
            <c:ext xmlns:c16="http://schemas.microsoft.com/office/drawing/2014/chart" uri="{C3380CC4-5D6E-409C-BE32-E72D297353CC}">
              <c16:uniqueId val="{00000004-2FAB-45C4-A173-80E78E92CAC7}"/>
            </c:ext>
          </c:extLst>
        </c:ser>
        <c:dLbls>
          <c:showLegendKey val="0"/>
          <c:showVal val="0"/>
          <c:showCatName val="0"/>
          <c:showSerName val="0"/>
          <c:showPercent val="0"/>
          <c:showBubbleSize val="0"/>
        </c:dLbls>
        <c:smooth val="0"/>
        <c:axId val="821739152"/>
        <c:axId val="745029584"/>
      </c:lineChart>
      <c:catAx>
        <c:axId val="82173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029584"/>
        <c:crosses val="autoZero"/>
        <c:auto val="1"/>
        <c:lblAlgn val="ctr"/>
        <c:lblOffset val="100"/>
        <c:noMultiLvlLbl val="0"/>
      </c:catAx>
      <c:valAx>
        <c:axId val="745029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7391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3A70F-3841-460C-9237-CCADCE2F7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36</Pages>
  <Words>8475</Words>
  <Characters>53226</Characters>
  <Application>Microsoft Office Word</Application>
  <DocSecurity>0</DocSecurity>
  <Lines>1400</Lines>
  <Paragraphs>587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61114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Lakmi SIngh</dc:creator>
  <cp:keywords/>
  <dc:description/>
  <cp:lastModifiedBy>Shreman Bhushanbhai Mankad (2537843)</cp:lastModifiedBy>
  <cp:revision>3</cp:revision>
  <dcterms:created xsi:type="dcterms:W3CDTF">2026-07-23T14:56:00Z</dcterms:created>
  <dcterms:modified xsi:type="dcterms:W3CDTF">2026-07-23T15:01:00Z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61f0b730-199b-41ff-bb1d-29b6a062c278</vt:lpwstr>
  </property>
</Properties>
</file>