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68550" w14:textId="71C032DF" w:rsidR="000264A1" w:rsidRDefault="000264A1" w:rsidP="000264A1">
      <w:r>
        <w:fldChar w:fldCharType="begin"/>
      </w:r>
      <w:r w:rsidR="005914B7">
        <w:instrText xml:space="preserve"> INCLUDEPICTURE "C:\\Users\\biancasanfilippo\\Library\\Group Containers\\UBF8T346G9.ms\\WebArchiveCopyPasteTempFiles\\com.microsoft.Word\\UWTSD-Logo.jpg" \* MERGEFORMAT </w:instrText>
      </w:r>
      <w:r>
        <w:fldChar w:fldCharType="separate"/>
      </w:r>
      <w:r>
        <w:rPr>
          <w:noProof/>
        </w:rPr>
        <w:drawing>
          <wp:inline distT="0" distB="0" distL="0" distR="0" wp14:anchorId="351214E0" wp14:editId="7163A632">
            <wp:extent cx="3347049" cy="1339785"/>
            <wp:effectExtent l="0" t="0" r="0" b="0"/>
            <wp:docPr id="644124987"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29590" cy="1412854"/>
                    </a:xfrm>
                    <a:prstGeom prst="rect">
                      <a:avLst/>
                    </a:prstGeom>
                    <a:noFill/>
                    <a:ln>
                      <a:noFill/>
                    </a:ln>
                  </pic:spPr>
                </pic:pic>
              </a:graphicData>
            </a:graphic>
          </wp:inline>
        </w:drawing>
      </w:r>
      <w:r>
        <w:fldChar w:fldCharType="end"/>
      </w:r>
    </w:p>
    <w:p w14:paraId="26F548A6" w14:textId="77777777" w:rsidR="000264A1" w:rsidRDefault="000264A1" w:rsidP="000264A1">
      <w:pPr>
        <w:rPr>
          <w:rStyle w:val="Strong"/>
          <w:rFonts w:ascii="Segoe UI" w:hAnsi="Segoe UI" w:cs="Segoe UI"/>
          <w:color w:val="1D2125"/>
        </w:rPr>
      </w:pPr>
    </w:p>
    <w:p w14:paraId="5CD81D6D" w14:textId="77777777" w:rsidR="000264A1" w:rsidRPr="000264A1" w:rsidRDefault="000264A1" w:rsidP="000264A1">
      <w:pPr>
        <w:rPr>
          <w:rStyle w:val="Strong"/>
          <w:rFonts w:ascii="Arial" w:hAnsi="Arial" w:cs="Arial"/>
          <w:color w:val="1D2125"/>
          <w:sz w:val="36"/>
          <w:szCs w:val="36"/>
        </w:rPr>
      </w:pPr>
    </w:p>
    <w:p w14:paraId="63EE22A3" w14:textId="77777777" w:rsidR="000264A1" w:rsidRPr="000264A1" w:rsidRDefault="000264A1" w:rsidP="000264A1">
      <w:pPr>
        <w:jc w:val="center"/>
        <w:rPr>
          <w:rStyle w:val="Strong"/>
          <w:rFonts w:ascii="Arial" w:hAnsi="Arial" w:cs="Arial"/>
          <w:color w:val="1D2125"/>
          <w:sz w:val="36"/>
          <w:szCs w:val="36"/>
        </w:rPr>
      </w:pPr>
    </w:p>
    <w:p w14:paraId="195602A5" w14:textId="1473614C" w:rsidR="00722ABC" w:rsidRPr="000264A1" w:rsidRDefault="000264A1" w:rsidP="000264A1">
      <w:pPr>
        <w:jc w:val="center"/>
        <w:rPr>
          <w:rStyle w:val="Strong"/>
          <w:rFonts w:ascii="Arial" w:hAnsi="Arial" w:cs="Arial"/>
          <w:color w:val="1D2125"/>
          <w:sz w:val="36"/>
          <w:szCs w:val="36"/>
        </w:rPr>
      </w:pPr>
      <w:r w:rsidRPr="000264A1">
        <w:rPr>
          <w:rStyle w:val="Strong"/>
          <w:rFonts w:ascii="Arial" w:hAnsi="Arial" w:cs="Arial"/>
          <w:color w:val="1D2125"/>
          <w:sz w:val="36"/>
          <w:szCs w:val="36"/>
        </w:rPr>
        <w:t>BMHP6029-Psychopathological Classifications and Provisions</w:t>
      </w:r>
    </w:p>
    <w:p w14:paraId="2A88E453" w14:textId="77777777" w:rsidR="000264A1" w:rsidRDefault="000264A1" w:rsidP="000264A1">
      <w:pPr>
        <w:jc w:val="center"/>
        <w:rPr>
          <w:rStyle w:val="Strong"/>
          <w:rFonts w:ascii="Arial" w:hAnsi="Arial" w:cs="Arial"/>
          <w:color w:val="1D2125"/>
          <w:sz w:val="36"/>
          <w:szCs w:val="36"/>
        </w:rPr>
      </w:pPr>
    </w:p>
    <w:p w14:paraId="34AAAB14" w14:textId="77777777" w:rsidR="000264A1" w:rsidRDefault="000264A1" w:rsidP="000264A1">
      <w:pPr>
        <w:jc w:val="center"/>
        <w:rPr>
          <w:rStyle w:val="Strong"/>
          <w:rFonts w:ascii="Arial" w:hAnsi="Arial" w:cs="Arial"/>
          <w:color w:val="1D2125"/>
          <w:sz w:val="36"/>
          <w:szCs w:val="36"/>
        </w:rPr>
      </w:pPr>
    </w:p>
    <w:p w14:paraId="723DF23E" w14:textId="77777777" w:rsidR="000264A1" w:rsidRPr="000264A1" w:rsidRDefault="000264A1" w:rsidP="000264A1">
      <w:pPr>
        <w:jc w:val="center"/>
        <w:rPr>
          <w:rStyle w:val="Strong"/>
          <w:rFonts w:ascii="Arial" w:hAnsi="Arial" w:cs="Arial"/>
          <w:color w:val="1D2125"/>
          <w:sz w:val="36"/>
          <w:szCs w:val="36"/>
        </w:rPr>
      </w:pPr>
    </w:p>
    <w:p w14:paraId="25159706" w14:textId="77777777" w:rsidR="000264A1" w:rsidRPr="000264A1" w:rsidRDefault="000264A1" w:rsidP="000264A1">
      <w:pPr>
        <w:rPr>
          <w:rStyle w:val="Strong"/>
          <w:rFonts w:ascii="Arial" w:hAnsi="Arial" w:cs="Arial"/>
          <w:b w:val="0"/>
          <w:bCs w:val="0"/>
          <w:color w:val="1D2125"/>
          <w:sz w:val="32"/>
          <w:szCs w:val="32"/>
        </w:rPr>
      </w:pPr>
      <w:r w:rsidRPr="000264A1">
        <w:rPr>
          <w:rFonts w:ascii="Arial" w:hAnsi="Arial" w:cs="Arial"/>
          <w:b/>
          <w:bCs/>
          <w:color w:val="000000"/>
          <w:sz w:val="32"/>
          <w:szCs w:val="32"/>
        </w:rPr>
        <w:t>Component 2: Written Assignment (Report)</w:t>
      </w:r>
      <w:r w:rsidRPr="000264A1">
        <w:rPr>
          <w:rStyle w:val="Strong"/>
          <w:rFonts w:ascii="Arial" w:hAnsi="Arial" w:cs="Arial"/>
          <w:b w:val="0"/>
          <w:bCs w:val="0"/>
          <w:color w:val="1D2125"/>
          <w:sz w:val="32"/>
          <w:szCs w:val="32"/>
        </w:rPr>
        <w:t xml:space="preserve"> </w:t>
      </w:r>
    </w:p>
    <w:p w14:paraId="3DB89340" w14:textId="419A0D5B"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name</w:t>
      </w:r>
      <w:r w:rsidR="007A41BC">
        <w:rPr>
          <w:rStyle w:val="Strong"/>
          <w:rFonts w:ascii="Arial" w:hAnsi="Arial" w:cs="Arial"/>
          <w:color w:val="1D2125"/>
          <w:sz w:val="32"/>
          <w:szCs w:val="32"/>
        </w:rPr>
        <w:t>: Monica Ana Oprea</w:t>
      </w:r>
    </w:p>
    <w:p w14:paraId="3F25C99D" w14:textId="4CE7D86B" w:rsidR="000264A1" w:rsidRPr="000264A1" w:rsidRDefault="000264A1" w:rsidP="000264A1">
      <w:pPr>
        <w:rPr>
          <w:rStyle w:val="Strong"/>
          <w:rFonts w:ascii="Arial" w:hAnsi="Arial" w:cs="Arial"/>
          <w:color w:val="1D2125"/>
          <w:sz w:val="32"/>
          <w:szCs w:val="32"/>
        </w:rPr>
      </w:pPr>
      <w:r w:rsidRPr="000264A1">
        <w:rPr>
          <w:rStyle w:val="Strong"/>
          <w:rFonts w:ascii="Arial" w:hAnsi="Arial" w:cs="Arial"/>
          <w:color w:val="1D2125"/>
          <w:sz w:val="32"/>
          <w:szCs w:val="32"/>
        </w:rPr>
        <w:t>Student number</w:t>
      </w:r>
      <w:r w:rsidR="007A41BC">
        <w:rPr>
          <w:rStyle w:val="Strong"/>
          <w:rFonts w:ascii="Arial" w:hAnsi="Arial" w:cs="Arial"/>
          <w:color w:val="1D2125"/>
          <w:sz w:val="32"/>
          <w:szCs w:val="32"/>
        </w:rPr>
        <w:t>: 2315596</w:t>
      </w:r>
    </w:p>
    <w:p w14:paraId="7DD82387" w14:textId="77777777" w:rsidR="000264A1" w:rsidRDefault="000264A1" w:rsidP="000264A1">
      <w:pPr>
        <w:rPr>
          <w:rFonts w:ascii="Arial" w:hAnsi="Arial" w:cs="Arial"/>
          <w:sz w:val="36"/>
          <w:szCs w:val="36"/>
        </w:rPr>
      </w:pPr>
    </w:p>
    <w:p w14:paraId="563A7395" w14:textId="77777777" w:rsidR="000264A1" w:rsidRDefault="000264A1" w:rsidP="000264A1">
      <w:pPr>
        <w:rPr>
          <w:rFonts w:ascii="Arial" w:hAnsi="Arial" w:cs="Arial"/>
          <w:sz w:val="36"/>
          <w:szCs w:val="36"/>
        </w:rPr>
      </w:pPr>
    </w:p>
    <w:p w14:paraId="5805392B" w14:textId="77777777" w:rsidR="000264A1" w:rsidRDefault="000264A1" w:rsidP="000264A1">
      <w:pPr>
        <w:rPr>
          <w:rFonts w:ascii="Arial" w:hAnsi="Arial" w:cs="Arial"/>
          <w:sz w:val="36"/>
          <w:szCs w:val="36"/>
        </w:rPr>
      </w:pPr>
    </w:p>
    <w:p w14:paraId="4F5FBEC9" w14:textId="77777777" w:rsidR="000264A1" w:rsidRDefault="000264A1" w:rsidP="000264A1">
      <w:pPr>
        <w:rPr>
          <w:rFonts w:ascii="Arial" w:hAnsi="Arial" w:cs="Arial"/>
          <w:sz w:val="36"/>
          <w:szCs w:val="36"/>
        </w:rPr>
      </w:pPr>
    </w:p>
    <w:p w14:paraId="1DC432D4" w14:textId="77777777" w:rsidR="000264A1" w:rsidRDefault="000264A1" w:rsidP="000264A1">
      <w:pPr>
        <w:rPr>
          <w:rFonts w:ascii="Arial" w:hAnsi="Arial" w:cs="Arial"/>
          <w:sz w:val="36"/>
          <w:szCs w:val="36"/>
        </w:rPr>
      </w:pPr>
    </w:p>
    <w:p w14:paraId="6B65CDD9" w14:textId="77777777" w:rsidR="008A6D32" w:rsidRDefault="008A6D32" w:rsidP="000264A1">
      <w:pPr>
        <w:rPr>
          <w:rFonts w:ascii="Arial" w:hAnsi="Arial" w:cs="Arial"/>
          <w:sz w:val="36"/>
          <w:szCs w:val="36"/>
        </w:rPr>
      </w:pPr>
    </w:p>
    <w:p w14:paraId="1DEC40D5" w14:textId="77777777" w:rsidR="000264A1" w:rsidRDefault="000264A1" w:rsidP="000264A1">
      <w:pPr>
        <w:rPr>
          <w:rFonts w:ascii="Arial" w:hAnsi="Arial" w:cs="Arial"/>
          <w:sz w:val="36"/>
          <w:szCs w:val="36"/>
        </w:rPr>
      </w:pPr>
    </w:p>
    <w:p w14:paraId="432AEE04" w14:textId="77777777" w:rsidR="000264A1" w:rsidRDefault="000264A1" w:rsidP="000264A1">
      <w:pPr>
        <w:rPr>
          <w:rFonts w:ascii="Arial" w:hAnsi="Arial" w:cs="Arial"/>
          <w:sz w:val="36"/>
          <w:szCs w:val="36"/>
        </w:rPr>
      </w:pPr>
    </w:p>
    <w:p w14:paraId="102FA1CE" w14:textId="77777777" w:rsidR="007A41BC" w:rsidRPr="007A41BC" w:rsidRDefault="007A41BC" w:rsidP="007A41BC">
      <w:pPr>
        <w:spacing w:line="360" w:lineRule="auto"/>
        <w:jc w:val="both"/>
        <w:rPr>
          <w:rFonts w:ascii="Arial" w:hAnsi="Arial" w:cs="Arial"/>
          <w:sz w:val="22"/>
          <w:szCs w:val="22"/>
        </w:rPr>
      </w:pPr>
    </w:p>
    <w:p w14:paraId="0E5F10BD" w14:textId="77777777" w:rsidR="007A41BC" w:rsidRPr="007A41BC" w:rsidRDefault="007A41BC" w:rsidP="007A41BC">
      <w:pPr>
        <w:pStyle w:val="Heading1"/>
      </w:pPr>
      <w:r w:rsidRPr="007A41BC">
        <w:t>Introduction</w:t>
      </w:r>
    </w:p>
    <w:p w14:paraId="7011DF46" w14:textId="77777777" w:rsidR="007A41BC" w:rsidRPr="007A41BC" w:rsidRDefault="007A41BC" w:rsidP="007A41BC">
      <w:pPr>
        <w:spacing w:line="360" w:lineRule="auto"/>
        <w:jc w:val="both"/>
        <w:rPr>
          <w:rFonts w:ascii="Arial" w:hAnsi="Arial" w:cs="Arial"/>
          <w:sz w:val="22"/>
          <w:szCs w:val="22"/>
        </w:rPr>
      </w:pPr>
    </w:p>
    <w:p w14:paraId="78AF7E9B" w14:textId="056B7D61" w:rsidR="007A41BC" w:rsidRPr="001A4986" w:rsidRDefault="007A41BC" w:rsidP="007A41BC">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Tourette’s syndrome (TS) is a neurodevelopmental condition characterised by the presence of motor and vocal tics with onset in childhood. Although formally recognised for decades, its classification, diagnosis, and treatment remain subject to ongoing debate. These debates draw on emerging research, shifting understandings of neurodivergence, and tensions between medical and social models of disability. In practice, these issues have implications for service provision, public health policy, and the lived experience of those with TS. This report provides a critical analysis of the classification of TS within the International Classification of Diseases, 11th Revision (ICD-11), explores standard treatment and rehabilitation approaches, and evaluates emerging issues surrounding reclassification and neurodiversity-informed practice. Recommendations for improving diagnosis, treatment pathways, and policy are offered, with consideration of their relevance for clinicians, service planners, educators, and community stakeholders</w:t>
      </w:r>
      <w:r w:rsidR="00322557">
        <w:rPr>
          <w:rFonts w:ascii="Arial" w:hAnsi="Arial" w:cs="Arial"/>
          <w:color w:val="000000" w:themeColor="text1"/>
          <w:sz w:val="22"/>
          <w:szCs w:val="22"/>
        </w:rPr>
        <w:t xml:space="preserve"> (</w:t>
      </w:r>
      <w:r w:rsidR="00322557">
        <w:rPr>
          <w:rFonts w:ascii="Source Sans Pro" w:hAnsi="Source Sans Pro"/>
          <w:color w:val="3A3A3A"/>
          <w:sz w:val="23"/>
          <w:szCs w:val="23"/>
          <w:shd w:val="clear" w:color="auto" w:fill="FFFFFF"/>
        </w:rPr>
        <w:t>Yilmaz</w:t>
      </w:r>
      <w:r w:rsidR="00322557">
        <w:rPr>
          <w:rFonts w:ascii="Source Sans Pro" w:hAnsi="Source Sans Pro"/>
          <w:color w:val="3A3A3A"/>
          <w:sz w:val="23"/>
          <w:szCs w:val="23"/>
          <w:shd w:val="clear" w:color="auto" w:fill="FFFFFF"/>
        </w:rPr>
        <w:t xml:space="preserve"> </w:t>
      </w:r>
      <w:r w:rsidR="00322557">
        <w:rPr>
          <w:rFonts w:ascii="Source Sans Pro" w:hAnsi="Source Sans Pro"/>
          <w:color w:val="3A3A3A"/>
          <w:sz w:val="23"/>
          <w:szCs w:val="23"/>
          <w:shd w:val="clear" w:color="auto" w:fill="FFFFFF"/>
        </w:rPr>
        <w:t>and Jankovic, 2025)</w:t>
      </w:r>
      <w:r w:rsidR="00322557">
        <w:rPr>
          <w:rFonts w:ascii="Source Sans Pro" w:hAnsi="Source Sans Pro"/>
          <w:color w:val="3A3A3A"/>
          <w:sz w:val="23"/>
          <w:szCs w:val="23"/>
          <w:shd w:val="clear" w:color="auto" w:fill="FFFFFF"/>
        </w:rPr>
        <w:t>.</w:t>
      </w:r>
    </w:p>
    <w:p w14:paraId="2B08FB19" w14:textId="2F504C33" w:rsidR="007A41BC" w:rsidRPr="001A4986" w:rsidRDefault="007A41BC" w:rsidP="007A41BC">
      <w:pPr>
        <w:spacing w:line="360" w:lineRule="auto"/>
        <w:jc w:val="both"/>
        <w:rPr>
          <w:rFonts w:ascii="Arial" w:hAnsi="Arial" w:cs="Arial"/>
          <w:color w:val="000000" w:themeColor="text1"/>
          <w:sz w:val="22"/>
          <w:szCs w:val="22"/>
        </w:rPr>
      </w:pPr>
    </w:p>
    <w:p w14:paraId="1295B93D" w14:textId="77777777" w:rsidR="007A41BC" w:rsidRPr="001A4986" w:rsidRDefault="007A41BC" w:rsidP="007A41BC">
      <w:pPr>
        <w:spacing w:line="360" w:lineRule="auto"/>
        <w:jc w:val="both"/>
        <w:rPr>
          <w:rFonts w:ascii="Arial" w:hAnsi="Arial" w:cs="Arial"/>
          <w:color w:val="000000" w:themeColor="text1"/>
          <w:sz w:val="22"/>
          <w:szCs w:val="22"/>
        </w:rPr>
      </w:pPr>
    </w:p>
    <w:p w14:paraId="683F0EE6" w14:textId="2CF5FC1A" w:rsidR="00603016" w:rsidRPr="0056290A" w:rsidRDefault="0056290A" w:rsidP="0056290A">
      <w:pPr>
        <w:pStyle w:val="Heading1"/>
      </w:pPr>
      <w:r>
        <w:t xml:space="preserve">1. </w:t>
      </w:r>
      <w:r w:rsidR="007A41BC" w:rsidRPr="001A4986">
        <w:t>Classification and Diagnosis</w:t>
      </w:r>
    </w:p>
    <w:p w14:paraId="6284FDC9" w14:textId="72E221FE" w:rsidR="00603016" w:rsidRPr="001A4986" w:rsidRDefault="00603016" w:rsidP="0060301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1.1 Classification of Tourette’s Syndrome in ICD-11</w:t>
      </w:r>
    </w:p>
    <w:p w14:paraId="29CA2432" w14:textId="5E873860" w:rsidR="00603016" w:rsidRPr="001A4986" w:rsidRDefault="00603016" w:rsidP="0060301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In ICD-11, Tourette’s syndrome (TS) is placed within the “Neurodevelopmental Disorders” chapter, emphasising its early-life onset, developmental trajectory and relationship to atypical neurological pathways. This categorisation positions TS alongside autism spectrum disorder, developmental language disorders and ADHD, reflecting the shared features of childhood emergence, variability over time and complex interactions between genetic and environmental influences. By using terms such as “syndrome,” “tic disorder”</w:t>
      </w:r>
      <w:r w:rsidR="005C6879">
        <w:rPr>
          <w:rFonts w:ascii="Arial" w:hAnsi="Arial" w:cs="Arial"/>
          <w:color w:val="000000" w:themeColor="text1"/>
          <w:sz w:val="22"/>
          <w:szCs w:val="22"/>
        </w:rPr>
        <w:t>,</w:t>
      </w:r>
      <w:r w:rsidRPr="001A4986">
        <w:rPr>
          <w:rFonts w:ascii="Arial" w:hAnsi="Arial" w:cs="Arial"/>
          <w:color w:val="000000" w:themeColor="text1"/>
          <w:sz w:val="22"/>
          <w:szCs w:val="22"/>
        </w:rPr>
        <w:t xml:space="preserve"> and “abnormal movements or vocalisations,” ICD-11 reinforces a primarily biomedical conceptualisation. This approach provides diagnostic clarity and ensures consistency for research, epidemiological monitoring and service planning. However, </w:t>
      </w:r>
      <w:r w:rsidR="008C2742">
        <w:rPr>
          <w:rFonts w:ascii="Arial" w:hAnsi="Arial" w:cs="Arial"/>
          <w:color w:val="000000" w:themeColor="text1"/>
          <w:sz w:val="22"/>
          <w:szCs w:val="22"/>
        </w:rPr>
        <w:t>in</w:t>
      </w:r>
      <w:r w:rsidR="00FF67FF">
        <w:rPr>
          <w:rFonts w:ascii="Arial" w:hAnsi="Arial" w:cs="Arial"/>
          <w:color w:val="000000" w:themeColor="text1"/>
          <w:sz w:val="22"/>
          <w:szCs w:val="22"/>
        </w:rPr>
        <w:t xml:space="preserve"> </w:t>
      </w:r>
      <w:r w:rsidR="00FF67FF" w:rsidRPr="00FF67FF">
        <w:rPr>
          <w:rFonts w:ascii="Arial" w:hAnsi="Arial" w:cs="Arial"/>
          <w:color w:val="000000" w:themeColor="text1"/>
          <w:sz w:val="22"/>
          <w:szCs w:val="22"/>
        </w:rPr>
        <w:t>Hobson</w:t>
      </w:r>
      <w:r w:rsidR="00FF67FF">
        <w:rPr>
          <w:rFonts w:ascii="Arial" w:hAnsi="Arial" w:cs="Arial"/>
          <w:color w:val="000000" w:themeColor="text1"/>
          <w:sz w:val="22"/>
          <w:szCs w:val="22"/>
        </w:rPr>
        <w:t xml:space="preserve"> </w:t>
      </w:r>
      <w:r w:rsidR="00FF67FF">
        <w:rPr>
          <w:rFonts w:ascii="Arial" w:hAnsi="Arial" w:cs="Arial"/>
          <w:i/>
          <w:iCs/>
          <w:color w:val="000000" w:themeColor="text1"/>
          <w:sz w:val="22"/>
          <w:szCs w:val="22"/>
        </w:rPr>
        <w:t>et al.</w:t>
      </w:r>
      <w:r w:rsidR="006F6624">
        <w:rPr>
          <w:rFonts w:ascii="Arial" w:hAnsi="Arial" w:cs="Arial"/>
          <w:i/>
          <w:iCs/>
          <w:color w:val="000000" w:themeColor="text1"/>
          <w:sz w:val="22"/>
          <w:szCs w:val="22"/>
        </w:rPr>
        <w:t xml:space="preserve"> </w:t>
      </w:r>
      <w:r w:rsidR="006F6624">
        <w:rPr>
          <w:rFonts w:ascii="Arial" w:hAnsi="Arial" w:cs="Arial"/>
          <w:color w:val="000000" w:themeColor="text1"/>
          <w:sz w:val="22"/>
          <w:szCs w:val="22"/>
        </w:rPr>
        <w:t>(2024)</w:t>
      </w:r>
      <w:r w:rsidR="006F6624">
        <w:rPr>
          <w:rFonts w:ascii="Arial" w:hAnsi="Arial" w:cs="Arial"/>
          <w:i/>
          <w:iCs/>
          <w:color w:val="000000" w:themeColor="text1"/>
          <w:sz w:val="22"/>
          <w:szCs w:val="22"/>
        </w:rPr>
        <w:t>,</w:t>
      </w:r>
      <w:r w:rsidR="008C2742">
        <w:rPr>
          <w:rFonts w:ascii="Arial" w:hAnsi="Arial" w:cs="Arial"/>
          <w:color w:val="000000" w:themeColor="text1"/>
          <w:sz w:val="22"/>
          <w:szCs w:val="22"/>
        </w:rPr>
        <w:t xml:space="preserve"> </w:t>
      </w:r>
      <w:r w:rsidR="006F6624">
        <w:rPr>
          <w:rFonts w:ascii="Arial" w:hAnsi="Arial" w:cs="Arial"/>
          <w:color w:val="000000" w:themeColor="text1"/>
          <w:sz w:val="22"/>
          <w:szCs w:val="22"/>
        </w:rPr>
        <w:t>the terminology has been critiqued by advocates who argue that it</w:t>
      </w:r>
      <w:r w:rsidRPr="001A4986">
        <w:rPr>
          <w:rFonts w:ascii="Arial" w:hAnsi="Arial" w:cs="Arial"/>
          <w:color w:val="000000" w:themeColor="text1"/>
          <w:sz w:val="22"/>
          <w:szCs w:val="22"/>
        </w:rPr>
        <w:t xml:space="preserve"> may inadvertently </w:t>
      </w:r>
      <w:proofErr w:type="spellStart"/>
      <w:r w:rsidR="004C6FA8">
        <w:rPr>
          <w:rFonts w:ascii="Arial" w:hAnsi="Arial" w:cs="Arial"/>
          <w:color w:val="000000" w:themeColor="text1"/>
          <w:sz w:val="22"/>
          <w:szCs w:val="22"/>
        </w:rPr>
        <w:t>pathologise</w:t>
      </w:r>
      <w:proofErr w:type="spellEnd"/>
      <w:r w:rsidRPr="001A4986">
        <w:rPr>
          <w:rFonts w:ascii="Arial" w:hAnsi="Arial" w:cs="Arial"/>
          <w:color w:val="000000" w:themeColor="text1"/>
          <w:sz w:val="22"/>
          <w:szCs w:val="22"/>
        </w:rPr>
        <w:t xml:space="preserve"> natural </w:t>
      </w:r>
      <w:r w:rsidRPr="001A4986">
        <w:rPr>
          <w:rFonts w:ascii="Arial" w:hAnsi="Arial" w:cs="Arial"/>
          <w:color w:val="000000" w:themeColor="text1"/>
          <w:sz w:val="22"/>
          <w:szCs w:val="22"/>
        </w:rPr>
        <w:t>variation in neurodevelopment</w:t>
      </w:r>
      <w:r w:rsidRPr="001A4986">
        <w:rPr>
          <w:rFonts w:ascii="Arial" w:hAnsi="Arial" w:cs="Arial"/>
          <w:color w:val="000000" w:themeColor="text1"/>
          <w:sz w:val="22"/>
          <w:szCs w:val="22"/>
        </w:rPr>
        <w:t xml:space="preserve">. Some individuals with TS report that medicalised labels do not reflect the full spectrum of experiences, particularly where tics coexist with strengths such as creativity, </w:t>
      </w:r>
      <w:r w:rsidRPr="001A4986">
        <w:rPr>
          <w:rFonts w:ascii="Arial" w:hAnsi="Arial" w:cs="Arial"/>
          <w:color w:val="000000" w:themeColor="text1"/>
          <w:sz w:val="22"/>
          <w:szCs w:val="22"/>
        </w:rPr>
        <w:lastRenderedPageBreak/>
        <w:t>resilience or rapid cognitive processing. As the neurodiversity movement grows, there is increasing debate about whether current classification frameworks adequately capture lived experience or whether more neutral, descriptive terminology would be more appropriate</w:t>
      </w:r>
      <w:r w:rsidR="000D7069">
        <w:rPr>
          <w:rFonts w:ascii="Arial" w:hAnsi="Arial" w:cs="Arial"/>
          <w:color w:val="000000" w:themeColor="text1"/>
          <w:sz w:val="22"/>
          <w:szCs w:val="22"/>
        </w:rPr>
        <w:t xml:space="preserve"> (</w:t>
      </w:r>
      <w:r w:rsidR="000D7069" w:rsidRPr="000D7069">
        <w:rPr>
          <w:rFonts w:ascii="Arial" w:hAnsi="Arial" w:cs="Arial"/>
          <w:color w:val="000000" w:themeColor="text1"/>
          <w:sz w:val="22"/>
          <w:szCs w:val="22"/>
        </w:rPr>
        <w:t>Grant </w:t>
      </w:r>
      <w:r w:rsidR="000D7069" w:rsidRPr="000D7069">
        <w:rPr>
          <w:rFonts w:ascii="Arial" w:hAnsi="Arial" w:cs="Arial"/>
          <w:i/>
          <w:iCs/>
          <w:color w:val="000000" w:themeColor="text1"/>
          <w:sz w:val="22"/>
          <w:szCs w:val="22"/>
        </w:rPr>
        <w:t>et al</w:t>
      </w:r>
      <w:r w:rsidR="000D7069">
        <w:rPr>
          <w:rFonts w:ascii="Arial" w:hAnsi="Arial" w:cs="Arial"/>
          <w:i/>
          <w:iCs/>
          <w:color w:val="000000" w:themeColor="text1"/>
          <w:sz w:val="22"/>
          <w:szCs w:val="22"/>
        </w:rPr>
        <w:t xml:space="preserve">., </w:t>
      </w:r>
      <w:r w:rsidR="000D7069" w:rsidRPr="000D7069">
        <w:rPr>
          <w:rFonts w:ascii="Arial" w:hAnsi="Arial" w:cs="Arial"/>
          <w:color w:val="000000" w:themeColor="text1"/>
          <w:sz w:val="22"/>
          <w:szCs w:val="22"/>
        </w:rPr>
        <w:t>2025)</w:t>
      </w:r>
      <w:r w:rsidRPr="001A4986">
        <w:rPr>
          <w:rFonts w:ascii="Arial" w:hAnsi="Arial" w:cs="Arial"/>
          <w:color w:val="000000" w:themeColor="text1"/>
          <w:sz w:val="22"/>
          <w:szCs w:val="22"/>
        </w:rPr>
        <w:t>.</w:t>
      </w:r>
    </w:p>
    <w:p w14:paraId="5B6CDAD5" w14:textId="10B4969F" w:rsidR="00603016" w:rsidRPr="001A4986" w:rsidRDefault="00603016" w:rsidP="0060301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1.2 Diagnostic Criteria</w:t>
      </w:r>
    </w:p>
    <w:p w14:paraId="6C3C22CA" w14:textId="35D2421F" w:rsidR="00603016" w:rsidRPr="001A4986" w:rsidRDefault="00603016" w:rsidP="0060301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The ICD-11 criteria for TS retain continuity with earlier diagnostic systems while offering </w:t>
      </w:r>
      <w:r w:rsidRPr="001A4986">
        <w:rPr>
          <w:rFonts w:ascii="Arial" w:hAnsi="Arial" w:cs="Arial"/>
          <w:color w:val="000000" w:themeColor="text1"/>
          <w:sz w:val="22"/>
          <w:szCs w:val="22"/>
        </w:rPr>
        <w:t>more precise</w:t>
      </w:r>
      <w:r w:rsidRPr="001A4986">
        <w:rPr>
          <w:rFonts w:ascii="Arial" w:hAnsi="Arial" w:cs="Arial"/>
          <w:color w:val="000000" w:themeColor="text1"/>
          <w:sz w:val="22"/>
          <w:szCs w:val="22"/>
        </w:rPr>
        <w:t xml:space="preserve"> distinctions between tic presentations. Requiring both motor and vocal tics for over one year supports diagnostic accuracy and avoids unnecessary labelling of transient childhood behaviours. The emphasis on developmental onset recognises the strong evidence for genetic predisposition and the influence of brain maturation. The inclusion of impairment or distress criteria operationalises the need for clinical relevance, ensuring </w:t>
      </w:r>
      <w:r w:rsidR="005C6879">
        <w:rPr>
          <w:rFonts w:ascii="Arial" w:hAnsi="Arial" w:cs="Arial"/>
          <w:color w:val="000000" w:themeColor="text1"/>
          <w:sz w:val="22"/>
          <w:szCs w:val="22"/>
        </w:rPr>
        <w:t xml:space="preserve">that the diagnosis is not applied solely on the basis of </w:t>
      </w:r>
      <w:r w:rsidRPr="001A4986">
        <w:rPr>
          <w:rFonts w:ascii="Arial" w:hAnsi="Arial" w:cs="Arial"/>
          <w:color w:val="000000" w:themeColor="text1"/>
          <w:sz w:val="22"/>
          <w:szCs w:val="22"/>
        </w:rPr>
        <w:t>observable behaviour. The broader spectrum of tic disorders acknowledged in ICD-11 enables clinicians to adopt a stepped approach, identifying early indicators and monitoring progression without prematurely assigning a lifelong diagnosis</w:t>
      </w:r>
      <w:r w:rsidR="009E6B1C">
        <w:rPr>
          <w:rFonts w:ascii="Arial" w:hAnsi="Arial" w:cs="Arial"/>
          <w:color w:val="000000" w:themeColor="text1"/>
          <w:sz w:val="22"/>
          <w:szCs w:val="22"/>
        </w:rPr>
        <w:t xml:space="preserve"> </w:t>
      </w:r>
      <w:r w:rsidR="00995111" w:rsidRPr="00995111">
        <w:rPr>
          <w:rFonts w:ascii="Arial" w:hAnsi="Arial" w:cs="Arial"/>
          <w:color w:val="000000" w:themeColor="text1"/>
          <w:sz w:val="22"/>
          <w:szCs w:val="22"/>
        </w:rPr>
        <w:t>Baldermann </w:t>
      </w:r>
      <w:r w:rsidR="00995111" w:rsidRPr="00995111">
        <w:rPr>
          <w:rFonts w:ascii="Arial" w:hAnsi="Arial" w:cs="Arial"/>
          <w:i/>
          <w:iCs/>
          <w:color w:val="000000" w:themeColor="text1"/>
          <w:sz w:val="22"/>
          <w:szCs w:val="22"/>
        </w:rPr>
        <w:t>et al.</w:t>
      </w:r>
      <w:r w:rsidR="00995111">
        <w:rPr>
          <w:rFonts w:ascii="Arial" w:hAnsi="Arial" w:cs="Arial"/>
          <w:i/>
          <w:iCs/>
          <w:color w:val="000000" w:themeColor="text1"/>
          <w:sz w:val="22"/>
          <w:szCs w:val="22"/>
        </w:rPr>
        <w:t>,</w:t>
      </w:r>
      <w:r w:rsidR="00995111" w:rsidRPr="00995111">
        <w:rPr>
          <w:rFonts w:ascii="Arial" w:hAnsi="Arial" w:cs="Arial"/>
          <w:color w:val="000000" w:themeColor="text1"/>
          <w:sz w:val="22"/>
          <w:szCs w:val="22"/>
        </w:rPr>
        <w:t> 2025</w:t>
      </w:r>
      <w:r w:rsidR="00995111">
        <w:rPr>
          <w:rFonts w:ascii="Arial" w:hAnsi="Arial" w:cs="Arial"/>
          <w:color w:val="000000" w:themeColor="text1"/>
          <w:sz w:val="22"/>
          <w:szCs w:val="22"/>
        </w:rPr>
        <w:t>).</w:t>
      </w:r>
    </w:p>
    <w:p w14:paraId="1FA74613" w14:textId="6FE434CA" w:rsidR="00603016" w:rsidRPr="001A4986" w:rsidRDefault="00603016" w:rsidP="0060301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1.3 Diagnostic Processes</w:t>
      </w:r>
    </w:p>
    <w:p w14:paraId="5932AE99" w14:textId="4135FA55" w:rsidR="007A41BC" w:rsidRPr="000626CC" w:rsidRDefault="00603016" w:rsidP="0060301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Diagnosis in routine practice remains </w:t>
      </w:r>
      <w:r w:rsidR="005C6879">
        <w:rPr>
          <w:rFonts w:ascii="Arial" w:hAnsi="Arial" w:cs="Arial"/>
          <w:color w:val="000000" w:themeColor="text1"/>
          <w:sz w:val="22"/>
          <w:szCs w:val="22"/>
        </w:rPr>
        <w:t>primarily</w:t>
      </w:r>
      <w:r w:rsidRPr="001A4986">
        <w:rPr>
          <w:rFonts w:ascii="Arial" w:hAnsi="Arial" w:cs="Arial"/>
          <w:color w:val="000000" w:themeColor="text1"/>
          <w:sz w:val="22"/>
          <w:szCs w:val="22"/>
        </w:rPr>
        <w:t xml:space="preserve"> clinical, relying on careful observation and structured interviews to capture tic phenomenology, premonitory sensations and context-related fluctuations. Evaluation of co-occurring conditions is essential, given the high prevalence of ADHD, OCD, anxiety and emotional regulation difficulties among individuals with TS. Standardised tools such as the YGTSS support objective assessment and facilitate monitoring of change over time</w:t>
      </w:r>
      <w:r w:rsidR="00D320CE">
        <w:rPr>
          <w:rFonts w:ascii="Arial" w:hAnsi="Arial" w:cs="Arial"/>
          <w:color w:val="000000" w:themeColor="text1"/>
          <w:sz w:val="22"/>
          <w:szCs w:val="22"/>
        </w:rPr>
        <w:t xml:space="preserve"> (Ho </w:t>
      </w:r>
      <w:r w:rsidR="00D320CE">
        <w:rPr>
          <w:rFonts w:ascii="Arial" w:hAnsi="Arial" w:cs="Arial"/>
          <w:i/>
          <w:iCs/>
          <w:color w:val="000000" w:themeColor="text1"/>
          <w:sz w:val="22"/>
          <w:szCs w:val="22"/>
        </w:rPr>
        <w:t xml:space="preserve">et al., </w:t>
      </w:r>
      <w:r w:rsidR="00D320CE">
        <w:rPr>
          <w:rFonts w:ascii="Arial" w:hAnsi="Arial" w:cs="Arial"/>
          <w:color w:val="000000" w:themeColor="text1"/>
          <w:sz w:val="22"/>
          <w:szCs w:val="22"/>
        </w:rPr>
        <w:t>2020)</w:t>
      </w:r>
      <w:r w:rsidRPr="001A4986">
        <w:rPr>
          <w:rFonts w:ascii="Arial" w:hAnsi="Arial" w:cs="Arial"/>
          <w:color w:val="000000" w:themeColor="text1"/>
          <w:sz w:val="22"/>
          <w:szCs w:val="22"/>
        </w:rPr>
        <w:t>. Although neuroimaging is not required for diagnosis, it may be utilised in atypical cases to exclude alternative neurological conditions. A persistent concern, however, is the variability of diagnostic pathways across regions. Long waiting lists, inconsistent referral criteria and limited specialist provision contribute to delays that can affect educational planning and early intervention. Strengthening cross-sector training, clarifying referral guidelines and improving pathway coordination remain key priorities identified in current policy and clinical literature</w:t>
      </w:r>
      <w:r w:rsidR="000626CC">
        <w:rPr>
          <w:rFonts w:ascii="Arial" w:hAnsi="Arial" w:cs="Arial"/>
          <w:color w:val="000000" w:themeColor="text1"/>
          <w:sz w:val="22"/>
          <w:szCs w:val="22"/>
        </w:rPr>
        <w:t xml:space="preserve"> (Rattu </w:t>
      </w:r>
      <w:r w:rsidR="000626CC">
        <w:rPr>
          <w:rFonts w:ascii="Arial" w:hAnsi="Arial" w:cs="Arial"/>
          <w:i/>
          <w:iCs/>
          <w:color w:val="000000" w:themeColor="text1"/>
          <w:sz w:val="22"/>
          <w:szCs w:val="22"/>
        </w:rPr>
        <w:t xml:space="preserve">et al., </w:t>
      </w:r>
      <w:r w:rsidR="000626CC">
        <w:rPr>
          <w:rFonts w:ascii="Arial" w:hAnsi="Arial" w:cs="Arial"/>
          <w:color w:val="000000" w:themeColor="text1"/>
          <w:sz w:val="22"/>
          <w:szCs w:val="22"/>
        </w:rPr>
        <w:t>2025).</w:t>
      </w:r>
    </w:p>
    <w:p w14:paraId="44196C85" w14:textId="399D204B" w:rsidR="007A41BC" w:rsidRPr="001A4986" w:rsidRDefault="007A41BC" w:rsidP="007A41BC">
      <w:pPr>
        <w:spacing w:line="360" w:lineRule="auto"/>
        <w:jc w:val="both"/>
        <w:rPr>
          <w:rFonts w:ascii="Arial" w:hAnsi="Arial" w:cs="Arial"/>
          <w:color w:val="000000" w:themeColor="text1"/>
          <w:sz w:val="22"/>
          <w:szCs w:val="22"/>
        </w:rPr>
      </w:pPr>
    </w:p>
    <w:p w14:paraId="1E64FF36" w14:textId="77777777" w:rsidR="007A41BC" w:rsidRDefault="007A41BC" w:rsidP="007A41BC">
      <w:pPr>
        <w:spacing w:line="360" w:lineRule="auto"/>
        <w:jc w:val="both"/>
        <w:rPr>
          <w:rFonts w:ascii="Arial" w:hAnsi="Arial" w:cs="Arial"/>
          <w:color w:val="000000" w:themeColor="text1"/>
          <w:sz w:val="22"/>
          <w:szCs w:val="22"/>
        </w:rPr>
      </w:pPr>
    </w:p>
    <w:p w14:paraId="4D70EDF2" w14:textId="77777777" w:rsidR="004C6FA8" w:rsidRDefault="004C6FA8" w:rsidP="007A41BC">
      <w:pPr>
        <w:spacing w:line="360" w:lineRule="auto"/>
        <w:jc w:val="both"/>
        <w:rPr>
          <w:rFonts w:ascii="Arial" w:hAnsi="Arial" w:cs="Arial"/>
          <w:color w:val="000000" w:themeColor="text1"/>
          <w:sz w:val="22"/>
          <w:szCs w:val="22"/>
        </w:rPr>
      </w:pPr>
    </w:p>
    <w:p w14:paraId="10F29AB4" w14:textId="77777777" w:rsidR="001C61EE" w:rsidRDefault="001C61EE" w:rsidP="007A41BC">
      <w:pPr>
        <w:spacing w:line="360" w:lineRule="auto"/>
        <w:jc w:val="both"/>
        <w:rPr>
          <w:rFonts w:ascii="Arial" w:hAnsi="Arial" w:cs="Arial"/>
          <w:color w:val="000000" w:themeColor="text1"/>
          <w:sz w:val="22"/>
          <w:szCs w:val="22"/>
        </w:rPr>
      </w:pPr>
    </w:p>
    <w:p w14:paraId="47794A32" w14:textId="77777777" w:rsidR="004C6FA8" w:rsidRPr="001A4986" w:rsidRDefault="004C6FA8" w:rsidP="007A41BC">
      <w:pPr>
        <w:spacing w:line="360" w:lineRule="auto"/>
        <w:jc w:val="both"/>
        <w:rPr>
          <w:rFonts w:ascii="Arial" w:hAnsi="Arial" w:cs="Arial"/>
          <w:color w:val="000000" w:themeColor="text1"/>
          <w:sz w:val="22"/>
          <w:szCs w:val="22"/>
        </w:rPr>
      </w:pPr>
    </w:p>
    <w:p w14:paraId="13241EF8" w14:textId="3686B7A2" w:rsidR="00D85787" w:rsidRPr="001A4986" w:rsidRDefault="003E1991" w:rsidP="0056290A">
      <w:pPr>
        <w:pStyle w:val="Heading1"/>
        <w:rPr>
          <w:rFonts w:ascii="Arial" w:hAnsi="Arial" w:cs="Arial"/>
          <w:color w:val="000000" w:themeColor="text1"/>
          <w:sz w:val="22"/>
          <w:szCs w:val="22"/>
        </w:rPr>
      </w:pPr>
      <w:r w:rsidRPr="001A4986">
        <w:lastRenderedPageBreak/>
        <w:t xml:space="preserve"> </w:t>
      </w:r>
      <w:r w:rsidR="008E2531">
        <w:t xml:space="preserve">2. </w:t>
      </w:r>
      <w:r w:rsidR="00D85787" w:rsidRPr="001A4986">
        <w:t>Treatment and Rehabilitation</w:t>
      </w:r>
    </w:p>
    <w:p w14:paraId="756D36C5" w14:textId="3BAD8C89" w:rsidR="00D85787" w:rsidRPr="001A4986" w:rsidRDefault="00D85787" w:rsidP="00D85787">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2.1 Standard Treatment Approaches</w:t>
      </w:r>
    </w:p>
    <w:p w14:paraId="660C58EA" w14:textId="6B21AF39" w:rsidR="00D85787" w:rsidRPr="001A4986" w:rsidRDefault="00D85787"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Management of Tourette’s syndrome (TS) is most effective when it is individualised and responsive to the fluctuating nature of tics. Clinical guidelines emphasise that treatment should be guided by the person’s own goals rather than by the presence of tics alone, recognising that many individuals experience their symptoms as manageable or non-distressing. When intervention is required, behavioural, pharmacological and psychosocial strategies are typically combined to achieve optimal outcomes.</w:t>
      </w:r>
    </w:p>
    <w:p w14:paraId="029D6F96" w14:textId="243F5E3A" w:rsidR="00D85787" w:rsidRPr="001A4986" w:rsidRDefault="00D85787"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Behavioural Interventions</w:t>
      </w:r>
    </w:p>
    <w:p w14:paraId="49928EA0" w14:textId="04733276" w:rsidR="00D85787" w:rsidRPr="003A3ED1" w:rsidRDefault="00D85787"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CBIT and HRT remain central to evidence-based treatment pathways. Beyond increasing awareness of premonitory urges and introducing competing responses, these interventions also help individuals understand how stress, excitement, and environmental cues influence tic patterns. Behavioural plans often incorporate relaxation training, stimulus control techniques and family involvement to ensure strategies are implemented consistently across contexts. The </w:t>
      </w:r>
      <w:r w:rsidR="003E1991" w:rsidRPr="001A4986">
        <w:rPr>
          <w:rFonts w:ascii="Arial" w:hAnsi="Arial" w:cs="Arial"/>
          <w:color w:val="000000" w:themeColor="text1"/>
          <w:sz w:val="22"/>
          <w:szCs w:val="22"/>
        </w:rPr>
        <w:t>substantial</w:t>
      </w:r>
      <w:r w:rsidRPr="001A4986">
        <w:rPr>
          <w:rFonts w:ascii="Arial" w:hAnsi="Arial" w:cs="Arial"/>
          <w:color w:val="000000" w:themeColor="text1"/>
          <w:sz w:val="22"/>
          <w:szCs w:val="22"/>
        </w:rPr>
        <w:t xml:space="preserve"> evidence supporting CBIT has led to international recommendations; however, availability varies</w:t>
      </w:r>
      <w:r w:rsidR="007C3A65">
        <w:rPr>
          <w:rFonts w:ascii="Arial" w:hAnsi="Arial" w:cs="Arial"/>
          <w:color w:val="000000" w:themeColor="text1"/>
          <w:sz w:val="22"/>
          <w:szCs w:val="22"/>
        </w:rPr>
        <w:t xml:space="preserve"> across regions</w:t>
      </w:r>
      <w:r w:rsidRPr="001A4986">
        <w:rPr>
          <w:rFonts w:ascii="Arial" w:hAnsi="Arial" w:cs="Arial"/>
          <w:color w:val="000000" w:themeColor="text1"/>
          <w:sz w:val="22"/>
          <w:szCs w:val="22"/>
        </w:rPr>
        <w:t xml:space="preserve">, and many </w:t>
      </w:r>
      <w:r w:rsidR="007C3A65">
        <w:rPr>
          <w:rFonts w:ascii="Arial" w:hAnsi="Arial" w:cs="Arial"/>
          <w:color w:val="000000" w:themeColor="text1"/>
          <w:sz w:val="22"/>
          <w:szCs w:val="22"/>
        </w:rPr>
        <w:t>areas</w:t>
      </w:r>
      <w:r w:rsidRPr="001A4986">
        <w:rPr>
          <w:rFonts w:ascii="Arial" w:hAnsi="Arial" w:cs="Arial"/>
          <w:color w:val="000000" w:themeColor="text1"/>
          <w:sz w:val="22"/>
          <w:szCs w:val="22"/>
        </w:rPr>
        <w:t xml:space="preserve"> lack adequately trained clinicians</w:t>
      </w:r>
      <w:r w:rsidR="003A3ED1">
        <w:rPr>
          <w:rFonts w:ascii="Arial" w:hAnsi="Arial" w:cs="Arial"/>
          <w:color w:val="000000" w:themeColor="text1"/>
          <w:sz w:val="22"/>
          <w:szCs w:val="22"/>
        </w:rPr>
        <w:t xml:space="preserve"> (Kohler </w:t>
      </w:r>
      <w:r w:rsidR="003A3ED1">
        <w:rPr>
          <w:rFonts w:ascii="Arial" w:hAnsi="Arial" w:cs="Arial"/>
          <w:i/>
          <w:iCs/>
          <w:color w:val="000000" w:themeColor="text1"/>
          <w:sz w:val="22"/>
          <w:szCs w:val="22"/>
        </w:rPr>
        <w:t>et al.,</w:t>
      </w:r>
      <w:r w:rsidR="003A3ED1">
        <w:rPr>
          <w:rFonts w:ascii="Arial" w:hAnsi="Arial" w:cs="Arial"/>
          <w:color w:val="000000" w:themeColor="text1"/>
          <w:sz w:val="22"/>
          <w:szCs w:val="22"/>
        </w:rPr>
        <w:t xml:space="preserve"> 2025).</w:t>
      </w:r>
    </w:p>
    <w:p w14:paraId="587872A4" w14:textId="67B9E635" w:rsidR="00D85787" w:rsidRPr="001A4986" w:rsidRDefault="00D85787"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Pharmacological Treatment</w:t>
      </w:r>
    </w:p>
    <w:p w14:paraId="79BE1196" w14:textId="79CCC7B2" w:rsidR="00D85787" w:rsidRPr="001A4986" w:rsidRDefault="00D85787"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Pharmacotherapy is typically reserved for individuals whose tics cause marked interference or pain. </w:t>
      </w:r>
      <w:r w:rsidR="005C6879">
        <w:rPr>
          <w:rFonts w:ascii="Arial" w:hAnsi="Arial" w:cs="Arial"/>
          <w:color w:val="000000" w:themeColor="text1"/>
          <w:sz w:val="22"/>
          <w:szCs w:val="22"/>
        </w:rPr>
        <w:t>The symptom profile, comorbidities, and tolerability determine the choice of medication</w:t>
      </w:r>
      <w:r w:rsidRPr="001A4986">
        <w:rPr>
          <w:rFonts w:ascii="Arial" w:hAnsi="Arial" w:cs="Arial"/>
          <w:color w:val="000000" w:themeColor="text1"/>
          <w:sz w:val="22"/>
          <w:szCs w:val="22"/>
        </w:rPr>
        <w:t>. Although drugs such as aripiprazole can significantly reduce tic intensity, side effects frequently require careful dosage adjustments and ongoing review</w:t>
      </w:r>
      <w:r w:rsidR="009E4C3A">
        <w:rPr>
          <w:rFonts w:ascii="Arial" w:hAnsi="Arial" w:cs="Arial"/>
          <w:color w:val="000000" w:themeColor="text1"/>
          <w:sz w:val="22"/>
          <w:szCs w:val="22"/>
        </w:rPr>
        <w:t xml:space="preserve"> </w:t>
      </w:r>
      <w:r w:rsidR="009E4C3A">
        <w:rPr>
          <w:rFonts w:ascii="Arial" w:hAnsi="Arial" w:cs="Arial"/>
          <w:color w:val="000000" w:themeColor="text1"/>
          <w:sz w:val="22"/>
          <w:szCs w:val="22"/>
        </w:rPr>
        <w:t xml:space="preserve">(Baldermann </w:t>
      </w:r>
      <w:r w:rsidR="009E4C3A">
        <w:rPr>
          <w:rFonts w:ascii="Arial" w:hAnsi="Arial" w:cs="Arial"/>
          <w:i/>
          <w:iCs/>
          <w:color w:val="000000" w:themeColor="text1"/>
          <w:sz w:val="22"/>
          <w:szCs w:val="22"/>
        </w:rPr>
        <w:t xml:space="preserve">et al., </w:t>
      </w:r>
      <w:r w:rsidR="009E4C3A">
        <w:rPr>
          <w:rFonts w:ascii="Arial" w:hAnsi="Arial" w:cs="Arial"/>
          <w:color w:val="000000" w:themeColor="text1"/>
          <w:sz w:val="22"/>
          <w:szCs w:val="22"/>
        </w:rPr>
        <w:t>2025)</w:t>
      </w:r>
      <w:r w:rsidRPr="001A4986">
        <w:rPr>
          <w:rFonts w:ascii="Arial" w:hAnsi="Arial" w:cs="Arial"/>
          <w:color w:val="000000" w:themeColor="text1"/>
          <w:sz w:val="22"/>
          <w:szCs w:val="22"/>
        </w:rPr>
        <w:t xml:space="preserve">. VMAT2 inhibitors offer an alternative mechanism but are less commonly used due to cost and monitoring requirements. Emerging interventions, including DBS and neuromodulation, highlight promising directions for individuals with severe, treatment-resistant presentations, though </w:t>
      </w:r>
      <w:r w:rsidR="003E1991" w:rsidRPr="001A4986">
        <w:rPr>
          <w:rFonts w:ascii="Arial" w:hAnsi="Arial" w:cs="Arial"/>
          <w:color w:val="000000" w:themeColor="text1"/>
          <w:sz w:val="22"/>
          <w:szCs w:val="22"/>
        </w:rPr>
        <w:t>the evidence remains limited</w:t>
      </w:r>
      <w:r w:rsidR="004A0513">
        <w:rPr>
          <w:rFonts w:ascii="Arial" w:hAnsi="Arial" w:cs="Arial"/>
          <w:color w:val="000000" w:themeColor="text1"/>
          <w:sz w:val="22"/>
          <w:szCs w:val="22"/>
        </w:rPr>
        <w:t xml:space="preserve"> </w:t>
      </w:r>
      <w:r w:rsidR="00B114B5">
        <w:rPr>
          <w:rFonts w:ascii="Arial" w:hAnsi="Arial" w:cs="Arial"/>
          <w:color w:val="000000" w:themeColor="text1"/>
          <w:sz w:val="22"/>
          <w:szCs w:val="22"/>
        </w:rPr>
        <w:t>(</w:t>
      </w:r>
      <w:r w:rsidR="004A0513" w:rsidRPr="004A0513">
        <w:rPr>
          <w:rFonts w:ascii="Arial" w:hAnsi="Arial" w:cs="Arial"/>
          <w:color w:val="000000" w:themeColor="text1"/>
          <w:sz w:val="22"/>
          <w:szCs w:val="22"/>
        </w:rPr>
        <w:t>Makhoul and Jankovic, 2023)</w:t>
      </w:r>
      <w:r w:rsidR="004A0513">
        <w:rPr>
          <w:rFonts w:ascii="Arial" w:hAnsi="Arial" w:cs="Arial"/>
          <w:color w:val="000000" w:themeColor="text1"/>
          <w:sz w:val="22"/>
          <w:szCs w:val="22"/>
        </w:rPr>
        <w:t>.</w:t>
      </w:r>
    </w:p>
    <w:p w14:paraId="53A72122" w14:textId="1A0C0965" w:rsidR="00D85787" w:rsidRPr="001A4986" w:rsidRDefault="00D85787"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2.2 Rehabilitation Measures in ICD-11 and Practice</w:t>
      </w:r>
    </w:p>
    <w:p w14:paraId="43B9349E" w14:textId="6EE71831" w:rsidR="00D85787" w:rsidRPr="003F5C9E" w:rsidRDefault="00D85787"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Rehabilitation within TS focuses on enhancing everyday functioning rather than exclusively targeting tic suppression. Psychoeducation supports individuals, families and teachers in understanding tics and reducing unhelpful responses. Social and educational adjustments aim to create environments where individuals can participate without penalty or misunderstanding. Occupational therapy plays a key role when tics impact handwriting, motor coordination or daily routines, promoting practical adaptations and self-regulation techniques. Despite these </w:t>
      </w:r>
      <w:r w:rsidRPr="001A4986">
        <w:rPr>
          <w:rFonts w:ascii="Arial" w:hAnsi="Arial" w:cs="Arial"/>
          <w:color w:val="000000" w:themeColor="text1"/>
          <w:sz w:val="22"/>
          <w:szCs w:val="22"/>
        </w:rPr>
        <w:lastRenderedPageBreak/>
        <w:t xml:space="preserve">benefits, implementation is uneven. Schools with strong inclusion cultures often provide comprehensive support, whereas others may lack awareness </w:t>
      </w:r>
      <w:r w:rsidR="003E1991" w:rsidRPr="001A4986">
        <w:rPr>
          <w:rFonts w:ascii="Arial" w:hAnsi="Arial" w:cs="Arial"/>
          <w:color w:val="000000" w:themeColor="text1"/>
          <w:sz w:val="22"/>
          <w:szCs w:val="22"/>
        </w:rPr>
        <w:t>of or resources for inclusion</w:t>
      </w:r>
      <w:r w:rsidRPr="001A4986">
        <w:rPr>
          <w:rFonts w:ascii="Arial" w:hAnsi="Arial" w:cs="Arial"/>
          <w:color w:val="000000" w:themeColor="text1"/>
          <w:sz w:val="22"/>
          <w:szCs w:val="22"/>
        </w:rPr>
        <w:t>. This inconsistency results in significant variability in outcomes and underscores the need for clearer national standards and better integration between health, education and social care services</w:t>
      </w:r>
      <w:r w:rsidR="00251B56">
        <w:rPr>
          <w:rFonts w:ascii="Arial" w:hAnsi="Arial" w:cs="Arial"/>
          <w:color w:val="000000" w:themeColor="text1"/>
          <w:sz w:val="22"/>
          <w:szCs w:val="22"/>
        </w:rPr>
        <w:t xml:space="preserve"> </w:t>
      </w:r>
      <w:r w:rsidR="00251B56">
        <w:rPr>
          <w:rFonts w:ascii="Arial" w:hAnsi="Arial" w:cs="Arial"/>
          <w:color w:val="000000" w:themeColor="text1"/>
          <w:sz w:val="22"/>
          <w:szCs w:val="22"/>
        </w:rPr>
        <w:t>(</w:t>
      </w:r>
      <w:r w:rsidR="00251B56" w:rsidRPr="00154B0E">
        <w:rPr>
          <w:rFonts w:ascii="Arial" w:hAnsi="Arial" w:cs="Arial"/>
          <w:color w:val="000000" w:themeColor="text1"/>
          <w:sz w:val="22"/>
          <w:szCs w:val="22"/>
        </w:rPr>
        <w:t xml:space="preserve">Andrén </w:t>
      </w:r>
      <w:r w:rsidR="00251B56" w:rsidRPr="00154B0E">
        <w:rPr>
          <w:rFonts w:ascii="Arial" w:hAnsi="Arial" w:cs="Arial"/>
          <w:i/>
          <w:iCs/>
          <w:color w:val="000000" w:themeColor="text1"/>
          <w:sz w:val="22"/>
          <w:szCs w:val="22"/>
        </w:rPr>
        <w:t>et al.</w:t>
      </w:r>
      <w:r w:rsidR="00251B56">
        <w:rPr>
          <w:rFonts w:ascii="Arial" w:hAnsi="Arial" w:cs="Arial"/>
          <w:i/>
          <w:iCs/>
          <w:color w:val="000000" w:themeColor="text1"/>
          <w:sz w:val="22"/>
          <w:szCs w:val="22"/>
        </w:rPr>
        <w:t>,</w:t>
      </w:r>
      <w:r w:rsidR="00251B56" w:rsidRPr="00154B0E">
        <w:rPr>
          <w:rFonts w:ascii="Arial" w:hAnsi="Arial" w:cs="Arial"/>
          <w:color w:val="000000" w:themeColor="text1"/>
          <w:sz w:val="22"/>
          <w:szCs w:val="22"/>
        </w:rPr>
        <w:t> 2022</w:t>
      </w:r>
      <w:r w:rsidR="00251B56">
        <w:rPr>
          <w:rFonts w:ascii="Arial" w:hAnsi="Arial" w:cs="Arial"/>
          <w:color w:val="000000" w:themeColor="text1"/>
          <w:sz w:val="22"/>
          <w:szCs w:val="22"/>
        </w:rPr>
        <w:t>)</w:t>
      </w:r>
      <w:r w:rsidR="003F5C9E">
        <w:rPr>
          <w:rFonts w:ascii="Arial" w:hAnsi="Arial" w:cs="Arial"/>
          <w:color w:val="000000" w:themeColor="text1"/>
          <w:sz w:val="22"/>
          <w:szCs w:val="22"/>
        </w:rPr>
        <w:t>.</w:t>
      </w:r>
    </w:p>
    <w:p w14:paraId="14A65231" w14:textId="77777777" w:rsidR="00D85787" w:rsidRPr="001A4986" w:rsidRDefault="00D85787" w:rsidP="00383BBB">
      <w:pPr>
        <w:spacing w:line="360" w:lineRule="auto"/>
        <w:jc w:val="both"/>
        <w:rPr>
          <w:rFonts w:ascii="Arial" w:hAnsi="Arial" w:cs="Arial"/>
          <w:color w:val="000000" w:themeColor="text1"/>
          <w:sz w:val="22"/>
          <w:szCs w:val="22"/>
        </w:rPr>
      </w:pPr>
    </w:p>
    <w:p w14:paraId="491AF5F3" w14:textId="336AEE58" w:rsidR="0056290A" w:rsidRPr="0056290A" w:rsidRDefault="006343E4" w:rsidP="0056290A">
      <w:pPr>
        <w:pStyle w:val="Heading1"/>
        <w:jc w:val="both"/>
      </w:pPr>
      <w:r>
        <w:rPr>
          <w:rFonts w:ascii="Arial" w:hAnsi="Arial" w:cs="Arial"/>
          <w:color w:val="000000" w:themeColor="text1"/>
          <w:sz w:val="22"/>
          <w:szCs w:val="22"/>
        </w:rPr>
        <w:t xml:space="preserve"> </w:t>
      </w:r>
      <w:r>
        <w:t>3. E</w:t>
      </w:r>
      <w:r w:rsidR="007A41BC" w:rsidRPr="001A4986">
        <w:t>ffectiveness and Limitations</w:t>
      </w:r>
    </w:p>
    <w:p w14:paraId="6E961E9A" w14:textId="50CC4FB7" w:rsidR="00B30C1E" w:rsidRPr="001A4986" w:rsidRDefault="00D05A5F"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3.1 </w:t>
      </w:r>
      <w:r w:rsidR="00B30C1E" w:rsidRPr="001A4986">
        <w:rPr>
          <w:rFonts w:ascii="Arial" w:hAnsi="Arial" w:cs="Arial"/>
          <w:color w:val="000000" w:themeColor="text1"/>
          <w:sz w:val="22"/>
          <w:szCs w:val="22"/>
        </w:rPr>
        <w:t>Effectiveness</w:t>
      </w:r>
    </w:p>
    <w:p w14:paraId="591B78BA" w14:textId="398BA150" w:rsidR="00B30C1E" w:rsidRPr="005D6946" w:rsidRDefault="00B30C1E"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Behavioural interventions, particularly Comprehensive Behavioural Intervention for Tics (CBIT) and Habit Reversal Training (HRT), demonstrate strong evidence for reducing tic frequency and improving functional outcomes. These approaches help individuals recognise premonitory urges and develop competing responses, supporting greater self-regulation in daily settings. Psychoeducation, offered to both individuals and families, plays a critical role in reducing anxiety, stigma and misunderstanding surrounding the condition. By improving awareness, it often strengthens family coping mechanisms and enhances the capacity for supportive environments at home and school. Pharmacological treatment remains </w:t>
      </w:r>
      <w:r w:rsidR="004471BC" w:rsidRPr="001A4986">
        <w:rPr>
          <w:rFonts w:ascii="Arial" w:hAnsi="Arial" w:cs="Arial"/>
          <w:color w:val="000000" w:themeColor="text1"/>
          <w:sz w:val="22"/>
          <w:szCs w:val="22"/>
        </w:rPr>
        <w:t>vital</w:t>
      </w:r>
      <w:r w:rsidRPr="001A4986">
        <w:rPr>
          <w:rFonts w:ascii="Arial" w:hAnsi="Arial" w:cs="Arial"/>
          <w:color w:val="000000" w:themeColor="text1"/>
          <w:sz w:val="22"/>
          <w:szCs w:val="22"/>
        </w:rPr>
        <w:t xml:space="preserve"> for people with more severe tics or distressing comorbidities such as ADHD, OCD or impulse-control difficulties. Although not curative, medication can produce meaningful reductions in tic intensity and behavioural disruption. Rehabilitation-based strategies, including occupational therapy, speech and language interventions, and school-based adjustments, further </w:t>
      </w:r>
      <w:r w:rsidR="005C6879">
        <w:rPr>
          <w:rFonts w:ascii="Arial" w:hAnsi="Arial" w:cs="Arial"/>
          <w:color w:val="000000" w:themeColor="text1"/>
          <w:sz w:val="22"/>
          <w:szCs w:val="22"/>
        </w:rPr>
        <w:t>improve</w:t>
      </w:r>
      <w:r w:rsidRPr="001A4986">
        <w:rPr>
          <w:rFonts w:ascii="Arial" w:hAnsi="Arial" w:cs="Arial"/>
          <w:color w:val="000000" w:themeColor="text1"/>
          <w:sz w:val="22"/>
          <w:szCs w:val="22"/>
        </w:rPr>
        <w:t xml:space="preserve"> participation, particularly </w:t>
      </w:r>
      <w:r w:rsidR="004471BC" w:rsidRPr="001A4986">
        <w:rPr>
          <w:rFonts w:ascii="Arial" w:hAnsi="Arial" w:cs="Arial"/>
          <w:color w:val="000000" w:themeColor="text1"/>
          <w:sz w:val="22"/>
          <w:szCs w:val="22"/>
        </w:rPr>
        <w:t>when tics affect handwriting, communication,</w:t>
      </w:r>
      <w:r w:rsidRPr="001A4986">
        <w:rPr>
          <w:rFonts w:ascii="Arial" w:hAnsi="Arial" w:cs="Arial"/>
          <w:color w:val="000000" w:themeColor="text1"/>
          <w:sz w:val="22"/>
          <w:szCs w:val="22"/>
        </w:rPr>
        <w:t xml:space="preserve"> or social integration. These combined approaches support a more holistic model of care</w:t>
      </w:r>
      <w:r w:rsidR="00A80285">
        <w:rPr>
          <w:rFonts w:ascii="Arial" w:hAnsi="Arial" w:cs="Arial"/>
          <w:color w:val="000000" w:themeColor="text1"/>
          <w:sz w:val="22"/>
          <w:szCs w:val="22"/>
        </w:rPr>
        <w:t xml:space="preserve"> (Woods</w:t>
      </w:r>
      <w:r w:rsidR="005D6946">
        <w:rPr>
          <w:rFonts w:ascii="Arial" w:hAnsi="Arial" w:cs="Arial"/>
          <w:color w:val="000000" w:themeColor="text1"/>
          <w:sz w:val="22"/>
          <w:szCs w:val="22"/>
        </w:rPr>
        <w:t xml:space="preserve"> </w:t>
      </w:r>
      <w:r w:rsidR="005D6946">
        <w:rPr>
          <w:rFonts w:ascii="Arial" w:hAnsi="Arial" w:cs="Arial"/>
          <w:i/>
          <w:iCs/>
          <w:color w:val="000000" w:themeColor="text1"/>
          <w:sz w:val="22"/>
          <w:szCs w:val="22"/>
        </w:rPr>
        <w:t xml:space="preserve">et al., </w:t>
      </w:r>
      <w:r w:rsidR="005D6946">
        <w:rPr>
          <w:rFonts w:ascii="Arial" w:hAnsi="Arial" w:cs="Arial"/>
          <w:color w:val="000000" w:themeColor="text1"/>
          <w:sz w:val="22"/>
          <w:szCs w:val="22"/>
        </w:rPr>
        <w:t>2023).</w:t>
      </w:r>
    </w:p>
    <w:p w14:paraId="4CC30114" w14:textId="6633D2F8" w:rsidR="00B30C1E" w:rsidRPr="001A4986" w:rsidRDefault="00D05A5F"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3.2 </w:t>
      </w:r>
      <w:r w:rsidR="00B30C1E" w:rsidRPr="001A4986">
        <w:rPr>
          <w:rFonts w:ascii="Arial" w:hAnsi="Arial" w:cs="Arial"/>
          <w:color w:val="000000" w:themeColor="text1"/>
          <w:sz w:val="22"/>
          <w:szCs w:val="22"/>
        </w:rPr>
        <w:t>Limitations</w:t>
      </w:r>
    </w:p>
    <w:p w14:paraId="15B37CF5" w14:textId="6A1979CC" w:rsidR="007A41BC" w:rsidRPr="001A4986" w:rsidRDefault="00B30C1E"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Despite these benefits, several constraints weaken the overall consistency and accessibility of care. Behavioural therapies require specialist clinicians, yet provision across the NHS remains uneven, leading to long waiting times and limited availability in some regions. Medication, while effective for symptom reduction, is often associated with adverse effects such as sedation, weight gain or mood changes, which reduce adherence and limit suitability for long-term management. Rehabilitation approaches depend heavily on cross-sector collaboration, and outcomes vary according to school engagement, staffing levels and awareness of neurodiversity. Many individuals report that professionals lack confidence or training in recognising the complex presentations of Tourette’s syndrome, resulting in fragmented care pathways. Furthermore, there is relatively limited research on long-term </w:t>
      </w:r>
      <w:r w:rsidRPr="001A4986">
        <w:rPr>
          <w:rFonts w:ascii="Arial" w:hAnsi="Arial" w:cs="Arial"/>
          <w:color w:val="000000" w:themeColor="text1"/>
          <w:sz w:val="22"/>
          <w:szCs w:val="22"/>
        </w:rPr>
        <w:lastRenderedPageBreak/>
        <w:t>outcomes, especially into adulthood, restricting clinicians’ ability to predict prognosis or tailor interventions over time. These limitations suggest that treatment pathways require systemic strengthening and more consistent neurodevelopmental service models</w:t>
      </w:r>
      <w:r w:rsidR="00DA18C8">
        <w:rPr>
          <w:rFonts w:ascii="Arial" w:hAnsi="Arial" w:cs="Arial"/>
          <w:color w:val="000000" w:themeColor="text1"/>
          <w:sz w:val="22"/>
          <w:szCs w:val="22"/>
        </w:rPr>
        <w:t xml:space="preserve"> (</w:t>
      </w:r>
      <w:r w:rsidR="00DA18C8" w:rsidRPr="00DA18C8">
        <w:rPr>
          <w:rFonts w:ascii="Arial" w:hAnsi="Arial" w:cs="Arial"/>
          <w:color w:val="000000" w:themeColor="text1"/>
          <w:sz w:val="22"/>
          <w:szCs w:val="22"/>
        </w:rPr>
        <w:t>Morand-Beaulieu and Leclerc, 2020)</w:t>
      </w:r>
      <w:r w:rsidR="00DA18C8">
        <w:rPr>
          <w:rFonts w:ascii="Arial" w:hAnsi="Arial" w:cs="Arial"/>
          <w:color w:val="000000" w:themeColor="text1"/>
          <w:sz w:val="22"/>
          <w:szCs w:val="22"/>
        </w:rPr>
        <w:t>.</w:t>
      </w:r>
    </w:p>
    <w:p w14:paraId="59C92225" w14:textId="5469353B" w:rsidR="007A41BC" w:rsidRPr="001A4986" w:rsidRDefault="007A41BC" w:rsidP="001A4986">
      <w:pPr>
        <w:spacing w:line="360" w:lineRule="auto"/>
        <w:jc w:val="both"/>
        <w:rPr>
          <w:rFonts w:ascii="Arial" w:hAnsi="Arial" w:cs="Arial"/>
          <w:color w:val="000000" w:themeColor="text1"/>
          <w:sz w:val="22"/>
          <w:szCs w:val="22"/>
        </w:rPr>
      </w:pPr>
    </w:p>
    <w:p w14:paraId="142FDAEF" w14:textId="77777777" w:rsidR="007A41BC" w:rsidRPr="001A4986" w:rsidRDefault="007A41BC" w:rsidP="001A4986">
      <w:pPr>
        <w:spacing w:line="360" w:lineRule="auto"/>
        <w:jc w:val="both"/>
        <w:rPr>
          <w:rFonts w:ascii="Arial" w:hAnsi="Arial" w:cs="Arial"/>
          <w:color w:val="000000" w:themeColor="text1"/>
          <w:sz w:val="22"/>
          <w:szCs w:val="22"/>
        </w:rPr>
      </w:pPr>
    </w:p>
    <w:p w14:paraId="7E1B72F4" w14:textId="4AB8D261" w:rsidR="002D471B" w:rsidRPr="001A4986" w:rsidRDefault="006343E4" w:rsidP="0056290A">
      <w:pPr>
        <w:pStyle w:val="Heading1"/>
        <w:spacing w:line="360" w:lineRule="auto"/>
        <w:jc w:val="both"/>
        <w:rPr>
          <w:rFonts w:ascii="Arial" w:hAnsi="Arial" w:cs="Arial"/>
          <w:color w:val="000000" w:themeColor="text1"/>
          <w:sz w:val="22"/>
          <w:szCs w:val="22"/>
        </w:rPr>
      </w:pPr>
      <w:r>
        <w:t>4. C</w:t>
      </w:r>
      <w:r w:rsidR="002D471B" w:rsidRPr="001A4986">
        <w:t>urrent Debates and Emerging Issues</w:t>
      </w:r>
    </w:p>
    <w:p w14:paraId="2E056E0B" w14:textId="2D4CBCB1" w:rsidR="002D471B" w:rsidRPr="001A4986" w:rsidRDefault="00D05A5F"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4</w:t>
      </w:r>
      <w:r w:rsidR="002D471B" w:rsidRPr="001A4986">
        <w:rPr>
          <w:rFonts w:ascii="Arial" w:hAnsi="Arial" w:cs="Arial"/>
          <w:color w:val="000000" w:themeColor="text1"/>
          <w:sz w:val="22"/>
          <w:szCs w:val="22"/>
        </w:rPr>
        <w:t>.1 Debates Surrounding Classification</w:t>
      </w:r>
    </w:p>
    <w:p w14:paraId="49660B36" w14:textId="69103B7F" w:rsidR="002D471B" w:rsidRPr="001A4986" w:rsidRDefault="002D471B"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Debates surrounding the classification of Tourette’s syndrome (TS) reflect broader tensions between biomedical frameworks and evolving neurodiversity perspectives. Critics argue that the continued use of the term “disorder” reinforces a pathological view that does not fully capture the spectrum of experiences associated with tics. Many individuals report that their tics fluctuate over time, can be influenced by context, and may not always be distressing or disabling. As a result, some suggest that the neurodevelopmental category used in DSM-5 and ICD-11 does not sufficiently account for lived complexity, particularly in cases where tics coexist with creativity, hyperfocus or sensory strengths. This debate highlights competing priorities: clinical systems rely on medical labels for access to care, while advocates emphasise identity, acceptance and human variation</w:t>
      </w:r>
      <w:r w:rsidR="00A07D85">
        <w:rPr>
          <w:rFonts w:ascii="Arial" w:hAnsi="Arial" w:cs="Arial"/>
          <w:color w:val="000000" w:themeColor="text1"/>
          <w:sz w:val="22"/>
          <w:szCs w:val="22"/>
        </w:rPr>
        <w:t>.</w:t>
      </w:r>
    </w:p>
    <w:p w14:paraId="6AC8F8B2" w14:textId="49D5330D" w:rsidR="002D471B" w:rsidRPr="001A4986" w:rsidRDefault="002D471B"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The tension between medical and neurodiversity models has prompted discussion on whether current terminology limits opportunities for empowerment. Suggestions for reclassification—such as conceptualising TS within broader motor control conditions or reframing it as a neurodivergent trait—aim to reduce stigma and promote a strengths-based approach. Although not yet reflected in international diagnostic manuals, these proposals continue to influence academic discourse and service-user movements</w:t>
      </w:r>
      <w:r w:rsidR="00A07D85">
        <w:rPr>
          <w:rFonts w:ascii="Arial" w:hAnsi="Arial" w:cs="Arial"/>
          <w:color w:val="000000" w:themeColor="text1"/>
          <w:sz w:val="22"/>
          <w:szCs w:val="22"/>
        </w:rPr>
        <w:t xml:space="preserve"> </w:t>
      </w:r>
      <w:r w:rsidR="00A07D85">
        <w:rPr>
          <w:rFonts w:ascii="Arial" w:hAnsi="Arial" w:cs="Arial"/>
          <w:color w:val="000000" w:themeColor="text1"/>
          <w:sz w:val="22"/>
          <w:szCs w:val="22"/>
        </w:rPr>
        <w:t>(</w:t>
      </w:r>
      <w:r w:rsidR="00A07D85" w:rsidRPr="005A6F49">
        <w:rPr>
          <w:rFonts w:ascii="Arial" w:hAnsi="Arial" w:cs="Arial"/>
          <w:color w:val="000000" w:themeColor="text1"/>
          <w:sz w:val="22"/>
          <w:szCs w:val="22"/>
        </w:rPr>
        <w:t>Szejko </w:t>
      </w:r>
      <w:r w:rsidR="00A07D85" w:rsidRPr="005A6F49">
        <w:rPr>
          <w:rFonts w:ascii="Arial" w:hAnsi="Arial" w:cs="Arial"/>
          <w:i/>
          <w:iCs/>
          <w:color w:val="000000" w:themeColor="text1"/>
          <w:sz w:val="22"/>
          <w:szCs w:val="22"/>
        </w:rPr>
        <w:t>et al.</w:t>
      </w:r>
      <w:r w:rsidR="00A07D85">
        <w:rPr>
          <w:rFonts w:ascii="Arial" w:hAnsi="Arial" w:cs="Arial"/>
          <w:i/>
          <w:iCs/>
          <w:color w:val="000000" w:themeColor="text1"/>
          <w:sz w:val="22"/>
          <w:szCs w:val="22"/>
        </w:rPr>
        <w:t>,</w:t>
      </w:r>
      <w:r w:rsidR="00A07D85" w:rsidRPr="005A6F49">
        <w:rPr>
          <w:rFonts w:ascii="Arial" w:hAnsi="Arial" w:cs="Arial"/>
          <w:color w:val="000000" w:themeColor="text1"/>
          <w:sz w:val="22"/>
          <w:szCs w:val="22"/>
        </w:rPr>
        <w:t> 2022)</w:t>
      </w:r>
      <w:r w:rsidR="00A07D85">
        <w:rPr>
          <w:rFonts w:ascii="Arial" w:hAnsi="Arial" w:cs="Arial"/>
          <w:color w:val="000000" w:themeColor="text1"/>
          <w:sz w:val="22"/>
          <w:szCs w:val="22"/>
        </w:rPr>
        <w:t>.</w:t>
      </w:r>
    </w:p>
    <w:p w14:paraId="3AF9BBF3" w14:textId="77777777" w:rsidR="002D471B" w:rsidRPr="001A4986" w:rsidRDefault="002D471B" w:rsidP="001A4986">
      <w:pPr>
        <w:spacing w:line="360" w:lineRule="auto"/>
        <w:jc w:val="both"/>
        <w:rPr>
          <w:rFonts w:ascii="Arial" w:hAnsi="Arial" w:cs="Arial"/>
          <w:color w:val="000000" w:themeColor="text1"/>
          <w:sz w:val="22"/>
          <w:szCs w:val="22"/>
        </w:rPr>
      </w:pPr>
    </w:p>
    <w:p w14:paraId="7F2ECC30" w14:textId="4844E572" w:rsidR="002D471B" w:rsidRPr="001A4986" w:rsidRDefault="00D05A5F"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4</w:t>
      </w:r>
      <w:r w:rsidR="002D471B" w:rsidRPr="001A4986">
        <w:rPr>
          <w:rFonts w:ascii="Arial" w:hAnsi="Arial" w:cs="Arial"/>
          <w:color w:val="000000" w:themeColor="text1"/>
          <w:sz w:val="22"/>
          <w:szCs w:val="22"/>
        </w:rPr>
        <w:t>.2 Debates in Treatment Approaches</w:t>
      </w:r>
    </w:p>
    <w:p w14:paraId="415C3BCF" w14:textId="6991D408" w:rsidR="002D471B" w:rsidRPr="0078303E" w:rsidRDefault="002D471B"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Debates in treatment reflect similar ethical and philosophical questions. While some clinicians aim for tic reduction to minimise impairment, others highlight that suppressing tics without addressing social stressors may inadvertently reinforce stigma. The ethical dilemma is particularly pronounced in children, where treatment may be sought to meet social expectations rather than the child’s own goals. Long-term management also raises questions about the appropriate balance between medication and behavioural therapy, especially given </w:t>
      </w:r>
      <w:r w:rsidRPr="001A4986">
        <w:rPr>
          <w:rFonts w:ascii="Arial" w:hAnsi="Arial" w:cs="Arial"/>
          <w:color w:val="000000" w:themeColor="text1"/>
          <w:sz w:val="22"/>
          <w:szCs w:val="22"/>
        </w:rPr>
        <w:lastRenderedPageBreak/>
        <w:t>the side effects associated with pharmacological interventions. Inequities in access to CBIT-trained practitioners further intensify these concerns by limiting choice and autonomy in care pathways</w:t>
      </w:r>
      <w:r w:rsidR="00661C18">
        <w:rPr>
          <w:rFonts w:ascii="Arial" w:hAnsi="Arial" w:cs="Arial"/>
          <w:color w:val="000000" w:themeColor="text1"/>
          <w:sz w:val="22"/>
          <w:szCs w:val="22"/>
        </w:rPr>
        <w:t xml:space="preserve"> </w:t>
      </w:r>
      <w:r w:rsidR="009B6BCE">
        <w:rPr>
          <w:rFonts w:ascii="Arial" w:hAnsi="Arial" w:cs="Arial"/>
          <w:color w:val="000000" w:themeColor="text1"/>
          <w:sz w:val="22"/>
          <w:szCs w:val="22"/>
        </w:rPr>
        <w:t>(</w:t>
      </w:r>
      <w:r w:rsidR="0078303E">
        <w:rPr>
          <w:rFonts w:ascii="Arial" w:hAnsi="Arial" w:cs="Arial"/>
          <w:color w:val="000000" w:themeColor="text1"/>
          <w:sz w:val="22"/>
          <w:szCs w:val="22"/>
        </w:rPr>
        <w:t xml:space="preserve">Can </w:t>
      </w:r>
      <w:r w:rsidR="0078303E">
        <w:rPr>
          <w:rFonts w:ascii="Arial" w:hAnsi="Arial" w:cs="Arial"/>
          <w:i/>
          <w:iCs/>
          <w:color w:val="000000" w:themeColor="text1"/>
          <w:sz w:val="22"/>
          <w:szCs w:val="22"/>
        </w:rPr>
        <w:t xml:space="preserve">et al., </w:t>
      </w:r>
      <w:r w:rsidR="0078303E">
        <w:rPr>
          <w:rFonts w:ascii="Arial" w:hAnsi="Arial" w:cs="Arial"/>
          <w:color w:val="000000" w:themeColor="text1"/>
          <w:sz w:val="22"/>
          <w:szCs w:val="22"/>
        </w:rPr>
        <w:t>2024).</w:t>
      </w:r>
    </w:p>
    <w:p w14:paraId="0A6F3D1C" w14:textId="77777777" w:rsidR="002D471B" w:rsidRPr="001A4986" w:rsidRDefault="002D471B" w:rsidP="001A4986">
      <w:pPr>
        <w:spacing w:line="360" w:lineRule="auto"/>
        <w:jc w:val="both"/>
        <w:rPr>
          <w:rFonts w:ascii="Arial" w:hAnsi="Arial" w:cs="Arial"/>
          <w:color w:val="000000" w:themeColor="text1"/>
          <w:sz w:val="22"/>
          <w:szCs w:val="22"/>
        </w:rPr>
      </w:pPr>
    </w:p>
    <w:p w14:paraId="4522B96F" w14:textId="5D2EA88F" w:rsidR="002D471B" w:rsidRPr="001A4986" w:rsidRDefault="00D05A5F"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4</w:t>
      </w:r>
      <w:r w:rsidR="002D471B" w:rsidRPr="001A4986">
        <w:rPr>
          <w:rFonts w:ascii="Arial" w:hAnsi="Arial" w:cs="Arial"/>
          <w:color w:val="000000" w:themeColor="text1"/>
          <w:sz w:val="22"/>
          <w:szCs w:val="22"/>
        </w:rPr>
        <w:t>.3 Impact on Practice and Policy</w:t>
      </w:r>
    </w:p>
    <w:p w14:paraId="27F293ED" w14:textId="109986A4" w:rsidR="000301BB" w:rsidRPr="001A4986" w:rsidRDefault="002D471B"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These debates increasingly shape service design, professional training and policy development. In practice, there is growing recognition of the need for early identification, holistic assessment and neurodiversity-informed care. Health and social care services are encouraged to adopt models that integrate behavioural support with education, family involvement and psychosocial interventions. In educational settings, debates drive reforms aimed at strengthening inclusion, ensuring consistent adjustments and reducing punitive responses to tic behaviours. Public health policy is also influenced by the recognition that </w:t>
      </w:r>
      <w:r w:rsidRPr="001A4986">
        <w:rPr>
          <w:rFonts w:ascii="Arial" w:hAnsi="Arial" w:cs="Arial"/>
          <w:color w:val="000000" w:themeColor="text1"/>
          <w:sz w:val="22"/>
          <w:szCs w:val="22"/>
        </w:rPr>
        <w:t>adverse</w:t>
      </w:r>
      <w:r w:rsidRPr="001A4986">
        <w:rPr>
          <w:rFonts w:ascii="Arial" w:hAnsi="Arial" w:cs="Arial"/>
          <w:color w:val="000000" w:themeColor="text1"/>
          <w:sz w:val="22"/>
          <w:szCs w:val="22"/>
        </w:rPr>
        <w:t xml:space="preserve"> social reactions—rather than tics themselves—often drive anxiety, isolation and reduced participation. Consequently, there is </w:t>
      </w:r>
      <w:r w:rsidRPr="001A4986">
        <w:rPr>
          <w:rFonts w:ascii="Arial" w:hAnsi="Arial" w:cs="Arial"/>
          <w:color w:val="000000" w:themeColor="text1"/>
          <w:sz w:val="22"/>
          <w:szCs w:val="22"/>
        </w:rPr>
        <w:t xml:space="preserve">a </w:t>
      </w:r>
      <w:r w:rsidRPr="001A4986">
        <w:rPr>
          <w:rFonts w:ascii="Arial" w:hAnsi="Arial" w:cs="Arial"/>
          <w:color w:val="000000" w:themeColor="text1"/>
          <w:sz w:val="22"/>
          <w:szCs w:val="22"/>
        </w:rPr>
        <w:t>rising demand for improved training for frontline professionals and expanded research funding within neurodevelopmental frameworks. These shifts encourage a more balanced integration of medical, social and rights-based perspectives within TS policy and practice</w:t>
      </w:r>
      <w:r w:rsidR="00D3579D">
        <w:rPr>
          <w:rFonts w:ascii="Arial" w:hAnsi="Arial" w:cs="Arial"/>
          <w:color w:val="000000" w:themeColor="text1"/>
          <w:sz w:val="22"/>
          <w:szCs w:val="22"/>
        </w:rPr>
        <w:t xml:space="preserve"> </w:t>
      </w:r>
      <w:r w:rsidR="000943D2">
        <w:rPr>
          <w:rFonts w:ascii="Arial" w:hAnsi="Arial" w:cs="Arial"/>
          <w:color w:val="000000" w:themeColor="text1"/>
          <w:sz w:val="22"/>
          <w:szCs w:val="22"/>
        </w:rPr>
        <w:t>(</w:t>
      </w:r>
      <w:r w:rsidR="00D3579D" w:rsidRPr="00D3579D">
        <w:rPr>
          <w:rFonts w:ascii="Arial" w:hAnsi="Arial" w:cs="Arial"/>
          <w:color w:val="000000" w:themeColor="text1"/>
          <w:sz w:val="22"/>
          <w:szCs w:val="22"/>
        </w:rPr>
        <w:t>Müller-Vahl </w:t>
      </w:r>
      <w:r w:rsidR="00D3579D" w:rsidRPr="00D3579D">
        <w:rPr>
          <w:rFonts w:ascii="Arial" w:hAnsi="Arial" w:cs="Arial"/>
          <w:i/>
          <w:iCs/>
          <w:color w:val="000000" w:themeColor="text1"/>
          <w:sz w:val="22"/>
          <w:szCs w:val="22"/>
        </w:rPr>
        <w:t>et al.</w:t>
      </w:r>
      <w:r w:rsidR="00D3579D">
        <w:rPr>
          <w:rFonts w:ascii="Arial" w:hAnsi="Arial" w:cs="Arial"/>
          <w:i/>
          <w:iCs/>
          <w:color w:val="000000" w:themeColor="text1"/>
          <w:sz w:val="22"/>
          <w:szCs w:val="22"/>
        </w:rPr>
        <w:t>,</w:t>
      </w:r>
      <w:r w:rsidR="00D3579D" w:rsidRPr="00D3579D">
        <w:rPr>
          <w:rFonts w:ascii="Arial" w:hAnsi="Arial" w:cs="Arial"/>
          <w:color w:val="000000" w:themeColor="text1"/>
          <w:sz w:val="22"/>
          <w:szCs w:val="22"/>
        </w:rPr>
        <w:t> 2022</w:t>
      </w:r>
      <w:r w:rsidR="00D3579D">
        <w:rPr>
          <w:rFonts w:ascii="Arial" w:hAnsi="Arial" w:cs="Arial"/>
          <w:color w:val="000000" w:themeColor="text1"/>
          <w:sz w:val="22"/>
          <w:szCs w:val="22"/>
        </w:rPr>
        <w:t>).</w:t>
      </w:r>
    </w:p>
    <w:p w14:paraId="4DB6850C" w14:textId="6A2F2370" w:rsidR="007969F7" w:rsidRPr="001A4986" w:rsidRDefault="006343E4" w:rsidP="001A4986">
      <w:pPr>
        <w:pStyle w:val="Heading1"/>
        <w:spacing w:line="360" w:lineRule="auto"/>
        <w:jc w:val="both"/>
        <w:rPr>
          <w:rFonts w:ascii="Arial" w:hAnsi="Arial" w:cs="Arial"/>
          <w:color w:val="000000" w:themeColor="text1"/>
          <w:sz w:val="22"/>
          <w:szCs w:val="22"/>
        </w:rPr>
      </w:pPr>
      <w:r>
        <w:t>5. R</w:t>
      </w:r>
      <w:r w:rsidR="007969F7" w:rsidRPr="001A4986">
        <w:t>ecommendations</w:t>
      </w:r>
    </w:p>
    <w:p w14:paraId="6E1AFD7D" w14:textId="77777777" w:rsidR="007969F7" w:rsidRPr="001A4986" w:rsidRDefault="007969F7" w:rsidP="001A4986">
      <w:pPr>
        <w:spacing w:line="360" w:lineRule="auto"/>
        <w:jc w:val="both"/>
        <w:rPr>
          <w:rFonts w:ascii="Arial" w:hAnsi="Arial" w:cs="Arial"/>
          <w:color w:val="000000" w:themeColor="text1"/>
          <w:sz w:val="22"/>
          <w:szCs w:val="22"/>
        </w:rPr>
      </w:pPr>
    </w:p>
    <w:p w14:paraId="4EA909E2" w14:textId="740E7E66" w:rsidR="007969F7" w:rsidRPr="001A4986" w:rsidRDefault="00057D7A"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5</w:t>
      </w:r>
      <w:r w:rsidR="007969F7" w:rsidRPr="001A4986">
        <w:rPr>
          <w:rFonts w:ascii="Arial" w:hAnsi="Arial" w:cs="Arial"/>
          <w:color w:val="000000" w:themeColor="text1"/>
          <w:sz w:val="22"/>
          <w:szCs w:val="22"/>
        </w:rPr>
        <w:t>.1 Improving Classification and Diagnosis</w:t>
      </w:r>
    </w:p>
    <w:p w14:paraId="45ECF85F" w14:textId="11523561" w:rsidR="007969F7" w:rsidRPr="00BE0676" w:rsidRDefault="007969F7"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Efforts to refine classification should prioritise terminology that is accurate, respectful and aligned with neurodiversity-informed practice. Adopting less </w:t>
      </w:r>
      <w:proofErr w:type="spellStart"/>
      <w:r w:rsidRPr="001A4986">
        <w:rPr>
          <w:rFonts w:ascii="Arial" w:hAnsi="Arial" w:cs="Arial"/>
          <w:color w:val="000000" w:themeColor="text1"/>
          <w:sz w:val="22"/>
          <w:szCs w:val="22"/>
        </w:rPr>
        <w:t>pathologising</w:t>
      </w:r>
      <w:proofErr w:type="spellEnd"/>
      <w:r w:rsidRPr="001A4986">
        <w:rPr>
          <w:rFonts w:ascii="Arial" w:hAnsi="Arial" w:cs="Arial"/>
          <w:color w:val="000000" w:themeColor="text1"/>
          <w:sz w:val="22"/>
          <w:szCs w:val="22"/>
        </w:rPr>
        <w:t xml:space="preserve"> language may improve engagement and reduce barriers to seeking support. Strengthening diagnostic pathways—particularly </w:t>
      </w:r>
      <w:r w:rsidRPr="001A4986">
        <w:rPr>
          <w:rFonts w:ascii="Arial" w:hAnsi="Arial" w:cs="Arial"/>
          <w:color w:val="000000" w:themeColor="text1"/>
          <w:sz w:val="22"/>
          <w:szCs w:val="22"/>
        </w:rPr>
        <w:t>in primary care and community paediatrics—would help minimise the lengthy delays that currently affect</w:t>
      </w:r>
      <w:r w:rsidRPr="001A4986">
        <w:rPr>
          <w:rFonts w:ascii="Arial" w:hAnsi="Arial" w:cs="Arial"/>
          <w:color w:val="000000" w:themeColor="text1"/>
          <w:sz w:val="22"/>
          <w:szCs w:val="22"/>
        </w:rPr>
        <w:t xml:space="preserve"> families. Enhanced training across education, health and mental health services is essential to ensure earlier recognition and appropriate referral. Incorporating lived-experience expertise into future diagnostic revisions would support more representative and person-centred frameworks</w:t>
      </w:r>
      <w:r w:rsidR="00924858">
        <w:rPr>
          <w:rFonts w:ascii="Arial" w:hAnsi="Arial" w:cs="Arial"/>
          <w:color w:val="000000" w:themeColor="text1"/>
          <w:sz w:val="22"/>
          <w:szCs w:val="22"/>
        </w:rPr>
        <w:t xml:space="preserve"> (</w:t>
      </w:r>
      <w:proofErr w:type="spellStart"/>
      <w:r w:rsidR="00924858">
        <w:rPr>
          <w:rFonts w:ascii="Arial" w:hAnsi="Arial" w:cs="Arial"/>
          <w:color w:val="000000" w:themeColor="text1"/>
          <w:sz w:val="22"/>
          <w:szCs w:val="22"/>
        </w:rPr>
        <w:t>B</w:t>
      </w:r>
      <w:r w:rsidR="00BE0676">
        <w:rPr>
          <w:rFonts w:ascii="Arial" w:hAnsi="Arial" w:cs="Arial"/>
          <w:color w:val="000000" w:themeColor="text1"/>
          <w:sz w:val="22"/>
          <w:szCs w:val="22"/>
        </w:rPr>
        <w:t>hikram</w:t>
      </w:r>
      <w:proofErr w:type="spellEnd"/>
      <w:r w:rsidR="00BE0676">
        <w:rPr>
          <w:rFonts w:ascii="Arial" w:hAnsi="Arial" w:cs="Arial"/>
          <w:color w:val="000000" w:themeColor="text1"/>
          <w:sz w:val="22"/>
          <w:szCs w:val="22"/>
        </w:rPr>
        <w:t xml:space="preserve"> </w:t>
      </w:r>
      <w:r w:rsidR="00BE0676">
        <w:rPr>
          <w:rFonts w:ascii="Arial" w:hAnsi="Arial" w:cs="Arial"/>
          <w:i/>
          <w:iCs/>
          <w:color w:val="000000" w:themeColor="text1"/>
          <w:sz w:val="22"/>
          <w:szCs w:val="22"/>
        </w:rPr>
        <w:t xml:space="preserve">et al., </w:t>
      </w:r>
      <w:r w:rsidR="00BE0676">
        <w:rPr>
          <w:rFonts w:ascii="Arial" w:hAnsi="Arial" w:cs="Arial"/>
          <w:color w:val="000000" w:themeColor="text1"/>
          <w:sz w:val="22"/>
          <w:szCs w:val="22"/>
        </w:rPr>
        <w:t>2021).</w:t>
      </w:r>
    </w:p>
    <w:p w14:paraId="2F01231D" w14:textId="77777777" w:rsidR="007969F7" w:rsidRPr="001A4986" w:rsidRDefault="007969F7" w:rsidP="001A4986">
      <w:pPr>
        <w:spacing w:line="360" w:lineRule="auto"/>
        <w:jc w:val="both"/>
        <w:rPr>
          <w:rFonts w:ascii="Arial" w:hAnsi="Arial" w:cs="Arial"/>
          <w:color w:val="000000" w:themeColor="text1"/>
          <w:sz w:val="22"/>
          <w:szCs w:val="22"/>
        </w:rPr>
      </w:pPr>
    </w:p>
    <w:p w14:paraId="56DE57F0" w14:textId="79FC3B58" w:rsidR="007969F7" w:rsidRPr="001A4986" w:rsidRDefault="00057D7A"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5</w:t>
      </w:r>
      <w:r w:rsidR="007969F7" w:rsidRPr="001A4986">
        <w:rPr>
          <w:rFonts w:ascii="Arial" w:hAnsi="Arial" w:cs="Arial"/>
          <w:color w:val="000000" w:themeColor="text1"/>
          <w:sz w:val="22"/>
          <w:szCs w:val="22"/>
        </w:rPr>
        <w:t>.2 Enhancing Treatment Approaches</w:t>
      </w:r>
    </w:p>
    <w:p w14:paraId="2AE074F2" w14:textId="1615A561" w:rsidR="007969F7" w:rsidRPr="001A4986" w:rsidRDefault="007969F7"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lastRenderedPageBreak/>
        <w:t xml:space="preserve">Expanding access to evidence-based behavioural therapies requires investment in workforce development and innovative delivery options, such as telehealth platforms. Personalised care plans should be co-designed with individuals and families, ensuring that interventions align with personal priorities, cultural context and neurodivergence principles. Medication monitoring processes need to be strengthened to support safer prescribing and </w:t>
      </w:r>
      <w:r w:rsidRPr="001A4986">
        <w:rPr>
          <w:rFonts w:ascii="Arial" w:hAnsi="Arial" w:cs="Arial"/>
          <w:color w:val="000000" w:themeColor="text1"/>
          <w:sz w:val="22"/>
          <w:szCs w:val="22"/>
        </w:rPr>
        <w:t xml:space="preserve">the </w:t>
      </w:r>
      <w:r w:rsidRPr="001A4986">
        <w:rPr>
          <w:rFonts w:ascii="Arial" w:hAnsi="Arial" w:cs="Arial"/>
          <w:color w:val="000000" w:themeColor="text1"/>
          <w:sz w:val="22"/>
          <w:szCs w:val="22"/>
        </w:rPr>
        <w:t>timely identification of adverse effects</w:t>
      </w:r>
      <w:r w:rsidR="00196490">
        <w:rPr>
          <w:rFonts w:ascii="Arial" w:hAnsi="Arial" w:cs="Arial"/>
          <w:color w:val="000000" w:themeColor="text1"/>
          <w:sz w:val="22"/>
          <w:szCs w:val="22"/>
        </w:rPr>
        <w:t xml:space="preserve"> (Martino</w:t>
      </w:r>
      <w:r w:rsidR="00280311">
        <w:rPr>
          <w:rFonts w:ascii="Arial" w:hAnsi="Arial" w:cs="Arial"/>
          <w:color w:val="000000" w:themeColor="text1"/>
          <w:sz w:val="22"/>
          <w:szCs w:val="22"/>
        </w:rPr>
        <w:t>, 2020).</w:t>
      </w:r>
    </w:p>
    <w:p w14:paraId="7FF32AD2" w14:textId="77777777" w:rsidR="007969F7" w:rsidRPr="001A4986" w:rsidRDefault="007969F7" w:rsidP="001A4986">
      <w:pPr>
        <w:spacing w:line="360" w:lineRule="auto"/>
        <w:jc w:val="both"/>
        <w:rPr>
          <w:rFonts w:ascii="Arial" w:hAnsi="Arial" w:cs="Arial"/>
          <w:color w:val="000000" w:themeColor="text1"/>
          <w:sz w:val="22"/>
          <w:szCs w:val="22"/>
        </w:rPr>
      </w:pPr>
    </w:p>
    <w:p w14:paraId="673317DD" w14:textId="583F4487" w:rsidR="007969F7" w:rsidRPr="001A4986" w:rsidRDefault="00057D7A"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5</w:t>
      </w:r>
      <w:r w:rsidR="007969F7" w:rsidRPr="001A4986">
        <w:rPr>
          <w:rFonts w:ascii="Arial" w:hAnsi="Arial" w:cs="Arial"/>
          <w:color w:val="000000" w:themeColor="text1"/>
          <w:sz w:val="22"/>
          <w:szCs w:val="22"/>
        </w:rPr>
        <w:t>.3 Strengthening Rehabilitation Measures</w:t>
      </w:r>
    </w:p>
    <w:p w14:paraId="2E276E53" w14:textId="1AE0D188" w:rsidR="007969F7" w:rsidRPr="001A4986" w:rsidRDefault="007969F7"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Rehabilitation should be embedded more systematically across health and education settings. Consistent, enforceable school accommodations would help ensure that pupils with tics are supported regardless of local disparities. Community-based hubs could offer integrated therapeutic and educational guidance, </w:t>
      </w:r>
      <w:r w:rsidRPr="001A4986">
        <w:rPr>
          <w:rFonts w:ascii="Arial" w:hAnsi="Arial" w:cs="Arial"/>
          <w:color w:val="000000" w:themeColor="text1"/>
          <w:sz w:val="22"/>
          <w:szCs w:val="22"/>
        </w:rPr>
        <w:t>thereby reducing care fragmentation</w:t>
      </w:r>
      <w:r w:rsidRPr="001A4986">
        <w:rPr>
          <w:rFonts w:ascii="Arial" w:hAnsi="Arial" w:cs="Arial"/>
          <w:color w:val="000000" w:themeColor="text1"/>
          <w:sz w:val="22"/>
          <w:szCs w:val="22"/>
        </w:rPr>
        <w:t>. Emphasising participation-focused goals rather than solely tic reduction aligns rehabilitation with modern, rights-based practice</w:t>
      </w:r>
      <w:r w:rsidR="00853F23">
        <w:rPr>
          <w:rFonts w:ascii="Arial" w:hAnsi="Arial" w:cs="Arial"/>
          <w:color w:val="000000" w:themeColor="text1"/>
          <w:sz w:val="22"/>
          <w:szCs w:val="22"/>
        </w:rPr>
        <w:t xml:space="preserve"> (</w:t>
      </w:r>
      <w:r w:rsidR="00853F23" w:rsidRPr="00853F23">
        <w:rPr>
          <w:rFonts w:ascii="Arial" w:hAnsi="Arial" w:cs="Arial"/>
          <w:color w:val="000000" w:themeColor="text1"/>
          <w:sz w:val="22"/>
          <w:szCs w:val="22"/>
        </w:rPr>
        <w:t>Seideman and Seideman, 2020)</w:t>
      </w:r>
      <w:r w:rsidR="00853F23">
        <w:rPr>
          <w:rFonts w:ascii="Arial" w:hAnsi="Arial" w:cs="Arial"/>
          <w:color w:val="000000" w:themeColor="text1"/>
          <w:sz w:val="22"/>
          <w:szCs w:val="22"/>
        </w:rPr>
        <w:t>.</w:t>
      </w:r>
    </w:p>
    <w:p w14:paraId="39C0355A" w14:textId="77777777" w:rsidR="007969F7" w:rsidRPr="001A4986" w:rsidRDefault="007969F7" w:rsidP="001A4986">
      <w:pPr>
        <w:spacing w:line="360" w:lineRule="auto"/>
        <w:jc w:val="both"/>
        <w:rPr>
          <w:rFonts w:ascii="Arial" w:hAnsi="Arial" w:cs="Arial"/>
          <w:color w:val="000000" w:themeColor="text1"/>
          <w:sz w:val="22"/>
          <w:szCs w:val="22"/>
        </w:rPr>
      </w:pPr>
    </w:p>
    <w:p w14:paraId="267894D5" w14:textId="19AC7C0B" w:rsidR="007969F7" w:rsidRPr="001A4986" w:rsidRDefault="00057D7A"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5</w:t>
      </w:r>
      <w:r w:rsidR="007969F7" w:rsidRPr="001A4986">
        <w:rPr>
          <w:rFonts w:ascii="Arial" w:hAnsi="Arial" w:cs="Arial"/>
          <w:color w:val="000000" w:themeColor="text1"/>
          <w:sz w:val="22"/>
          <w:szCs w:val="22"/>
        </w:rPr>
        <w:t>.4 Policy and Research Recommendations</w:t>
      </w:r>
    </w:p>
    <w:p w14:paraId="0E4F7FC6" w14:textId="047E2503" w:rsidR="007969F7" w:rsidRPr="001A4986" w:rsidRDefault="007969F7" w:rsidP="001A4986">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Further investment in longitudinal research is essential to deepen understanding of developmental pathways, co-occurring conditions and long-term outcomes. </w:t>
      </w:r>
      <w:r w:rsidR="001A4986">
        <w:rPr>
          <w:rFonts w:ascii="Arial" w:hAnsi="Arial" w:cs="Arial"/>
          <w:color w:val="000000" w:themeColor="text1"/>
          <w:sz w:val="22"/>
          <w:szCs w:val="22"/>
        </w:rPr>
        <w:t>A co-produced</w:t>
      </w:r>
      <w:r w:rsidRPr="001A4986">
        <w:rPr>
          <w:rFonts w:ascii="Arial" w:hAnsi="Arial" w:cs="Arial"/>
          <w:color w:val="000000" w:themeColor="text1"/>
          <w:sz w:val="22"/>
          <w:szCs w:val="22"/>
        </w:rPr>
        <w:t xml:space="preserve"> policy would ensure that national strategies reflect the priorities of people with TS and their families. Public health efforts should address persistent stigma through accessible, evidence-informed messaging. Finally, integrating TS within broader neurodiversity policy frameworks would help secure service parity, promoting equitable access to assessment, intervention and support</w:t>
      </w:r>
      <w:r w:rsidR="005841F2">
        <w:rPr>
          <w:rFonts w:ascii="Arial" w:hAnsi="Arial" w:cs="Arial"/>
          <w:color w:val="000000" w:themeColor="text1"/>
          <w:sz w:val="22"/>
          <w:szCs w:val="22"/>
        </w:rPr>
        <w:t xml:space="preserve"> (Anderson</w:t>
      </w:r>
      <w:r w:rsidR="00C83C23">
        <w:rPr>
          <w:rFonts w:ascii="Arial" w:hAnsi="Arial" w:cs="Arial"/>
          <w:color w:val="000000" w:themeColor="text1"/>
          <w:sz w:val="22"/>
          <w:szCs w:val="22"/>
        </w:rPr>
        <w:t>, 2022).</w:t>
      </w:r>
    </w:p>
    <w:p w14:paraId="05265C1C" w14:textId="0E826A53" w:rsidR="007A41BC" w:rsidRPr="001A4986" w:rsidRDefault="0089704D" w:rsidP="00383BBB">
      <w:pPr>
        <w:pStyle w:val="Heading1"/>
        <w:jc w:val="both"/>
        <w:rPr>
          <w:rFonts w:ascii="Arial" w:hAnsi="Arial" w:cs="Arial"/>
          <w:color w:val="000000" w:themeColor="text1"/>
          <w:sz w:val="22"/>
          <w:szCs w:val="22"/>
        </w:rPr>
      </w:pPr>
      <w:r>
        <w:t>6. C</w:t>
      </w:r>
      <w:r w:rsidR="007A41BC" w:rsidRPr="001A4986">
        <w:t>onclusion</w:t>
      </w:r>
    </w:p>
    <w:p w14:paraId="427DFA6F" w14:textId="077D912F" w:rsidR="007A41BC" w:rsidRPr="001A4986" w:rsidRDefault="007A41BC" w:rsidP="00383BBB">
      <w:pPr>
        <w:spacing w:line="360" w:lineRule="auto"/>
        <w:jc w:val="both"/>
        <w:rPr>
          <w:rFonts w:ascii="Arial" w:hAnsi="Arial" w:cs="Arial"/>
          <w:color w:val="000000" w:themeColor="text1"/>
          <w:sz w:val="22"/>
          <w:szCs w:val="22"/>
        </w:rPr>
      </w:pPr>
      <w:r w:rsidRPr="001A4986">
        <w:rPr>
          <w:rFonts w:ascii="Arial" w:hAnsi="Arial" w:cs="Arial"/>
          <w:color w:val="000000" w:themeColor="text1"/>
          <w:sz w:val="22"/>
          <w:szCs w:val="22"/>
        </w:rPr>
        <w:t xml:space="preserve">Tourette’s syndrome remains a complex neurodevelopmental condition shaped by ongoing debates about classification, treatment goals, and the role of neurodivergence. While ICD-11 situates TS within tic disorders using medicalised language, </w:t>
      </w:r>
      <w:r w:rsidR="00032B58" w:rsidRPr="001A4986">
        <w:rPr>
          <w:rFonts w:ascii="Arial" w:hAnsi="Arial" w:cs="Arial"/>
          <w:color w:val="000000" w:themeColor="text1"/>
          <w:sz w:val="22"/>
          <w:szCs w:val="22"/>
        </w:rPr>
        <w:t>it increases</w:t>
      </w:r>
      <w:r w:rsidRPr="001A4986">
        <w:rPr>
          <w:rFonts w:ascii="Arial" w:hAnsi="Arial" w:cs="Arial"/>
          <w:color w:val="000000" w:themeColor="text1"/>
          <w:sz w:val="22"/>
          <w:szCs w:val="22"/>
        </w:rPr>
        <w:t xml:space="preserve"> recognition of neurodiversity challenges, deficit-based interpretations and encourages person-centred approaches. Effective treatment incorporates behavioural interventions, carefully monitored medication, and rehabilitation measures that emphasise participation and environmental adaptation. However, access to services remains inconsistent, and many individuals experience barriers rooted in stigma, limited awareness, and uneven policy implementation. </w:t>
      </w:r>
      <w:r w:rsidRPr="001A4986">
        <w:rPr>
          <w:rFonts w:ascii="Arial" w:hAnsi="Arial" w:cs="Arial"/>
          <w:color w:val="000000" w:themeColor="text1"/>
          <w:sz w:val="22"/>
          <w:szCs w:val="22"/>
        </w:rPr>
        <w:lastRenderedPageBreak/>
        <w:t xml:space="preserve">Strengthening diagnostic pathways, expanding behavioural therapy provision, improving school-based support, and embedding neurodiversity-informed principles into policy could significantly enhance outcomes. Continued research and meaningful involvement of people with lived experience will be essential to refining classification systems and ensuring equitable, responsive care for those living with Tourette’s syndrome. </w:t>
      </w:r>
    </w:p>
    <w:p w14:paraId="6E41165F" w14:textId="5E2D4651" w:rsidR="000264A1" w:rsidRPr="007A41BC" w:rsidRDefault="00057D7A" w:rsidP="007A41BC">
      <w:pPr>
        <w:pStyle w:val="Heading1"/>
      </w:pPr>
      <w:r>
        <w:t>7</w:t>
      </w:r>
      <w:r w:rsidR="007A41BC">
        <w:t>. References</w:t>
      </w:r>
    </w:p>
    <w:p w14:paraId="6AD23E83"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Anderson, S.M. (2022) ‘European clinical guidelines for Tourette Syndrome and other tic disorders: patients’ perspectives on research and treatment’, </w:t>
      </w:r>
      <w:r w:rsidRPr="00B94CEF">
        <w:rPr>
          <w:rFonts w:ascii="Arial" w:eastAsia="Times New Roman" w:hAnsi="Arial" w:cs="Arial"/>
          <w:i/>
          <w:iCs/>
          <w:kern w:val="0"/>
          <w:sz w:val="22"/>
          <w:szCs w:val="22"/>
          <w:lang w:eastAsia="en-GB"/>
          <w14:ligatures w14:val="none"/>
        </w:rPr>
        <w:t>European child &amp; adolescent psychiatry</w:t>
      </w:r>
      <w:r w:rsidRPr="00B94CEF">
        <w:rPr>
          <w:rFonts w:ascii="Arial" w:eastAsia="Times New Roman" w:hAnsi="Arial" w:cs="Arial"/>
          <w:kern w:val="0"/>
          <w:sz w:val="22"/>
          <w:szCs w:val="22"/>
          <w:lang w:eastAsia="en-GB"/>
          <w14:ligatures w14:val="none"/>
        </w:rPr>
        <w:t xml:space="preserve">, 31(3), pp. 463–469. Available at: </w:t>
      </w:r>
      <w:hyperlink r:id="rId11" w:history="1">
        <w:r w:rsidRPr="00B94CEF">
          <w:rPr>
            <w:rStyle w:val="Hyperlink"/>
            <w:rFonts w:ascii="Arial" w:eastAsia="Times New Roman" w:hAnsi="Arial" w:cs="Arial"/>
            <w:kern w:val="0"/>
            <w:sz w:val="22"/>
            <w:szCs w:val="22"/>
            <w:lang w:eastAsia="en-GB"/>
            <w14:ligatures w14:val="none"/>
          </w:rPr>
          <w:t>https://doi.org/10.1007/s00787-021-01854-y</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1EB51044"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Andrén, P.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(2022) ‘European clinical guidelines for Tourette syndrome and other tic disorders—version 2.0. Part II: </w:t>
      </w:r>
      <w:r w:rsidRPr="00B94CEF">
        <w:rPr>
          <w:rFonts w:ascii="Arial" w:eastAsia="Times New Roman" w:hAnsi="Arial" w:cs="Arial"/>
          <w:kern w:val="0"/>
          <w:sz w:val="22"/>
          <w:szCs w:val="22"/>
          <w:lang w:eastAsia="en-GB"/>
          <w14:ligatures w14:val="none"/>
        </w:rPr>
        <w:t>Psychological Interventions, European Child &amp; Adolescent Psychiatry</w:t>
      </w:r>
      <w:r w:rsidRPr="00B94CEF">
        <w:rPr>
          <w:rFonts w:ascii="Arial" w:eastAsia="Times New Roman" w:hAnsi="Arial" w:cs="Arial"/>
          <w:kern w:val="0"/>
          <w:sz w:val="22"/>
          <w:szCs w:val="22"/>
          <w:lang w:eastAsia="en-GB"/>
          <w14:ligatures w14:val="none"/>
        </w:rPr>
        <w:t xml:space="preserve">, 31(3), pp. 403–423. Available at: </w:t>
      </w:r>
      <w:hyperlink r:id="rId12" w:history="1">
        <w:r w:rsidRPr="00B94CEF">
          <w:rPr>
            <w:rStyle w:val="Hyperlink"/>
            <w:rFonts w:ascii="Arial" w:eastAsia="Times New Roman" w:hAnsi="Arial" w:cs="Arial"/>
            <w:kern w:val="0"/>
            <w:sz w:val="22"/>
            <w:szCs w:val="22"/>
            <w:lang w:eastAsia="en-GB"/>
            <w14:ligatures w14:val="none"/>
          </w:rPr>
          <w:t>https://doi.org/10.1007/s00787-021-01845-z</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233DD11A"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Baldermann, J.C.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(2025) ‘Update on tic disorders and Tourette syndrome’, </w:t>
      </w:r>
      <w:proofErr w:type="spellStart"/>
      <w:r w:rsidRPr="00B94CEF">
        <w:rPr>
          <w:rFonts w:ascii="Arial" w:eastAsia="Times New Roman" w:hAnsi="Arial" w:cs="Arial"/>
          <w:i/>
          <w:iCs/>
          <w:kern w:val="0"/>
          <w:sz w:val="22"/>
          <w:szCs w:val="22"/>
          <w:lang w:eastAsia="en-GB"/>
          <w14:ligatures w14:val="none"/>
        </w:rPr>
        <w:t>Nervenarzt</w:t>
      </w:r>
      <w:proofErr w:type="spellEnd"/>
      <w:r w:rsidRPr="00B94CEF">
        <w:rPr>
          <w:rFonts w:ascii="Arial" w:eastAsia="Times New Roman" w:hAnsi="Arial" w:cs="Arial"/>
          <w:kern w:val="0"/>
          <w:sz w:val="22"/>
          <w:szCs w:val="22"/>
          <w:lang w:eastAsia="en-GB"/>
          <w14:ligatures w14:val="none"/>
        </w:rPr>
        <w:t xml:space="preserve">, 96(7), p. 715. Available at: </w:t>
      </w:r>
      <w:hyperlink r:id="rId13" w:history="1">
        <w:r w:rsidRPr="00B94CEF">
          <w:rPr>
            <w:rStyle w:val="Hyperlink"/>
            <w:rFonts w:ascii="Arial" w:eastAsia="Times New Roman" w:hAnsi="Arial" w:cs="Arial"/>
            <w:kern w:val="0"/>
            <w:sz w:val="22"/>
            <w:szCs w:val="22"/>
            <w:lang w:eastAsia="en-GB"/>
            <w14:ligatures w14:val="none"/>
          </w:rPr>
          <w:t>https://doi.org/10.1007/s00115-025-01914-7</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158BA877"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proofErr w:type="spellStart"/>
      <w:r w:rsidRPr="00B94CEF">
        <w:rPr>
          <w:rFonts w:ascii="Arial" w:eastAsia="Times New Roman" w:hAnsi="Arial" w:cs="Arial"/>
          <w:kern w:val="0"/>
          <w:sz w:val="22"/>
          <w:szCs w:val="22"/>
          <w:lang w:eastAsia="en-GB"/>
          <w14:ligatures w14:val="none"/>
        </w:rPr>
        <w:t>Bhikram</w:t>
      </w:r>
      <w:proofErr w:type="spellEnd"/>
      <w:r w:rsidRPr="00B94CEF">
        <w:rPr>
          <w:rFonts w:ascii="Arial" w:eastAsia="Times New Roman" w:hAnsi="Arial" w:cs="Arial"/>
          <w:kern w:val="0"/>
          <w:sz w:val="22"/>
          <w:szCs w:val="22"/>
          <w:lang w:eastAsia="en-GB"/>
          <w14:ligatures w14:val="none"/>
        </w:rPr>
        <w:t xml:space="preserve">, T.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(2021) ‘An International Survey of Health Care Services Available to Patients With Tourette Syndrome’, </w:t>
      </w:r>
      <w:r w:rsidRPr="00B94CEF">
        <w:rPr>
          <w:rFonts w:ascii="Arial" w:eastAsia="Times New Roman" w:hAnsi="Arial" w:cs="Arial"/>
          <w:i/>
          <w:iCs/>
          <w:kern w:val="0"/>
          <w:sz w:val="22"/>
          <w:szCs w:val="22"/>
          <w:lang w:eastAsia="en-GB"/>
          <w14:ligatures w14:val="none"/>
        </w:rPr>
        <w:t>Frontiers in psychiatry</w:t>
      </w:r>
      <w:r w:rsidRPr="00B94CEF">
        <w:rPr>
          <w:rFonts w:ascii="Arial" w:eastAsia="Times New Roman" w:hAnsi="Arial" w:cs="Arial"/>
          <w:kern w:val="0"/>
          <w:sz w:val="22"/>
          <w:szCs w:val="22"/>
          <w:lang w:eastAsia="en-GB"/>
          <w14:ligatures w14:val="none"/>
        </w:rPr>
        <w:t xml:space="preserve">, 12, p. 621874. Available at: </w:t>
      </w:r>
      <w:hyperlink r:id="rId14" w:history="1">
        <w:r w:rsidRPr="00B94CEF">
          <w:rPr>
            <w:rStyle w:val="Hyperlink"/>
            <w:rFonts w:ascii="Arial" w:eastAsia="Times New Roman" w:hAnsi="Arial" w:cs="Arial"/>
            <w:kern w:val="0"/>
            <w:sz w:val="22"/>
            <w:szCs w:val="22"/>
            <w:lang w:eastAsia="en-GB"/>
            <w14:ligatures w14:val="none"/>
          </w:rPr>
          <w:t>https://doi.org/10.3389/fpsyt.2021.621874</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29CAA4CA"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Can, A.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(2024) ‘Pharmacological Treatment of Tourette Disorder in Children’, </w:t>
      </w:r>
      <w:r w:rsidRPr="00B94CEF">
        <w:rPr>
          <w:rFonts w:ascii="Arial" w:eastAsia="Times New Roman" w:hAnsi="Arial" w:cs="Arial"/>
          <w:i/>
          <w:iCs/>
          <w:kern w:val="0"/>
          <w:sz w:val="22"/>
          <w:szCs w:val="22"/>
          <w:lang w:eastAsia="en-GB"/>
          <w14:ligatures w14:val="none"/>
        </w:rPr>
        <w:t xml:space="preserve">Journal of </w:t>
      </w:r>
      <w:r w:rsidRPr="00B94CEF">
        <w:rPr>
          <w:rFonts w:ascii="Arial" w:eastAsia="Times New Roman" w:hAnsi="Arial" w:cs="Arial"/>
          <w:i/>
          <w:iCs/>
          <w:kern w:val="0"/>
          <w:sz w:val="22"/>
          <w:szCs w:val="22"/>
          <w:lang w:eastAsia="en-GB"/>
          <w14:ligatures w14:val="none"/>
        </w:rPr>
        <w:t>Child and Adolescent Psychopharmacology</w:t>
      </w:r>
      <w:r w:rsidRPr="00B94CEF">
        <w:rPr>
          <w:rFonts w:ascii="Arial" w:eastAsia="Times New Roman" w:hAnsi="Arial" w:cs="Arial"/>
          <w:kern w:val="0"/>
          <w:sz w:val="22"/>
          <w:szCs w:val="22"/>
          <w:lang w:eastAsia="en-GB"/>
          <w14:ligatures w14:val="none"/>
        </w:rPr>
        <w:t xml:space="preserve">, 34(8), pp. 346–352. Available at: </w:t>
      </w:r>
      <w:hyperlink r:id="rId15" w:history="1">
        <w:r w:rsidRPr="00B94CEF">
          <w:rPr>
            <w:rStyle w:val="Hyperlink"/>
            <w:rFonts w:ascii="Arial" w:eastAsia="Times New Roman" w:hAnsi="Arial" w:cs="Arial"/>
            <w:kern w:val="0"/>
            <w:sz w:val="22"/>
            <w:szCs w:val="22"/>
            <w:lang w:eastAsia="en-GB"/>
            <w14:ligatures w14:val="none"/>
          </w:rPr>
          <w:t>https://doi.org/10.1089/cap.2023.0026</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5E209EC4"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Grant, A.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(2025) ‘“A Lovely Safe Umbrella to Describe Yourself With” or “Meaningless” : An Online Survey of UK-Based Neurodivergent Adults’ Views of Neurodiversity-Related Terminology’, </w:t>
      </w:r>
      <w:r w:rsidRPr="00B94CEF">
        <w:rPr>
          <w:rFonts w:ascii="Arial" w:eastAsia="Times New Roman" w:hAnsi="Arial" w:cs="Arial"/>
          <w:i/>
          <w:iCs/>
          <w:kern w:val="0"/>
          <w:sz w:val="22"/>
          <w:szCs w:val="22"/>
          <w:lang w:eastAsia="en-GB"/>
          <w14:ligatures w14:val="none"/>
        </w:rPr>
        <w:t>Neurodiversity</w:t>
      </w:r>
      <w:r w:rsidRPr="00B94CEF">
        <w:rPr>
          <w:rFonts w:ascii="Arial" w:eastAsia="Times New Roman" w:hAnsi="Arial" w:cs="Arial"/>
          <w:kern w:val="0"/>
          <w:sz w:val="22"/>
          <w:szCs w:val="22"/>
          <w:lang w:eastAsia="en-GB"/>
          <w14:ligatures w14:val="none"/>
        </w:rPr>
        <w:t xml:space="preserve">, 3. Available at: </w:t>
      </w:r>
      <w:hyperlink r:id="rId16" w:history="1">
        <w:r w:rsidRPr="00B94CEF">
          <w:rPr>
            <w:rStyle w:val="Hyperlink"/>
            <w:rFonts w:ascii="Arial" w:eastAsia="Times New Roman" w:hAnsi="Arial" w:cs="Arial"/>
            <w:kern w:val="0"/>
            <w:sz w:val="22"/>
            <w:szCs w:val="22"/>
            <w:lang w:eastAsia="en-GB"/>
            <w14:ligatures w14:val="none"/>
          </w:rPr>
          <w:t>https://doi.org/10.1177/27546330251390590</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2477A6B0"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Ho, C.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(2020) ‘Is the Yale Global Tic Severity Scale a valid tool for parent-reported assessment in the paediatric population? A prospective observational study in Taiwan</w:t>
      </w:r>
      <w:r w:rsidRPr="00B94CEF">
        <w:rPr>
          <w:rFonts w:ascii="Arial" w:eastAsia="Times New Roman" w:hAnsi="Arial" w:cs="Arial"/>
          <w:kern w:val="0"/>
          <w:sz w:val="22"/>
          <w:szCs w:val="22"/>
          <w:lang w:eastAsia="en-GB"/>
          <w14:ligatures w14:val="none"/>
        </w:rPr>
        <w:t>, BMJ Open</w:t>
      </w:r>
      <w:r w:rsidRPr="00B94CEF">
        <w:rPr>
          <w:rFonts w:ascii="Arial" w:eastAsia="Times New Roman" w:hAnsi="Arial" w:cs="Arial"/>
          <w:kern w:val="0"/>
          <w:sz w:val="22"/>
          <w:szCs w:val="22"/>
          <w:lang w:eastAsia="en-GB"/>
          <w14:ligatures w14:val="none"/>
        </w:rPr>
        <w:t xml:space="preserve">, 10(8), p. e034634. Available at: </w:t>
      </w:r>
      <w:hyperlink r:id="rId17" w:history="1">
        <w:r w:rsidRPr="00B94CEF">
          <w:rPr>
            <w:rStyle w:val="Hyperlink"/>
            <w:rFonts w:ascii="Arial" w:eastAsia="Times New Roman" w:hAnsi="Arial" w:cs="Arial"/>
            <w:kern w:val="0"/>
            <w:sz w:val="22"/>
            <w:szCs w:val="22"/>
            <w:lang w:eastAsia="en-GB"/>
            <w14:ligatures w14:val="none"/>
          </w:rPr>
          <w:t>https://doi.org/10.1136/bmjopen-2019-034634</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1D426D7B"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Hobson, H.M., Toseeb, U. and Gibson, J.L. (2024) ‘Developmental language disorder and neurodiversity: Surfacing contradictions, tensions and unanswered questions’, </w:t>
      </w:r>
      <w:r w:rsidRPr="00B94CEF">
        <w:rPr>
          <w:rFonts w:ascii="Arial" w:eastAsia="Times New Roman" w:hAnsi="Arial" w:cs="Arial"/>
          <w:i/>
          <w:iCs/>
          <w:kern w:val="0"/>
          <w:sz w:val="22"/>
          <w:szCs w:val="22"/>
          <w:lang w:eastAsia="en-GB"/>
          <w14:ligatures w14:val="none"/>
        </w:rPr>
        <w:t xml:space="preserve">International </w:t>
      </w:r>
      <w:r w:rsidRPr="00B94CEF">
        <w:rPr>
          <w:rFonts w:ascii="Arial" w:eastAsia="Times New Roman" w:hAnsi="Arial" w:cs="Arial"/>
          <w:i/>
          <w:iCs/>
          <w:kern w:val="0"/>
          <w:sz w:val="22"/>
          <w:szCs w:val="22"/>
          <w:lang w:eastAsia="en-GB"/>
          <w14:ligatures w14:val="none"/>
        </w:rPr>
        <w:t>J</w:t>
      </w:r>
      <w:r w:rsidRPr="00B94CEF">
        <w:rPr>
          <w:rFonts w:ascii="Arial" w:eastAsia="Times New Roman" w:hAnsi="Arial" w:cs="Arial"/>
          <w:i/>
          <w:iCs/>
          <w:kern w:val="0"/>
          <w:sz w:val="22"/>
          <w:szCs w:val="22"/>
          <w:lang w:eastAsia="en-GB"/>
          <w14:ligatures w14:val="none"/>
        </w:rPr>
        <w:t xml:space="preserve">ournal of </w:t>
      </w:r>
      <w:r w:rsidRPr="00B94CEF">
        <w:rPr>
          <w:rFonts w:ascii="Arial" w:eastAsia="Times New Roman" w:hAnsi="Arial" w:cs="Arial"/>
          <w:i/>
          <w:iCs/>
          <w:kern w:val="0"/>
          <w:sz w:val="22"/>
          <w:szCs w:val="22"/>
          <w:lang w:eastAsia="en-GB"/>
          <w14:ligatures w14:val="none"/>
        </w:rPr>
        <w:t>L</w:t>
      </w:r>
      <w:r w:rsidRPr="00B94CEF">
        <w:rPr>
          <w:rFonts w:ascii="Arial" w:eastAsia="Times New Roman" w:hAnsi="Arial" w:cs="Arial"/>
          <w:i/>
          <w:iCs/>
          <w:kern w:val="0"/>
          <w:sz w:val="22"/>
          <w:szCs w:val="22"/>
          <w:lang w:eastAsia="en-GB"/>
          <w14:ligatures w14:val="none"/>
        </w:rPr>
        <w:t xml:space="preserve">anguage &amp; </w:t>
      </w:r>
      <w:r w:rsidRPr="00B94CEF">
        <w:rPr>
          <w:rFonts w:ascii="Arial" w:eastAsia="Times New Roman" w:hAnsi="Arial" w:cs="Arial"/>
          <w:i/>
          <w:iCs/>
          <w:kern w:val="0"/>
          <w:sz w:val="22"/>
          <w:szCs w:val="22"/>
          <w:lang w:eastAsia="en-GB"/>
          <w14:ligatures w14:val="none"/>
        </w:rPr>
        <w:t>C</w:t>
      </w:r>
      <w:r w:rsidRPr="00B94CEF">
        <w:rPr>
          <w:rFonts w:ascii="Arial" w:eastAsia="Times New Roman" w:hAnsi="Arial" w:cs="Arial"/>
          <w:i/>
          <w:iCs/>
          <w:kern w:val="0"/>
          <w:sz w:val="22"/>
          <w:szCs w:val="22"/>
          <w:lang w:eastAsia="en-GB"/>
          <w14:ligatures w14:val="none"/>
        </w:rPr>
        <w:t xml:space="preserve">ommunication </w:t>
      </w:r>
      <w:r w:rsidRPr="00B94CEF">
        <w:rPr>
          <w:rFonts w:ascii="Arial" w:eastAsia="Times New Roman" w:hAnsi="Arial" w:cs="Arial"/>
          <w:i/>
          <w:iCs/>
          <w:kern w:val="0"/>
          <w:sz w:val="22"/>
          <w:szCs w:val="22"/>
          <w:lang w:eastAsia="en-GB"/>
          <w14:ligatures w14:val="none"/>
        </w:rPr>
        <w:t>D</w:t>
      </w:r>
      <w:r w:rsidRPr="00B94CEF">
        <w:rPr>
          <w:rFonts w:ascii="Arial" w:eastAsia="Times New Roman" w:hAnsi="Arial" w:cs="Arial"/>
          <w:i/>
          <w:iCs/>
          <w:kern w:val="0"/>
          <w:sz w:val="22"/>
          <w:szCs w:val="22"/>
          <w:lang w:eastAsia="en-GB"/>
          <w14:ligatures w14:val="none"/>
        </w:rPr>
        <w:t>isorders</w:t>
      </w:r>
      <w:r w:rsidRPr="00B94CEF">
        <w:rPr>
          <w:rFonts w:ascii="Arial" w:eastAsia="Times New Roman" w:hAnsi="Arial" w:cs="Arial"/>
          <w:kern w:val="0"/>
          <w:sz w:val="22"/>
          <w:szCs w:val="22"/>
          <w:lang w:eastAsia="en-GB"/>
          <w14:ligatures w14:val="none"/>
        </w:rPr>
        <w:t xml:space="preserve">, 59(4), pp. 1505–1516. Available at: </w:t>
      </w:r>
      <w:hyperlink r:id="rId18" w:history="1">
        <w:r w:rsidRPr="00B94CEF">
          <w:rPr>
            <w:rStyle w:val="Hyperlink"/>
            <w:rFonts w:ascii="Arial" w:eastAsia="Times New Roman" w:hAnsi="Arial" w:cs="Arial"/>
            <w:kern w:val="0"/>
            <w:sz w:val="22"/>
            <w:szCs w:val="22"/>
            <w:lang w:eastAsia="en-GB"/>
            <w14:ligatures w14:val="none"/>
          </w:rPr>
          <w:t>https://doi.org/10.1111/1460-6984.13009</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186EBC5C"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lastRenderedPageBreak/>
        <w:t xml:space="preserve">Kohler, K., Rosen, N. and Piacentini, J. (2025) ‘Description, Implementation, and Efficacy of the Comprehensive </w:t>
      </w:r>
      <w:r w:rsidRPr="00B94CEF">
        <w:rPr>
          <w:rFonts w:ascii="Arial" w:eastAsia="Times New Roman" w:hAnsi="Arial" w:cs="Arial"/>
          <w:kern w:val="0"/>
          <w:sz w:val="22"/>
          <w:szCs w:val="22"/>
          <w:lang w:eastAsia="en-GB"/>
          <w14:ligatures w14:val="none"/>
        </w:rPr>
        <w:t>Behavioural Intervention for Tics as First-Line Treatment for Tourette and Other Tic Disorders’, Journal of Child and Adolescent Psychopharmacology</w:t>
      </w:r>
      <w:r w:rsidRPr="00B94CEF">
        <w:rPr>
          <w:rFonts w:ascii="Arial" w:eastAsia="Times New Roman" w:hAnsi="Arial" w:cs="Arial"/>
          <w:kern w:val="0"/>
          <w:sz w:val="22"/>
          <w:szCs w:val="22"/>
          <w:lang w:eastAsia="en-GB"/>
          <w14:ligatures w14:val="none"/>
        </w:rPr>
        <w:t xml:space="preserve">, 35(3), pp. 126–134. Available at: </w:t>
      </w:r>
      <w:hyperlink r:id="rId19" w:history="1">
        <w:r w:rsidRPr="00B94CEF">
          <w:rPr>
            <w:rStyle w:val="Hyperlink"/>
            <w:rFonts w:ascii="Arial" w:eastAsia="Times New Roman" w:hAnsi="Arial" w:cs="Arial"/>
            <w:kern w:val="0"/>
            <w:sz w:val="22"/>
            <w:szCs w:val="22"/>
            <w:lang w:eastAsia="en-GB"/>
            <w14:ligatures w14:val="none"/>
          </w:rPr>
          <w:t>https://doi.org/10.1089/cap.2024.0023</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6B3CE37F"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Makhoul, K. and Jankovic, J. (2023) ‘Real-world experience with VMAT2 inhibitors in Tourette syndrome’, </w:t>
      </w:r>
      <w:r w:rsidRPr="00B94CEF">
        <w:rPr>
          <w:rFonts w:ascii="Arial" w:eastAsia="Times New Roman" w:hAnsi="Arial" w:cs="Arial"/>
          <w:i/>
          <w:iCs/>
          <w:kern w:val="0"/>
          <w:sz w:val="22"/>
          <w:szCs w:val="22"/>
          <w:lang w:eastAsia="en-GB"/>
          <w14:ligatures w14:val="none"/>
        </w:rPr>
        <w:t xml:space="preserve">Journal of </w:t>
      </w:r>
      <w:r w:rsidRPr="00B94CEF">
        <w:rPr>
          <w:rFonts w:ascii="Arial" w:eastAsia="Times New Roman" w:hAnsi="Arial" w:cs="Arial"/>
          <w:i/>
          <w:iCs/>
          <w:kern w:val="0"/>
          <w:sz w:val="22"/>
          <w:szCs w:val="22"/>
          <w:lang w:eastAsia="en-GB"/>
          <w14:ligatures w14:val="none"/>
        </w:rPr>
        <w:t>Neurology</w:t>
      </w:r>
      <w:r w:rsidRPr="00B94CEF">
        <w:rPr>
          <w:rFonts w:ascii="Arial" w:eastAsia="Times New Roman" w:hAnsi="Arial" w:cs="Arial"/>
          <w:kern w:val="0"/>
          <w:sz w:val="22"/>
          <w:szCs w:val="22"/>
          <w:lang w:eastAsia="en-GB"/>
          <w14:ligatures w14:val="none"/>
        </w:rPr>
        <w:t xml:space="preserve">, 270(9), pp. 4518–4522. Available at: </w:t>
      </w:r>
      <w:hyperlink r:id="rId20" w:history="1">
        <w:r w:rsidRPr="00B94CEF">
          <w:rPr>
            <w:rStyle w:val="Hyperlink"/>
            <w:rFonts w:ascii="Arial" w:eastAsia="Times New Roman" w:hAnsi="Arial" w:cs="Arial"/>
            <w:kern w:val="0"/>
            <w:sz w:val="22"/>
            <w:szCs w:val="22"/>
            <w:lang w:eastAsia="en-GB"/>
            <w14:ligatures w14:val="none"/>
          </w:rPr>
          <w:t>https://doi.org/10.1007/s00415-023-11769-0</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19F06352"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Martino, D. (2020) ‘Update on the Treatment of Tics in Tourette Syndrome and Other Chronic Tic Disorders’, </w:t>
      </w:r>
      <w:r w:rsidRPr="00B94CEF">
        <w:rPr>
          <w:rFonts w:ascii="Arial" w:eastAsia="Times New Roman" w:hAnsi="Arial" w:cs="Arial"/>
          <w:i/>
          <w:iCs/>
          <w:kern w:val="0"/>
          <w:sz w:val="22"/>
          <w:szCs w:val="22"/>
          <w:lang w:eastAsia="en-GB"/>
          <w14:ligatures w14:val="none"/>
        </w:rPr>
        <w:t>Current treatment options in neurology</w:t>
      </w:r>
      <w:r w:rsidRPr="00B94CEF">
        <w:rPr>
          <w:rFonts w:ascii="Arial" w:eastAsia="Times New Roman" w:hAnsi="Arial" w:cs="Arial"/>
          <w:kern w:val="0"/>
          <w:sz w:val="22"/>
          <w:szCs w:val="22"/>
          <w:lang w:eastAsia="en-GB"/>
          <w14:ligatures w14:val="none"/>
        </w:rPr>
        <w:t xml:space="preserve">, 22(4). Available at: </w:t>
      </w:r>
      <w:hyperlink r:id="rId21" w:history="1">
        <w:r w:rsidRPr="00B94CEF">
          <w:rPr>
            <w:rStyle w:val="Hyperlink"/>
            <w:rFonts w:ascii="Arial" w:eastAsia="Times New Roman" w:hAnsi="Arial" w:cs="Arial"/>
            <w:kern w:val="0"/>
            <w:sz w:val="22"/>
            <w:szCs w:val="22"/>
            <w:lang w:eastAsia="en-GB"/>
            <w14:ligatures w14:val="none"/>
          </w:rPr>
          <w:t>https://doi.org/10.1007/s11940-020-0620-z</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361EEEB9"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Morand-Beaulieu, S. and Leclerc, J.B. (2020) ‘Tourette syndrome: Research challenges to improve clinical practice’, </w:t>
      </w:r>
      <w:r w:rsidRPr="00B94CEF">
        <w:rPr>
          <w:rFonts w:ascii="Arial" w:eastAsia="Times New Roman" w:hAnsi="Arial" w:cs="Arial"/>
          <w:i/>
          <w:iCs/>
          <w:kern w:val="0"/>
          <w:sz w:val="22"/>
          <w:szCs w:val="22"/>
          <w:lang w:eastAsia="en-GB"/>
          <w14:ligatures w14:val="none"/>
        </w:rPr>
        <w:t>Encéphale</w:t>
      </w:r>
      <w:r w:rsidRPr="00B94CEF">
        <w:rPr>
          <w:rFonts w:ascii="Arial" w:eastAsia="Times New Roman" w:hAnsi="Arial" w:cs="Arial"/>
          <w:kern w:val="0"/>
          <w:sz w:val="22"/>
          <w:szCs w:val="22"/>
          <w:lang w:eastAsia="en-GB"/>
          <w14:ligatures w14:val="none"/>
        </w:rPr>
        <w:t xml:space="preserve">, 46(2), p. 146. Available at: </w:t>
      </w:r>
      <w:hyperlink r:id="rId22" w:history="1">
        <w:r w:rsidRPr="00B94CEF">
          <w:rPr>
            <w:rStyle w:val="Hyperlink"/>
            <w:rFonts w:ascii="Arial" w:eastAsia="Times New Roman" w:hAnsi="Arial" w:cs="Arial"/>
            <w:kern w:val="0"/>
            <w:sz w:val="22"/>
            <w:szCs w:val="22"/>
            <w:lang w:eastAsia="en-GB"/>
            <w14:ligatures w14:val="none"/>
          </w:rPr>
          <w:t>https://doi.org/10.1016/j.encep.2019.10.002</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5BB8EFF2"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Müller-Vahl, K.R.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(2022) ‘European clinical guidelines for Tourette syndrome and other tic disorders: summary statement’, </w:t>
      </w:r>
      <w:r w:rsidRPr="00B94CEF">
        <w:rPr>
          <w:rFonts w:ascii="Arial" w:eastAsia="Times New Roman" w:hAnsi="Arial" w:cs="Arial"/>
          <w:i/>
          <w:iCs/>
          <w:kern w:val="0"/>
          <w:sz w:val="22"/>
          <w:szCs w:val="22"/>
          <w:lang w:eastAsia="en-GB"/>
          <w14:ligatures w14:val="none"/>
        </w:rPr>
        <w:t>European child &amp; adolescent psychiatry</w:t>
      </w:r>
      <w:r w:rsidRPr="00B94CEF">
        <w:rPr>
          <w:rFonts w:ascii="Arial" w:eastAsia="Times New Roman" w:hAnsi="Arial" w:cs="Arial"/>
          <w:kern w:val="0"/>
          <w:sz w:val="22"/>
          <w:szCs w:val="22"/>
          <w:lang w:eastAsia="en-GB"/>
          <w14:ligatures w14:val="none"/>
        </w:rPr>
        <w:t xml:space="preserve">, 31(3), pp. 377–382. Available at: </w:t>
      </w:r>
      <w:hyperlink r:id="rId23" w:history="1">
        <w:r w:rsidRPr="00B94CEF">
          <w:rPr>
            <w:rStyle w:val="Hyperlink"/>
            <w:rFonts w:ascii="Arial" w:eastAsia="Times New Roman" w:hAnsi="Arial" w:cs="Arial"/>
            <w:kern w:val="0"/>
            <w:sz w:val="22"/>
            <w:szCs w:val="22"/>
            <w:lang w:eastAsia="en-GB"/>
            <w14:ligatures w14:val="none"/>
          </w:rPr>
          <w:t>https://doi.org/10.1007/s00787-021-01832-4</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60D9EE5B"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Rattu, N.R.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(2025) ‘</w:t>
      </w:r>
      <w:r w:rsidRPr="00B94CEF">
        <w:rPr>
          <w:rFonts w:ascii="Arial" w:eastAsia="Times New Roman" w:hAnsi="Arial" w:cs="Arial"/>
          <w:kern w:val="0"/>
          <w:sz w:val="22"/>
          <w:szCs w:val="22"/>
          <w:lang w:eastAsia="en-GB"/>
          <w14:ligatures w14:val="none"/>
        </w:rPr>
        <w:t>Improving</w:t>
      </w:r>
      <w:r w:rsidRPr="00B94CEF">
        <w:rPr>
          <w:rFonts w:ascii="Arial" w:eastAsia="Times New Roman" w:hAnsi="Arial" w:cs="Arial"/>
          <w:kern w:val="0"/>
          <w:sz w:val="22"/>
          <w:szCs w:val="22"/>
          <w:lang w:eastAsia="en-GB"/>
          <w14:ligatures w14:val="none"/>
        </w:rPr>
        <w:t xml:space="preserve"> Tic services in </w:t>
      </w:r>
      <w:r w:rsidRPr="00B94CEF">
        <w:rPr>
          <w:rFonts w:ascii="Arial" w:eastAsia="Times New Roman" w:hAnsi="Arial" w:cs="Arial"/>
          <w:kern w:val="0"/>
          <w:sz w:val="22"/>
          <w:szCs w:val="22"/>
          <w:lang w:eastAsia="en-GB"/>
          <w14:ligatures w14:val="none"/>
        </w:rPr>
        <w:t>England</w:t>
      </w:r>
      <w:r w:rsidRPr="00B94CEF">
        <w:rPr>
          <w:rFonts w:ascii="Arial" w:eastAsia="Times New Roman" w:hAnsi="Arial" w:cs="Arial"/>
          <w:kern w:val="0"/>
          <w:sz w:val="22"/>
          <w:szCs w:val="22"/>
          <w:lang w:eastAsia="en-GB"/>
          <w14:ligatures w14:val="none"/>
        </w:rPr>
        <w:t xml:space="preserve">: a multi-method study to explore existing healthcare service provision for children and young people with tics and Tourette syndrome’, </w:t>
      </w:r>
      <w:r w:rsidRPr="00B94CEF">
        <w:rPr>
          <w:rFonts w:ascii="Arial" w:eastAsia="Times New Roman" w:hAnsi="Arial" w:cs="Arial"/>
          <w:i/>
          <w:iCs/>
          <w:kern w:val="0"/>
          <w:sz w:val="22"/>
          <w:szCs w:val="22"/>
          <w:lang w:eastAsia="en-GB"/>
          <w14:ligatures w14:val="none"/>
        </w:rPr>
        <w:t>BMJ mental health</w:t>
      </w:r>
      <w:r w:rsidRPr="00B94CEF">
        <w:rPr>
          <w:rFonts w:ascii="Arial" w:eastAsia="Times New Roman" w:hAnsi="Arial" w:cs="Arial"/>
          <w:kern w:val="0"/>
          <w:sz w:val="22"/>
          <w:szCs w:val="22"/>
          <w:lang w:eastAsia="en-GB"/>
          <w14:ligatures w14:val="none"/>
        </w:rPr>
        <w:t xml:space="preserve">, 28(1), p. e301599. Available at: </w:t>
      </w:r>
      <w:hyperlink r:id="rId24" w:history="1">
        <w:r w:rsidRPr="00B94CEF">
          <w:rPr>
            <w:rStyle w:val="Hyperlink"/>
            <w:rFonts w:ascii="Arial" w:eastAsia="Times New Roman" w:hAnsi="Arial" w:cs="Arial"/>
            <w:kern w:val="0"/>
            <w:sz w:val="22"/>
            <w:szCs w:val="22"/>
            <w:lang w:eastAsia="en-GB"/>
            <w14:ligatures w14:val="none"/>
          </w:rPr>
          <w:t>https://doi.org/10.1136/bmjment-2025-301599</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2399F1ED"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Seideman, M.F. and Seideman, T.A. (2020) ‘A Review of the Current Treatment of Tourette Syndrome’, </w:t>
      </w:r>
      <w:r w:rsidRPr="00B94CEF">
        <w:rPr>
          <w:rFonts w:ascii="Arial" w:eastAsia="Times New Roman" w:hAnsi="Arial" w:cs="Arial"/>
          <w:i/>
          <w:iCs/>
          <w:kern w:val="0"/>
          <w:sz w:val="22"/>
          <w:szCs w:val="22"/>
          <w:lang w:eastAsia="en-GB"/>
          <w14:ligatures w14:val="none"/>
        </w:rPr>
        <w:t xml:space="preserve">The </w:t>
      </w:r>
      <w:r w:rsidRPr="00B94CEF">
        <w:rPr>
          <w:rFonts w:ascii="Arial" w:eastAsia="Times New Roman" w:hAnsi="Arial" w:cs="Arial"/>
          <w:i/>
          <w:iCs/>
          <w:kern w:val="0"/>
          <w:sz w:val="22"/>
          <w:szCs w:val="22"/>
          <w:lang w:eastAsia="en-GB"/>
          <w14:ligatures w14:val="none"/>
        </w:rPr>
        <w:t>Journal of Paediatric Pharmacology and Therapeutics</w:t>
      </w:r>
      <w:r w:rsidRPr="00B94CEF">
        <w:rPr>
          <w:rFonts w:ascii="Arial" w:eastAsia="Times New Roman" w:hAnsi="Arial" w:cs="Arial"/>
          <w:kern w:val="0"/>
          <w:sz w:val="22"/>
          <w:szCs w:val="22"/>
          <w:lang w:eastAsia="en-GB"/>
          <w14:ligatures w14:val="none"/>
        </w:rPr>
        <w:t xml:space="preserve">, 25(5), pp. 401–412. Available at: </w:t>
      </w:r>
      <w:hyperlink r:id="rId25" w:history="1">
        <w:r w:rsidRPr="00B94CEF">
          <w:rPr>
            <w:rStyle w:val="Hyperlink"/>
            <w:rFonts w:ascii="Arial" w:eastAsia="Times New Roman" w:hAnsi="Arial" w:cs="Arial"/>
            <w:kern w:val="0"/>
            <w:sz w:val="22"/>
            <w:szCs w:val="22"/>
            <w:lang w:eastAsia="en-GB"/>
            <w14:ligatures w14:val="none"/>
          </w:rPr>
          <w:t>https://doi.org/10.5863/1551-6776-25.5.401</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63E2D4E8"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Szejko, N.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(2022) ‘European clinical guidelines for Tourette syndrome and other tic disorders—version 2.0. Part I: assessment’, </w:t>
      </w:r>
      <w:r w:rsidRPr="00B94CEF">
        <w:rPr>
          <w:rFonts w:ascii="Arial" w:eastAsia="Times New Roman" w:hAnsi="Arial" w:cs="Arial"/>
          <w:i/>
          <w:iCs/>
          <w:kern w:val="0"/>
          <w:sz w:val="22"/>
          <w:szCs w:val="22"/>
          <w:lang w:eastAsia="en-GB"/>
          <w14:ligatures w14:val="none"/>
        </w:rPr>
        <w:t>European child &amp; adolescent psychiatry</w:t>
      </w:r>
      <w:r w:rsidRPr="00B94CEF">
        <w:rPr>
          <w:rFonts w:ascii="Arial" w:eastAsia="Times New Roman" w:hAnsi="Arial" w:cs="Arial"/>
          <w:kern w:val="0"/>
          <w:sz w:val="22"/>
          <w:szCs w:val="22"/>
          <w:lang w:eastAsia="en-GB"/>
          <w14:ligatures w14:val="none"/>
        </w:rPr>
        <w:t xml:space="preserve">, 31(3), pp. 383–402. Available at: </w:t>
      </w:r>
      <w:hyperlink r:id="rId26" w:history="1">
        <w:r w:rsidRPr="00B94CEF">
          <w:rPr>
            <w:rStyle w:val="Hyperlink"/>
            <w:rFonts w:ascii="Arial" w:eastAsia="Times New Roman" w:hAnsi="Arial" w:cs="Arial"/>
            <w:kern w:val="0"/>
            <w:sz w:val="22"/>
            <w:szCs w:val="22"/>
            <w:lang w:eastAsia="en-GB"/>
            <w14:ligatures w14:val="none"/>
          </w:rPr>
          <w:t>https://doi.org/10.1007/s00787-021-01842-2</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100EB0E2" w14:textId="77777777" w:rsidR="00B94CEF" w:rsidRPr="00B94CEF" w:rsidRDefault="00B94CEF" w:rsidP="00B94CEF">
      <w:pPr>
        <w:pStyle w:val="ListParagraph"/>
        <w:numPr>
          <w:ilvl w:val="0"/>
          <w:numId w:val="15"/>
        </w:numPr>
        <w:spacing w:after="0" w:line="360" w:lineRule="auto"/>
        <w:jc w:val="both"/>
        <w:rPr>
          <w:rFonts w:ascii="Arial" w:eastAsia="Times New Roman" w:hAnsi="Arial" w:cs="Arial"/>
          <w:kern w:val="0"/>
          <w:sz w:val="22"/>
          <w:szCs w:val="22"/>
          <w:lang w:eastAsia="en-GB"/>
          <w14:ligatures w14:val="none"/>
        </w:rPr>
      </w:pPr>
      <w:r w:rsidRPr="00B94CEF">
        <w:rPr>
          <w:rFonts w:ascii="Arial" w:eastAsia="Times New Roman" w:hAnsi="Arial" w:cs="Arial"/>
          <w:kern w:val="0"/>
          <w:sz w:val="22"/>
          <w:szCs w:val="22"/>
          <w:lang w:eastAsia="en-GB"/>
          <w14:ligatures w14:val="none"/>
        </w:rPr>
        <w:t xml:space="preserve">Woods, D.W. </w:t>
      </w:r>
      <w:r w:rsidRPr="00B94CEF">
        <w:rPr>
          <w:rFonts w:ascii="Arial" w:eastAsia="Times New Roman" w:hAnsi="Arial" w:cs="Arial"/>
          <w:i/>
          <w:iCs/>
          <w:kern w:val="0"/>
          <w:sz w:val="22"/>
          <w:szCs w:val="22"/>
          <w:lang w:eastAsia="en-GB"/>
          <w14:ligatures w14:val="none"/>
        </w:rPr>
        <w:t>et al.</w:t>
      </w:r>
      <w:r w:rsidRPr="00B94CEF">
        <w:rPr>
          <w:rFonts w:ascii="Arial" w:eastAsia="Times New Roman" w:hAnsi="Arial" w:cs="Arial"/>
          <w:kern w:val="0"/>
          <w:sz w:val="22"/>
          <w:szCs w:val="22"/>
          <w:lang w:eastAsia="en-GB"/>
          <w14:ligatures w14:val="none"/>
        </w:rPr>
        <w:t xml:space="preserve"> (2023) ‘</w:t>
      </w:r>
      <w:r w:rsidRPr="00B94CEF">
        <w:rPr>
          <w:rFonts w:ascii="Arial" w:eastAsia="Times New Roman" w:hAnsi="Arial" w:cs="Arial"/>
          <w:kern w:val="0"/>
          <w:sz w:val="22"/>
          <w:szCs w:val="22"/>
          <w:lang w:eastAsia="en-GB"/>
          <w14:ligatures w14:val="none"/>
        </w:rPr>
        <w:t>Behavioural</w:t>
      </w:r>
      <w:r w:rsidRPr="00B94CEF">
        <w:rPr>
          <w:rFonts w:ascii="Arial" w:eastAsia="Times New Roman" w:hAnsi="Arial" w:cs="Arial"/>
          <w:kern w:val="0"/>
          <w:sz w:val="22"/>
          <w:szCs w:val="22"/>
          <w:lang w:eastAsia="en-GB"/>
          <w14:ligatures w14:val="none"/>
        </w:rPr>
        <w:t xml:space="preserve"> Interventions for Children and Adults with Tic Disorder’, </w:t>
      </w:r>
      <w:r w:rsidRPr="00B94CEF">
        <w:rPr>
          <w:rFonts w:ascii="Arial" w:eastAsia="Times New Roman" w:hAnsi="Arial" w:cs="Arial"/>
          <w:i/>
          <w:iCs/>
          <w:kern w:val="0"/>
          <w:sz w:val="22"/>
          <w:szCs w:val="22"/>
          <w:lang w:eastAsia="en-GB"/>
          <w14:ligatures w14:val="none"/>
        </w:rPr>
        <w:t>Annual review of clinical psychology</w:t>
      </w:r>
      <w:r w:rsidRPr="00B94CEF">
        <w:rPr>
          <w:rFonts w:ascii="Arial" w:eastAsia="Times New Roman" w:hAnsi="Arial" w:cs="Arial"/>
          <w:kern w:val="0"/>
          <w:sz w:val="22"/>
          <w:szCs w:val="22"/>
          <w:lang w:eastAsia="en-GB"/>
          <w14:ligatures w14:val="none"/>
        </w:rPr>
        <w:t xml:space="preserve">, 19(1), pp. 233–260. Available at: </w:t>
      </w:r>
      <w:hyperlink r:id="rId27" w:history="1">
        <w:r w:rsidRPr="00B94CEF">
          <w:rPr>
            <w:rStyle w:val="Hyperlink"/>
            <w:rFonts w:ascii="Arial" w:eastAsia="Times New Roman" w:hAnsi="Arial" w:cs="Arial"/>
            <w:kern w:val="0"/>
            <w:sz w:val="22"/>
            <w:szCs w:val="22"/>
            <w:lang w:eastAsia="en-GB"/>
            <w14:ligatures w14:val="none"/>
          </w:rPr>
          <w:t>https://doi.org/10.1146/annurev-clinpsy-080921-074307</w:t>
        </w:r>
      </w:hyperlink>
      <w:r w:rsidRPr="00B94CEF">
        <w:rPr>
          <w:rFonts w:ascii="Arial" w:eastAsia="Times New Roman" w:hAnsi="Arial" w:cs="Arial"/>
          <w:kern w:val="0"/>
          <w:sz w:val="22"/>
          <w:szCs w:val="22"/>
          <w:lang w:eastAsia="en-GB"/>
          <w14:ligatures w14:val="none"/>
        </w:rPr>
        <w:t>.</w:t>
      </w:r>
      <w:r w:rsidRPr="00B94CEF">
        <w:rPr>
          <w:rFonts w:ascii="Arial" w:eastAsia="Times New Roman" w:hAnsi="Arial" w:cs="Arial"/>
          <w:kern w:val="0"/>
          <w:sz w:val="22"/>
          <w:szCs w:val="22"/>
          <w:lang w:eastAsia="en-GB"/>
          <w14:ligatures w14:val="none"/>
        </w:rPr>
        <w:t xml:space="preserve"> </w:t>
      </w:r>
    </w:p>
    <w:p w14:paraId="1EA49775" w14:textId="77777777" w:rsidR="00B94CEF" w:rsidRPr="00D26F1C" w:rsidRDefault="00B94CEF" w:rsidP="00B94CEF">
      <w:pPr>
        <w:pStyle w:val="ListParagraph"/>
        <w:numPr>
          <w:ilvl w:val="0"/>
          <w:numId w:val="15"/>
        </w:numPr>
        <w:spacing w:line="360" w:lineRule="auto"/>
        <w:jc w:val="both"/>
        <w:rPr>
          <w:rFonts w:ascii="Arial" w:hAnsi="Arial" w:cs="Arial"/>
          <w:sz w:val="22"/>
          <w:szCs w:val="22"/>
        </w:rPr>
      </w:pPr>
      <w:r w:rsidRPr="00D26F1C">
        <w:rPr>
          <w:rFonts w:ascii="Arial" w:hAnsi="Arial" w:cs="Arial"/>
          <w:sz w:val="22"/>
          <w:szCs w:val="22"/>
        </w:rPr>
        <w:t xml:space="preserve">Yilmaz, A.Y. and Jankovic, J. (2025) ‘Epidemiology of Tourette Syndrome’, </w:t>
      </w:r>
      <w:r w:rsidRPr="00D26F1C">
        <w:rPr>
          <w:rFonts w:ascii="Arial" w:hAnsi="Arial" w:cs="Arial"/>
          <w:i/>
          <w:iCs/>
          <w:sz w:val="22"/>
          <w:szCs w:val="22"/>
        </w:rPr>
        <w:t xml:space="preserve">Brain </w:t>
      </w:r>
      <w:r w:rsidRPr="00B94CEF">
        <w:rPr>
          <w:rFonts w:ascii="Arial" w:hAnsi="Arial" w:cs="Arial"/>
          <w:i/>
          <w:iCs/>
          <w:sz w:val="22"/>
          <w:szCs w:val="22"/>
        </w:rPr>
        <w:t>Sciences</w:t>
      </w:r>
      <w:r w:rsidRPr="00D26F1C">
        <w:rPr>
          <w:rFonts w:ascii="Arial" w:hAnsi="Arial" w:cs="Arial"/>
          <w:sz w:val="22"/>
          <w:szCs w:val="22"/>
        </w:rPr>
        <w:t xml:space="preserve">, 15(5), p. 426. Available at: </w:t>
      </w:r>
      <w:hyperlink r:id="rId28" w:history="1">
        <w:r w:rsidRPr="00D26F1C">
          <w:rPr>
            <w:rStyle w:val="Hyperlink"/>
            <w:rFonts w:ascii="Arial" w:hAnsi="Arial" w:cs="Arial"/>
            <w:sz w:val="22"/>
            <w:szCs w:val="22"/>
          </w:rPr>
          <w:t>https://doi.org/10.3390/brainsci15050426</w:t>
        </w:r>
      </w:hyperlink>
      <w:r w:rsidRPr="00D26F1C">
        <w:rPr>
          <w:rFonts w:ascii="Arial" w:hAnsi="Arial" w:cs="Arial"/>
          <w:sz w:val="22"/>
          <w:szCs w:val="22"/>
        </w:rPr>
        <w:t>.</w:t>
      </w:r>
      <w:r w:rsidRPr="00B94CEF">
        <w:rPr>
          <w:rFonts w:ascii="Arial" w:hAnsi="Arial" w:cs="Arial"/>
          <w:sz w:val="22"/>
          <w:szCs w:val="22"/>
        </w:rPr>
        <w:t xml:space="preserve"> </w:t>
      </w:r>
    </w:p>
    <w:sectPr w:rsidR="00B94CEF" w:rsidRPr="00D26F1C">
      <w:footerReference w:type="even" r:id="rId29"/>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D14C38" w14:textId="77777777" w:rsidR="00637171" w:rsidRDefault="00637171" w:rsidP="000264A1">
      <w:pPr>
        <w:spacing w:after="0" w:line="240" w:lineRule="auto"/>
      </w:pPr>
      <w:r>
        <w:separator/>
      </w:r>
    </w:p>
  </w:endnote>
  <w:endnote w:type="continuationSeparator" w:id="0">
    <w:p w14:paraId="6D7C9349" w14:textId="77777777" w:rsidR="00637171" w:rsidRDefault="00637171" w:rsidP="0002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43280839"/>
      <w:docPartObj>
        <w:docPartGallery w:val="Page Numbers (Bottom of Page)"/>
        <w:docPartUnique/>
      </w:docPartObj>
    </w:sdtPr>
    <w:sdtEndPr>
      <w:rPr>
        <w:rStyle w:val="PageNumber"/>
      </w:rPr>
    </w:sdtEndPr>
    <w:sdtContent>
      <w:p w14:paraId="4FDE4EC7" w14:textId="59635FAE"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3D25C3" w14:textId="77777777" w:rsidR="000264A1" w:rsidRDefault="000264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70438059"/>
      <w:docPartObj>
        <w:docPartGallery w:val="Page Numbers (Bottom of Page)"/>
        <w:docPartUnique/>
      </w:docPartObj>
    </w:sdtPr>
    <w:sdtEndPr>
      <w:rPr>
        <w:rStyle w:val="PageNumber"/>
      </w:rPr>
    </w:sdtEndPr>
    <w:sdtContent>
      <w:p w14:paraId="686F83AA" w14:textId="6256BCB1" w:rsidR="000264A1" w:rsidRDefault="000264A1" w:rsidP="00CF11E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20D046D" w14:textId="77777777" w:rsidR="000264A1" w:rsidRDefault="000264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83DF3F" w14:textId="77777777" w:rsidR="00637171" w:rsidRDefault="00637171" w:rsidP="000264A1">
      <w:pPr>
        <w:spacing w:after="0" w:line="240" w:lineRule="auto"/>
      </w:pPr>
      <w:r>
        <w:separator/>
      </w:r>
    </w:p>
  </w:footnote>
  <w:footnote w:type="continuationSeparator" w:id="0">
    <w:p w14:paraId="5BF75865" w14:textId="77777777" w:rsidR="00637171" w:rsidRDefault="00637171" w:rsidP="000264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47592"/>
    <w:multiLevelType w:val="hybridMultilevel"/>
    <w:tmpl w:val="7402E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CD1119"/>
    <w:multiLevelType w:val="hybridMultilevel"/>
    <w:tmpl w:val="49408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C0B00"/>
    <w:multiLevelType w:val="hybridMultilevel"/>
    <w:tmpl w:val="497EB712"/>
    <w:lvl w:ilvl="0" w:tplc="0C78962A">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2070F7"/>
    <w:multiLevelType w:val="hybridMultilevel"/>
    <w:tmpl w:val="22A45C7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6182644"/>
    <w:multiLevelType w:val="hybridMultilevel"/>
    <w:tmpl w:val="5EC0474A"/>
    <w:lvl w:ilvl="0" w:tplc="0C78962A">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2A163865"/>
    <w:multiLevelType w:val="hybridMultilevel"/>
    <w:tmpl w:val="29D4F950"/>
    <w:lvl w:ilvl="0" w:tplc="E6E0E6E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33057571"/>
    <w:multiLevelType w:val="hybridMultilevel"/>
    <w:tmpl w:val="3BEE7316"/>
    <w:lvl w:ilvl="0" w:tplc="6EA4E810">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17430EB"/>
    <w:multiLevelType w:val="hybridMultilevel"/>
    <w:tmpl w:val="698A5720"/>
    <w:lvl w:ilvl="0" w:tplc="A3FA553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47571F5B"/>
    <w:multiLevelType w:val="hybridMultilevel"/>
    <w:tmpl w:val="28C46CD4"/>
    <w:lvl w:ilvl="0" w:tplc="0C78962A">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545B01"/>
    <w:multiLevelType w:val="hybridMultilevel"/>
    <w:tmpl w:val="EFAADB18"/>
    <w:lvl w:ilvl="0" w:tplc="0C78962A">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D8542E"/>
    <w:multiLevelType w:val="hybridMultilevel"/>
    <w:tmpl w:val="E53E26D4"/>
    <w:lvl w:ilvl="0" w:tplc="5298E64E">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6F722DBC"/>
    <w:multiLevelType w:val="hybridMultilevel"/>
    <w:tmpl w:val="5066CD94"/>
    <w:lvl w:ilvl="0" w:tplc="76F0306E">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70414BD8"/>
    <w:multiLevelType w:val="hybridMultilevel"/>
    <w:tmpl w:val="14DEFC38"/>
    <w:lvl w:ilvl="0" w:tplc="14A2E0AE">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72992581"/>
    <w:multiLevelType w:val="hybridMultilevel"/>
    <w:tmpl w:val="12465D7A"/>
    <w:lvl w:ilvl="0" w:tplc="0C78962A">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DCC5104"/>
    <w:multiLevelType w:val="hybridMultilevel"/>
    <w:tmpl w:val="B32E5CC0"/>
    <w:lvl w:ilvl="0" w:tplc="0C78962A">
      <w:numFmt w:val="bullet"/>
      <w:lvlText w:val="•"/>
      <w:lvlJc w:val="left"/>
      <w:pPr>
        <w:ind w:left="144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5082374">
    <w:abstractNumId w:val="1"/>
  </w:num>
  <w:num w:numId="2" w16cid:durableId="2123258455">
    <w:abstractNumId w:val="0"/>
  </w:num>
  <w:num w:numId="3" w16cid:durableId="705064897">
    <w:abstractNumId w:val="4"/>
  </w:num>
  <w:num w:numId="4" w16cid:durableId="1065449549">
    <w:abstractNumId w:val="13"/>
  </w:num>
  <w:num w:numId="5" w16cid:durableId="1110126428">
    <w:abstractNumId w:val="10"/>
  </w:num>
  <w:num w:numId="6" w16cid:durableId="1509294398">
    <w:abstractNumId w:val="8"/>
  </w:num>
  <w:num w:numId="7" w16cid:durableId="2026979566">
    <w:abstractNumId w:val="11"/>
  </w:num>
  <w:num w:numId="8" w16cid:durableId="621958102">
    <w:abstractNumId w:val="14"/>
  </w:num>
  <w:num w:numId="9" w16cid:durableId="1578784538">
    <w:abstractNumId w:val="7"/>
  </w:num>
  <w:num w:numId="10" w16cid:durableId="1444572542">
    <w:abstractNumId w:val="9"/>
  </w:num>
  <w:num w:numId="11" w16cid:durableId="1029454877">
    <w:abstractNumId w:val="5"/>
  </w:num>
  <w:num w:numId="12" w16cid:durableId="1742865571">
    <w:abstractNumId w:val="2"/>
  </w:num>
  <w:num w:numId="13" w16cid:durableId="1810706715">
    <w:abstractNumId w:val="12"/>
  </w:num>
  <w:num w:numId="14" w16cid:durableId="1030837781">
    <w:abstractNumId w:val="6"/>
  </w:num>
  <w:num w:numId="15" w16cid:durableId="715900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4A1"/>
    <w:rsid w:val="00011DB8"/>
    <w:rsid w:val="000264A1"/>
    <w:rsid w:val="000270FB"/>
    <w:rsid w:val="000301BB"/>
    <w:rsid w:val="00032B58"/>
    <w:rsid w:val="00057D7A"/>
    <w:rsid w:val="00060FB4"/>
    <w:rsid w:val="000626CC"/>
    <w:rsid w:val="000943D2"/>
    <w:rsid w:val="000D7069"/>
    <w:rsid w:val="00154B0E"/>
    <w:rsid w:val="00196490"/>
    <w:rsid w:val="001A4986"/>
    <w:rsid w:val="001C61EE"/>
    <w:rsid w:val="001E5A74"/>
    <w:rsid w:val="001F07E7"/>
    <w:rsid w:val="00247C72"/>
    <w:rsid w:val="00251B56"/>
    <w:rsid w:val="00280311"/>
    <w:rsid w:val="0028497B"/>
    <w:rsid w:val="002D471B"/>
    <w:rsid w:val="00322557"/>
    <w:rsid w:val="00383BBB"/>
    <w:rsid w:val="003A3ED1"/>
    <w:rsid w:val="003D28CC"/>
    <w:rsid w:val="003D74CD"/>
    <w:rsid w:val="003E1991"/>
    <w:rsid w:val="003F5C9E"/>
    <w:rsid w:val="00414232"/>
    <w:rsid w:val="004471BC"/>
    <w:rsid w:val="00453625"/>
    <w:rsid w:val="004A0513"/>
    <w:rsid w:val="004A506B"/>
    <w:rsid w:val="004C6FA8"/>
    <w:rsid w:val="004E06F5"/>
    <w:rsid w:val="00541B17"/>
    <w:rsid w:val="00556503"/>
    <w:rsid w:val="0056290A"/>
    <w:rsid w:val="005841F2"/>
    <w:rsid w:val="005914B7"/>
    <w:rsid w:val="005A6F49"/>
    <w:rsid w:val="005C6879"/>
    <w:rsid w:val="005D6946"/>
    <w:rsid w:val="005F67BC"/>
    <w:rsid w:val="00603016"/>
    <w:rsid w:val="00606777"/>
    <w:rsid w:val="006343E4"/>
    <w:rsid w:val="00637171"/>
    <w:rsid w:val="00661C18"/>
    <w:rsid w:val="006774D3"/>
    <w:rsid w:val="006C02DC"/>
    <w:rsid w:val="006E427E"/>
    <w:rsid w:val="006F6624"/>
    <w:rsid w:val="00722ABC"/>
    <w:rsid w:val="00764492"/>
    <w:rsid w:val="0078303E"/>
    <w:rsid w:val="007969F7"/>
    <w:rsid w:val="00797B8D"/>
    <w:rsid w:val="007A41BC"/>
    <w:rsid w:val="007C3A65"/>
    <w:rsid w:val="007C499D"/>
    <w:rsid w:val="00843325"/>
    <w:rsid w:val="00853F23"/>
    <w:rsid w:val="00862F70"/>
    <w:rsid w:val="0089704D"/>
    <w:rsid w:val="008A2C3D"/>
    <w:rsid w:val="008A6D32"/>
    <w:rsid w:val="008C2742"/>
    <w:rsid w:val="008E2531"/>
    <w:rsid w:val="0090576B"/>
    <w:rsid w:val="00924858"/>
    <w:rsid w:val="00936EA8"/>
    <w:rsid w:val="00974AB3"/>
    <w:rsid w:val="00995111"/>
    <w:rsid w:val="009B6BCE"/>
    <w:rsid w:val="009E4C3A"/>
    <w:rsid w:val="009E6B1C"/>
    <w:rsid w:val="00A07D85"/>
    <w:rsid w:val="00A43B89"/>
    <w:rsid w:val="00A54FDE"/>
    <w:rsid w:val="00A747C4"/>
    <w:rsid w:val="00A80285"/>
    <w:rsid w:val="00AC6A13"/>
    <w:rsid w:val="00AD76C6"/>
    <w:rsid w:val="00B114B5"/>
    <w:rsid w:val="00B30C1E"/>
    <w:rsid w:val="00B94CEF"/>
    <w:rsid w:val="00BD7804"/>
    <w:rsid w:val="00BE0676"/>
    <w:rsid w:val="00C51FCF"/>
    <w:rsid w:val="00C81AA4"/>
    <w:rsid w:val="00C83C23"/>
    <w:rsid w:val="00CA2F7B"/>
    <w:rsid w:val="00D05A5F"/>
    <w:rsid w:val="00D26F1C"/>
    <w:rsid w:val="00D320CE"/>
    <w:rsid w:val="00D3579D"/>
    <w:rsid w:val="00D85787"/>
    <w:rsid w:val="00DA18C8"/>
    <w:rsid w:val="00E11F1B"/>
    <w:rsid w:val="00E14E81"/>
    <w:rsid w:val="00E5282D"/>
    <w:rsid w:val="00E7598D"/>
    <w:rsid w:val="00FC6ECA"/>
    <w:rsid w:val="00FF67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4C6F0"/>
  <w15:chartTrackingRefBased/>
  <w15:docId w15:val="{2B0B94F5-90B5-C240-86BD-13C918C6B1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4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264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4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4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4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4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4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4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4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4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264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4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4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4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4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4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4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4A1"/>
    <w:rPr>
      <w:rFonts w:eastAsiaTheme="majorEastAsia" w:cstheme="majorBidi"/>
      <w:color w:val="272727" w:themeColor="text1" w:themeTint="D8"/>
    </w:rPr>
  </w:style>
  <w:style w:type="paragraph" w:styleId="Title">
    <w:name w:val="Title"/>
    <w:basedOn w:val="Normal"/>
    <w:next w:val="Normal"/>
    <w:link w:val="TitleChar"/>
    <w:uiPriority w:val="10"/>
    <w:qFormat/>
    <w:rsid w:val="000264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4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4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4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4A1"/>
    <w:pPr>
      <w:spacing w:before="160"/>
      <w:jc w:val="center"/>
    </w:pPr>
    <w:rPr>
      <w:i/>
      <w:iCs/>
      <w:color w:val="404040" w:themeColor="text1" w:themeTint="BF"/>
    </w:rPr>
  </w:style>
  <w:style w:type="character" w:customStyle="1" w:styleId="QuoteChar">
    <w:name w:val="Quote Char"/>
    <w:basedOn w:val="DefaultParagraphFont"/>
    <w:link w:val="Quote"/>
    <w:uiPriority w:val="29"/>
    <w:rsid w:val="000264A1"/>
    <w:rPr>
      <w:i/>
      <w:iCs/>
      <w:color w:val="404040" w:themeColor="text1" w:themeTint="BF"/>
    </w:rPr>
  </w:style>
  <w:style w:type="paragraph" w:styleId="ListParagraph">
    <w:name w:val="List Paragraph"/>
    <w:basedOn w:val="Normal"/>
    <w:uiPriority w:val="34"/>
    <w:qFormat/>
    <w:rsid w:val="000264A1"/>
    <w:pPr>
      <w:ind w:left="720"/>
      <w:contextualSpacing/>
    </w:pPr>
  </w:style>
  <w:style w:type="character" w:styleId="IntenseEmphasis">
    <w:name w:val="Intense Emphasis"/>
    <w:basedOn w:val="DefaultParagraphFont"/>
    <w:uiPriority w:val="21"/>
    <w:qFormat/>
    <w:rsid w:val="000264A1"/>
    <w:rPr>
      <w:i/>
      <w:iCs/>
      <w:color w:val="0F4761" w:themeColor="accent1" w:themeShade="BF"/>
    </w:rPr>
  </w:style>
  <w:style w:type="paragraph" w:styleId="IntenseQuote">
    <w:name w:val="Intense Quote"/>
    <w:basedOn w:val="Normal"/>
    <w:next w:val="Normal"/>
    <w:link w:val="IntenseQuoteChar"/>
    <w:uiPriority w:val="30"/>
    <w:qFormat/>
    <w:rsid w:val="000264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4A1"/>
    <w:rPr>
      <w:i/>
      <w:iCs/>
      <w:color w:val="0F4761" w:themeColor="accent1" w:themeShade="BF"/>
    </w:rPr>
  </w:style>
  <w:style w:type="character" w:styleId="IntenseReference">
    <w:name w:val="Intense Reference"/>
    <w:basedOn w:val="DefaultParagraphFont"/>
    <w:uiPriority w:val="32"/>
    <w:qFormat/>
    <w:rsid w:val="000264A1"/>
    <w:rPr>
      <w:b/>
      <w:bCs/>
      <w:smallCaps/>
      <w:color w:val="0F4761" w:themeColor="accent1" w:themeShade="BF"/>
      <w:spacing w:val="5"/>
    </w:rPr>
  </w:style>
  <w:style w:type="character" w:styleId="Strong">
    <w:name w:val="Strong"/>
    <w:basedOn w:val="DefaultParagraphFont"/>
    <w:uiPriority w:val="22"/>
    <w:qFormat/>
    <w:rsid w:val="000264A1"/>
    <w:rPr>
      <w:b/>
      <w:bCs/>
    </w:rPr>
  </w:style>
  <w:style w:type="paragraph" w:styleId="Footer">
    <w:name w:val="footer"/>
    <w:basedOn w:val="Normal"/>
    <w:link w:val="FooterChar"/>
    <w:uiPriority w:val="99"/>
    <w:unhideWhenUsed/>
    <w:rsid w:val="0002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64A1"/>
  </w:style>
  <w:style w:type="character" w:styleId="PageNumber">
    <w:name w:val="page number"/>
    <w:basedOn w:val="DefaultParagraphFont"/>
    <w:uiPriority w:val="99"/>
    <w:semiHidden/>
    <w:unhideWhenUsed/>
    <w:rsid w:val="000264A1"/>
  </w:style>
  <w:style w:type="paragraph" w:styleId="NormalWeb">
    <w:name w:val="Normal (Web)"/>
    <w:basedOn w:val="Normal"/>
    <w:uiPriority w:val="99"/>
    <w:semiHidden/>
    <w:unhideWhenUsed/>
    <w:rsid w:val="008A6D3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8A6D32"/>
  </w:style>
  <w:style w:type="character" w:styleId="Hyperlink">
    <w:name w:val="Hyperlink"/>
    <w:basedOn w:val="DefaultParagraphFont"/>
    <w:uiPriority w:val="99"/>
    <w:unhideWhenUsed/>
    <w:rsid w:val="00D26F1C"/>
    <w:rPr>
      <w:color w:val="467886" w:themeColor="hyperlink"/>
      <w:u w:val="single"/>
    </w:rPr>
  </w:style>
  <w:style w:type="character" w:styleId="UnresolvedMention">
    <w:name w:val="Unresolved Mention"/>
    <w:basedOn w:val="DefaultParagraphFont"/>
    <w:uiPriority w:val="99"/>
    <w:semiHidden/>
    <w:unhideWhenUsed/>
    <w:rsid w:val="00D26F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696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07/s00115-025-01914-7" TargetMode="External"/><Relationship Id="rId18" Type="http://schemas.openxmlformats.org/officeDocument/2006/relationships/hyperlink" Target="https://doi.org/10.1111/1460-6984.13009" TargetMode="External"/><Relationship Id="rId26" Type="http://schemas.openxmlformats.org/officeDocument/2006/relationships/hyperlink" Target="https://doi.org/10.1007/s00787-021-01842-2" TargetMode="External"/><Relationship Id="rId3" Type="http://schemas.openxmlformats.org/officeDocument/2006/relationships/customXml" Target="../customXml/item3.xml"/><Relationship Id="rId21" Type="http://schemas.openxmlformats.org/officeDocument/2006/relationships/hyperlink" Target="https://doi.org/10.1007/s11940-020-0620-z" TargetMode="External"/><Relationship Id="rId7" Type="http://schemas.openxmlformats.org/officeDocument/2006/relationships/webSettings" Target="webSettings.xml"/><Relationship Id="rId12" Type="http://schemas.openxmlformats.org/officeDocument/2006/relationships/hyperlink" Target="https://doi.org/10.1007/s00787-021-01845-z" TargetMode="External"/><Relationship Id="rId17" Type="http://schemas.openxmlformats.org/officeDocument/2006/relationships/hyperlink" Target="https://doi.org/10.1136/bmjopen-2019-034634" TargetMode="External"/><Relationship Id="rId25" Type="http://schemas.openxmlformats.org/officeDocument/2006/relationships/hyperlink" Target="https://doi.org/10.5863/1551-6776-25.5.401" TargetMode="External"/><Relationship Id="rId2" Type="http://schemas.openxmlformats.org/officeDocument/2006/relationships/customXml" Target="../customXml/item2.xml"/><Relationship Id="rId16" Type="http://schemas.openxmlformats.org/officeDocument/2006/relationships/hyperlink" Target="https://doi.org/10.1177/27546330251390590" TargetMode="External"/><Relationship Id="rId20" Type="http://schemas.openxmlformats.org/officeDocument/2006/relationships/hyperlink" Target="https://doi.org/10.1007/s00415-023-11769-0"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07/s00787-021-01854-y" TargetMode="External"/><Relationship Id="rId24" Type="http://schemas.openxmlformats.org/officeDocument/2006/relationships/hyperlink" Target="https://doi.org/10.1136/bmjment-2025-301599"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doi.org/10.1089/cap.2023.0026" TargetMode="External"/><Relationship Id="rId23" Type="http://schemas.openxmlformats.org/officeDocument/2006/relationships/hyperlink" Target="https://doi.org/10.1007/s00787-021-01832-4" TargetMode="External"/><Relationship Id="rId28" Type="http://schemas.openxmlformats.org/officeDocument/2006/relationships/hyperlink" Target="https://doi.org/10.3390/brainsci15050426" TargetMode="External"/><Relationship Id="rId10" Type="http://schemas.openxmlformats.org/officeDocument/2006/relationships/image" Target="media/image1.jpeg"/><Relationship Id="rId19" Type="http://schemas.openxmlformats.org/officeDocument/2006/relationships/hyperlink" Target="https://doi.org/10.1089/cap.2024.0023"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3389/fpsyt.2021.621874" TargetMode="External"/><Relationship Id="rId22" Type="http://schemas.openxmlformats.org/officeDocument/2006/relationships/hyperlink" Target="https://doi.org/10.1016/j.encep.2019.10.002" TargetMode="External"/><Relationship Id="rId27" Type="http://schemas.openxmlformats.org/officeDocument/2006/relationships/hyperlink" Target="https://doi.org/10.1146/annurev-clinpsy-080921-074307" TargetMode="External"/><Relationship Id="rId3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e17ed533396ae096c94940c7cada224b">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f32e059fa8b1c42037d8115f5b4a9e27"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312516-E071-40CA-9279-EC5742030EF5}">
  <ds:schemaRefs>
    <ds:schemaRef ds:uri="http://schemas.openxmlformats.org/package/2006/metadata/core-properties"/>
    <ds:schemaRef ds:uri="http://www.w3.org/XML/1998/namespace"/>
    <ds:schemaRef ds:uri="http://schemas.microsoft.com/office/2006/metadata/properties"/>
    <ds:schemaRef ds:uri="http://purl.org/dc/dcmitype/"/>
    <ds:schemaRef ds:uri="550816ce-8156-4f45-b1c4-24236a73d01f"/>
    <ds:schemaRef ds:uri="http://schemas.microsoft.com/office/2006/documentManagement/types"/>
    <ds:schemaRef ds:uri="http://schemas.microsoft.com/office/infopath/2007/PartnerControls"/>
    <ds:schemaRef ds:uri="0ebdf10f-b5a3-45b6-acdb-7dc1eb398785"/>
    <ds:schemaRef ds:uri="http://purl.org/dc/terms/"/>
    <ds:schemaRef ds:uri="http://purl.org/dc/elements/1.1/"/>
  </ds:schemaRefs>
</ds:datastoreItem>
</file>

<file path=customXml/itemProps2.xml><?xml version="1.0" encoding="utf-8"?>
<ds:datastoreItem xmlns:ds="http://schemas.openxmlformats.org/officeDocument/2006/customXml" ds:itemID="{DAB47A27-C080-4301-9EA5-277D959EEC66}">
  <ds:schemaRefs>
    <ds:schemaRef ds:uri="http://schemas.microsoft.com/sharepoint/v3/contenttype/forms"/>
  </ds:schemaRefs>
</ds:datastoreItem>
</file>

<file path=customXml/itemProps3.xml><?xml version="1.0" encoding="utf-8"?>
<ds:datastoreItem xmlns:ds="http://schemas.openxmlformats.org/officeDocument/2006/customXml" ds:itemID="{DBFF00E2-37F1-41AF-AEA4-2DF7F7F6A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3393</Words>
  <Characters>19342</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Monica Ana Oprea (2315596)</cp:lastModifiedBy>
  <cp:revision>2</cp:revision>
  <dcterms:created xsi:type="dcterms:W3CDTF">2025-12-05T06:20:00Z</dcterms:created>
  <dcterms:modified xsi:type="dcterms:W3CDTF">2025-12-05T06:20:00Z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f9d24bde-f777-424f-9d38-3a31fa42c8b0</vt:lpwstr>
  </property>
  <property fmtid="{D5CDD505-2E9C-101B-9397-08002B2CF9AE}" pid="3" name="ContentTypeId">
    <vt:lpwstr>0x0101009DA2B97165742847ABC519A905693DF8</vt:lpwstr>
  </property>
</Properties>
</file>