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B41BD" w14:textId="77777777" w:rsidR="00C07069" w:rsidRPr="00647C34" w:rsidRDefault="00C07069" w:rsidP="00C07069">
      <w:pPr>
        <w:jc w:val="center"/>
        <w:rPr>
          <w:rFonts w:ascii="Arial" w:hAnsi="Arial" w:cs="Arial"/>
          <w:sz w:val="32"/>
          <w:szCs w:val="32"/>
        </w:rPr>
      </w:pPr>
      <w:r w:rsidRPr="00647C34">
        <w:rPr>
          <w:rFonts w:ascii="Arial" w:hAnsi="Arial" w:cs="Arial"/>
          <w:sz w:val="32"/>
          <w:szCs w:val="32"/>
        </w:rPr>
        <w:t>LCBB6002_International Financial Management</w:t>
      </w:r>
    </w:p>
    <w:p w14:paraId="5BC65E26" w14:textId="77777777" w:rsidR="00C07069" w:rsidRPr="00647C34" w:rsidRDefault="00C07069" w:rsidP="00C07069">
      <w:pPr>
        <w:jc w:val="center"/>
        <w:rPr>
          <w:rFonts w:ascii="Arial" w:hAnsi="Arial" w:cs="Arial"/>
          <w:sz w:val="32"/>
          <w:szCs w:val="32"/>
        </w:rPr>
      </w:pPr>
    </w:p>
    <w:p w14:paraId="550E9F99" w14:textId="77777777" w:rsidR="00C07069" w:rsidRPr="00647C34" w:rsidRDefault="00C07069" w:rsidP="00C07069">
      <w:pPr>
        <w:jc w:val="center"/>
        <w:rPr>
          <w:rFonts w:ascii="Arial" w:hAnsi="Arial" w:cs="Arial"/>
          <w:sz w:val="32"/>
          <w:szCs w:val="32"/>
        </w:rPr>
      </w:pPr>
    </w:p>
    <w:p w14:paraId="7A4DB0DF" w14:textId="77777777" w:rsidR="00C07069" w:rsidRPr="00647C34" w:rsidRDefault="00C07069" w:rsidP="00C07069">
      <w:pPr>
        <w:jc w:val="center"/>
        <w:rPr>
          <w:rFonts w:ascii="Arial" w:hAnsi="Arial" w:cs="Arial"/>
          <w:sz w:val="32"/>
          <w:szCs w:val="32"/>
        </w:rPr>
      </w:pPr>
    </w:p>
    <w:p w14:paraId="0E6779E4" w14:textId="1DE48048" w:rsidR="00C07069" w:rsidRPr="00647C34" w:rsidRDefault="00C07069" w:rsidP="00C07069">
      <w:pPr>
        <w:jc w:val="center"/>
        <w:rPr>
          <w:rFonts w:ascii="Arial" w:hAnsi="Arial" w:cs="Arial"/>
          <w:sz w:val="32"/>
          <w:szCs w:val="32"/>
        </w:rPr>
      </w:pPr>
      <w:r w:rsidRPr="00647C34">
        <w:rPr>
          <w:rFonts w:ascii="Arial" w:hAnsi="Arial" w:cs="Arial"/>
          <w:sz w:val="32"/>
          <w:szCs w:val="32"/>
        </w:rPr>
        <w:t>Mariya Mitreva</w:t>
      </w:r>
    </w:p>
    <w:p w14:paraId="69169AFB" w14:textId="77777777" w:rsidR="00C07069" w:rsidRPr="00647C34" w:rsidRDefault="00C07069" w:rsidP="00C07069">
      <w:pPr>
        <w:jc w:val="center"/>
        <w:rPr>
          <w:rFonts w:ascii="Arial" w:hAnsi="Arial" w:cs="Arial"/>
          <w:sz w:val="32"/>
          <w:szCs w:val="32"/>
        </w:rPr>
      </w:pPr>
    </w:p>
    <w:p w14:paraId="1D3D5DD5" w14:textId="1B3D6879" w:rsidR="00C07069" w:rsidRPr="00647C34" w:rsidRDefault="00C07069" w:rsidP="00C07069">
      <w:pPr>
        <w:jc w:val="center"/>
        <w:rPr>
          <w:rFonts w:ascii="Arial" w:hAnsi="Arial" w:cs="Arial"/>
          <w:sz w:val="32"/>
          <w:szCs w:val="32"/>
        </w:rPr>
      </w:pPr>
      <w:r w:rsidRPr="00647C34">
        <w:rPr>
          <w:rFonts w:ascii="Arial" w:hAnsi="Arial" w:cs="Arial"/>
          <w:sz w:val="32"/>
          <w:szCs w:val="32"/>
        </w:rPr>
        <w:t>Dr. Taye Timothy Osadiya</w:t>
      </w:r>
    </w:p>
    <w:p w14:paraId="1B72A429" w14:textId="4AF1C61C" w:rsidR="00C07069" w:rsidRPr="00647C34" w:rsidRDefault="00C07069" w:rsidP="00C07069">
      <w:pPr>
        <w:jc w:val="center"/>
        <w:rPr>
          <w:rFonts w:ascii="Arial" w:hAnsi="Arial" w:cs="Arial"/>
          <w:sz w:val="32"/>
          <w:szCs w:val="32"/>
        </w:rPr>
      </w:pPr>
      <w:r w:rsidRPr="00647C34">
        <w:rPr>
          <w:rFonts w:ascii="Arial" w:hAnsi="Arial" w:cs="Arial"/>
          <w:sz w:val="32"/>
          <w:szCs w:val="32"/>
        </w:rPr>
        <w:t>Dr Anupam Mazumdar</w:t>
      </w:r>
    </w:p>
    <w:p w14:paraId="4CEA832E" w14:textId="025C0AC6" w:rsidR="002D2BF7" w:rsidRPr="00647C34" w:rsidRDefault="00C07069" w:rsidP="00C07069">
      <w:pPr>
        <w:jc w:val="center"/>
        <w:rPr>
          <w:rFonts w:ascii="Arial" w:hAnsi="Arial" w:cs="Arial"/>
          <w:sz w:val="32"/>
          <w:szCs w:val="32"/>
        </w:rPr>
      </w:pPr>
      <w:r w:rsidRPr="00647C34">
        <w:rPr>
          <w:rFonts w:ascii="Arial" w:hAnsi="Arial" w:cs="Arial"/>
          <w:sz w:val="32"/>
          <w:szCs w:val="32"/>
        </w:rPr>
        <w:t xml:space="preserve"> Assessment </w:t>
      </w:r>
      <w:r w:rsidR="004D4008" w:rsidRPr="00647C34">
        <w:rPr>
          <w:rFonts w:ascii="Arial" w:hAnsi="Arial" w:cs="Arial"/>
          <w:sz w:val="32"/>
          <w:szCs w:val="32"/>
        </w:rPr>
        <w:t>one</w:t>
      </w:r>
    </w:p>
    <w:p w14:paraId="2185508C" w14:textId="77777777" w:rsidR="00C07069" w:rsidRDefault="00C07069" w:rsidP="00C07069">
      <w:pPr>
        <w:jc w:val="center"/>
        <w:rPr>
          <w:rFonts w:ascii="Arial" w:hAnsi="Arial" w:cs="Arial"/>
          <w:sz w:val="28"/>
          <w:szCs w:val="28"/>
        </w:rPr>
      </w:pPr>
    </w:p>
    <w:p w14:paraId="653EAB65" w14:textId="77777777" w:rsidR="00C07069" w:rsidRDefault="00C07069" w:rsidP="00C07069">
      <w:pPr>
        <w:jc w:val="center"/>
        <w:rPr>
          <w:rFonts w:ascii="Arial" w:hAnsi="Arial" w:cs="Arial"/>
          <w:sz w:val="28"/>
          <w:szCs w:val="28"/>
        </w:rPr>
      </w:pPr>
    </w:p>
    <w:p w14:paraId="73B6BB9C" w14:textId="77777777" w:rsidR="00C07069" w:rsidRDefault="00C07069" w:rsidP="00C07069">
      <w:pPr>
        <w:jc w:val="center"/>
        <w:rPr>
          <w:rFonts w:ascii="Arial" w:hAnsi="Arial" w:cs="Arial"/>
          <w:sz w:val="28"/>
          <w:szCs w:val="28"/>
        </w:rPr>
      </w:pPr>
    </w:p>
    <w:p w14:paraId="22F9AF79" w14:textId="77777777" w:rsidR="00C07069" w:rsidRDefault="00C07069" w:rsidP="00C07069">
      <w:pPr>
        <w:jc w:val="center"/>
        <w:rPr>
          <w:rFonts w:ascii="Arial" w:hAnsi="Arial" w:cs="Arial"/>
          <w:sz w:val="28"/>
          <w:szCs w:val="28"/>
        </w:rPr>
      </w:pPr>
    </w:p>
    <w:p w14:paraId="6776CD1F" w14:textId="77777777" w:rsidR="00C07069" w:rsidRPr="00647C34" w:rsidRDefault="00C07069" w:rsidP="00C07069">
      <w:pPr>
        <w:jc w:val="center"/>
        <w:rPr>
          <w:rFonts w:ascii="Arial" w:hAnsi="Arial" w:cs="Arial"/>
          <w:sz w:val="24"/>
          <w:szCs w:val="24"/>
        </w:rPr>
      </w:pPr>
    </w:p>
    <w:p w14:paraId="086AFDE1" w14:textId="77777777" w:rsidR="00C07069" w:rsidRPr="00647C34" w:rsidRDefault="00C07069" w:rsidP="00C07069">
      <w:pPr>
        <w:jc w:val="center"/>
        <w:rPr>
          <w:rFonts w:ascii="Arial" w:hAnsi="Arial" w:cs="Arial"/>
          <w:sz w:val="24"/>
          <w:szCs w:val="24"/>
        </w:rPr>
      </w:pPr>
    </w:p>
    <w:p w14:paraId="3A053A82" w14:textId="77777777" w:rsidR="00C07069" w:rsidRPr="00647C34" w:rsidRDefault="00C07069" w:rsidP="00C07069">
      <w:pPr>
        <w:jc w:val="center"/>
        <w:rPr>
          <w:rFonts w:ascii="Arial" w:hAnsi="Arial" w:cs="Arial"/>
          <w:sz w:val="24"/>
          <w:szCs w:val="24"/>
        </w:rPr>
      </w:pPr>
    </w:p>
    <w:p w14:paraId="70843DED" w14:textId="77777777" w:rsidR="00C07069" w:rsidRPr="00647C34" w:rsidRDefault="00C07069" w:rsidP="00C07069">
      <w:pPr>
        <w:jc w:val="center"/>
        <w:rPr>
          <w:rFonts w:ascii="Arial" w:hAnsi="Arial" w:cs="Arial"/>
          <w:sz w:val="24"/>
          <w:szCs w:val="24"/>
        </w:rPr>
      </w:pPr>
    </w:p>
    <w:p w14:paraId="284D55D4" w14:textId="77777777" w:rsidR="00C07069" w:rsidRPr="00647C34" w:rsidRDefault="00C07069" w:rsidP="00C07069">
      <w:pPr>
        <w:jc w:val="center"/>
        <w:rPr>
          <w:rFonts w:ascii="Arial" w:hAnsi="Arial" w:cs="Arial"/>
          <w:sz w:val="24"/>
          <w:szCs w:val="24"/>
        </w:rPr>
      </w:pPr>
    </w:p>
    <w:p w14:paraId="3F69FC16" w14:textId="77777777" w:rsidR="00C07069" w:rsidRPr="00647C34" w:rsidRDefault="00C07069" w:rsidP="00C07069">
      <w:pPr>
        <w:jc w:val="center"/>
        <w:rPr>
          <w:rFonts w:ascii="Arial" w:hAnsi="Arial" w:cs="Arial"/>
          <w:sz w:val="24"/>
          <w:szCs w:val="24"/>
        </w:rPr>
      </w:pPr>
    </w:p>
    <w:p w14:paraId="639CE09C" w14:textId="77777777" w:rsidR="00C07069" w:rsidRPr="00647C34" w:rsidRDefault="00C07069" w:rsidP="00C07069">
      <w:pPr>
        <w:jc w:val="center"/>
        <w:rPr>
          <w:rFonts w:ascii="Arial" w:hAnsi="Arial" w:cs="Arial"/>
          <w:sz w:val="24"/>
          <w:szCs w:val="24"/>
        </w:rPr>
      </w:pPr>
    </w:p>
    <w:p w14:paraId="0048FB91" w14:textId="77777777" w:rsidR="00C07069" w:rsidRPr="00647C34" w:rsidRDefault="00C07069" w:rsidP="00C07069">
      <w:pPr>
        <w:jc w:val="center"/>
        <w:rPr>
          <w:rFonts w:ascii="Arial" w:hAnsi="Arial" w:cs="Arial"/>
          <w:sz w:val="24"/>
          <w:szCs w:val="24"/>
        </w:rPr>
      </w:pPr>
    </w:p>
    <w:p w14:paraId="7220175D" w14:textId="77777777" w:rsidR="00C07069" w:rsidRPr="00647C34" w:rsidRDefault="00C07069" w:rsidP="00C07069">
      <w:pPr>
        <w:jc w:val="both"/>
        <w:rPr>
          <w:rFonts w:ascii="Arial" w:hAnsi="Arial" w:cs="Arial"/>
          <w:sz w:val="24"/>
          <w:szCs w:val="24"/>
        </w:rPr>
      </w:pPr>
    </w:p>
    <w:p w14:paraId="69575992" w14:textId="77777777" w:rsidR="00C07069" w:rsidRPr="00647C34" w:rsidRDefault="00C07069" w:rsidP="00C07069">
      <w:pPr>
        <w:jc w:val="both"/>
        <w:rPr>
          <w:rFonts w:ascii="Arial" w:hAnsi="Arial" w:cs="Arial"/>
          <w:sz w:val="24"/>
          <w:szCs w:val="24"/>
        </w:rPr>
      </w:pPr>
    </w:p>
    <w:p w14:paraId="04916A01" w14:textId="77777777" w:rsidR="007F5E79" w:rsidRPr="00647C34" w:rsidRDefault="007F5E79" w:rsidP="00C07069">
      <w:pPr>
        <w:jc w:val="both"/>
        <w:rPr>
          <w:rFonts w:ascii="Arial" w:hAnsi="Arial" w:cs="Arial"/>
          <w:sz w:val="24"/>
          <w:szCs w:val="24"/>
        </w:rPr>
      </w:pPr>
    </w:p>
    <w:p w14:paraId="40EDC42A" w14:textId="7DBACBEF" w:rsidR="007F5E79" w:rsidRPr="00647C34" w:rsidRDefault="007F5E79" w:rsidP="007F5E79">
      <w:pPr>
        <w:jc w:val="both"/>
        <w:rPr>
          <w:rFonts w:ascii="Arial" w:hAnsi="Arial" w:cs="Arial"/>
          <w:sz w:val="24"/>
          <w:szCs w:val="24"/>
        </w:rPr>
      </w:pPr>
      <w:r w:rsidRPr="00647C34">
        <w:rPr>
          <w:rFonts w:ascii="Arial" w:hAnsi="Arial" w:cs="Arial"/>
          <w:sz w:val="24"/>
          <w:szCs w:val="24"/>
        </w:rPr>
        <w:lastRenderedPageBreak/>
        <w:t xml:space="preserve">To </w:t>
      </w:r>
      <w:r w:rsidR="004D4008" w:rsidRPr="00647C34">
        <w:rPr>
          <w:rFonts w:ascii="Arial" w:hAnsi="Arial" w:cs="Arial"/>
          <w:sz w:val="24"/>
          <w:szCs w:val="24"/>
        </w:rPr>
        <w:t>manage</w:t>
      </w:r>
      <w:r w:rsidRPr="00647C34">
        <w:rPr>
          <w:rFonts w:ascii="Arial" w:hAnsi="Arial" w:cs="Arial"/>
          <w:sz w:val="24"/>
          <w:szCs w:val="24"/>
        </w:rPr>
        <w:t xml:space="preserve"> foreign currency risk, multinational companies (MNCs) can employ a variety of measures. Natural hedging is the practice of aligning currency income with costs in order to reduce total risk. MNCs utilize forward contracts, currency swaps, options contracts, balance sheet hedging, lead and lag methods, diversification, and netting to lock in exchange rates and manage currency risk</w:t>
      </w:r>
      <w:sdt>
        <w:sdtPr>
          <w:rPr>
            <w:rFonts w:ascii="Arial" w:hAnsi="Arial" w:cs="Arial"/>
            <w:sz w:val="24"/>
            <w:szCs w:val="24"/>
          </w:rPr>
          <w:id w:val="1409120139"/>
          <w:citation/>
        </w:sdtPr>
        <w:sdtContent>
          <w:r w:rsidRPr="00647C34">
            <w:rPr>
              <w:rFonts w:ascii="Arial" w:hAnsi="Arial" w:cs="Arial"/>
              <w:sz w:val="24"/>
              <w:szCs w:val="24"/>
            </w:rPr>
            <w:fldChar w:fldCharType="begin"/>
          </w:r>
          <w:r w:rsidRPr="00647C34">
            <w:rPr>
              <w:rFonts w:ascii="Arial" w:hAnsi="Arial" w:cs="Arial"/>
              <w:sz w:val="24"/>
              <w:szCs w:val="24"/>
              <w:lang w:val="en-US"/>
            </w:rPr>
            <w:instrText xml:space="preserve"> CITATION Sha18 \l 1033 </w:instrText>
          </w:r>
          <w:r w:rsidRPr="00647C34">
            <w:rPr>
              <w:rFonts w:ascii="Arial" w:hAnsi="Arial" w:cs="Arial"/>
              <w:sz w:val="24"/>
              <w:szCs w:val="24"/>
            </w:rPr>
            <w:fldChar w:fldCharType="separate"/>
          </w:r>
          <w:r w:rsidRPr="00647C34">
            <w:rPr>
              <w:rFonts w:ascii="Arial" w:hAnsi="Arial" w:cs="Arial"/>
              <w:noProof/>
              <w:sz w:val="24"/>
              <w:szCs w:val="24"/>
              <w:lang w:val="en-US"/>
            </w:rPr>
            <w:t xml:space="preserve"> (Shapiro, 2018)</w:t>
          </w:r>
          <w:r w:rsidRPr="00647C34">
            <w:rPr>
              <w:rFonts w:ascii="Arial" w:hAnsi="Arial" w:cs="Arial"/>
              <w:sz w:val="24"/>
              <w:szCs w:val="24"/>
            </w:rPr>
            <w:fldChar w:fldCharType="end"/>
          </w:r>
        </w:sdtContent>
      </w:sdt>
      <w:r w:rsidRPr="00647C34">
        <w:rPr>
          <w:rFonts w:ascii="Arial" w:hAnsi="Arial" w:cs="Arial"/>
          <w:sz w:val="24"/>
          <w:szCs w:val="24"/>
        </w:rPr>
        <w:t>.</w:t>
      </w:r>
    </w:p>
    <w:p w14:paraId="7C8B4D8E" w14:textId="10E55568" w:rsidR="007F5E79" w:rsidRPr="00647C34" w:rsidRDefault="007F5E79" w:rsidP="007F5E79">
      <w:pPr>
        <w:jc w:val="both"/>
        <w:rPr>
          <w:rFonts w:ascii="Arial" w:hAnsi="Arial" w:cs="Arial"/>
          <w:sz w:val="24"/>
          <w:szCs w:val="24"/>
        </w:rPr>
      </w:pPr>
      <w:r w:rsidRPr="00647C34">
        <w:rPr>
          <w:rFonts w:ascii="Arial" w:hAnsi="Arial" w:cs="Arial"/>
          <w:sz w:val="24"/>
          <w:szCs w:val="24"/>
        </w:rPr>
        <w:t xml:space="preserve">Forward contracts are contracts to purchase or sell a currency at a specified future date and exchange rate. Currency swaps entail swapping cash flows in one currency with another in order to get the currency required for transactions and manage currency risk. Contracts for options grant the right, but not the duty, to purchase or sell a currency at a defined price within a certain </w:t>
      </w:r>
      <w:r w:rsidR="004D4008" w:rsidRPr="00647C34">
        <w:rPr>
          <w:rFonts w:ascii="Arial" w:hAnsi="Arial" w:cs="Arial"/>
          <w:sz w:val="24"/>
          <w:szCs w:val="24"/>
        </w:rPr>
        <w:t>time</w:t>
      </w:r>
      <w:sdt>
        <w:sdtPr>
          <w:rPr>
            <w:rFonts w:ascii="Arial" w:hAnsi="Arial" w:cs="Arial"/>
            <w:sz w:val="24"/>
            <w:szCs w:val="24"/>
          </w:rPr>
          <w:id w:val="-1445136"/>
          <w:citation/>
        </w:sdtPr>
        <w:sdtContent>
          <w:r w:rsidRPr="00647C34">
            <w:rPr>
              <w:rFonts w:ascii="Arial" w:hAnsi="Arial" w:cs="Arial"/>
              <w:sz w:val="24"/>
              <w:szCs w:val="24"/>
            </w:rPr>
            <w:fldChar w:fldCharType="begin"/>
          </w:r>
          <w:r w:rsidRPr="00647C34">
            <w:rPr>
              <w:rFonts w:ascii="Arial" w:hAnsi="Arial" w:cs="Arial"/>
              <w:sz w:val="24"/>
              <w:szCs w:val="24"/>
              <w:lang w:val="en-US"/>
            </w:rPr>
            <w:instrText xml:space="preserve"> CITATION Mad18 \l 1033 </w:instrText>
          </w:r>
          <w:r w:rsidRPr="00647C34">
            <w:rPr>
              <w:rFonts w:ascii="Arial" w:hAnsi="Arial" w:cs="Arial"/>
              <w:sz w:val="24"/>
              <w:szCs w:val="24"/>
            </w:rPr>
            <w:fldChar w:fldCharType="separate"/>
          </w:r>
          <w:r w:rsidRPr="00647C34">
            <w:rPr>
              <w:rFonts w:ascii="Arial" w:hAnsi="Arial" w:cs="Arial"/>
              <w:noProof/>
              <w:sz w:val="24"/>
              <w:szCs w:val="24"/>
              <w:lang w:val="en-US"/>
            </w:rPr>
            <w:t xml:space="preserve"> (Madura, 2018)</w:t>
          </w:r>
          <w:r w:rsidRPr="00647C34">
            <w:rPr>
              <w:rFonts w:ascii="Arial" w:hAnsi="Arial" w:cs="Arial"/>
              <w:sz w:val="24"/>
              <w:szCs w:val="24"/>
            </w:rPr>
            <w:fldChar w:fldCharType="end"/>
          </w:r>
        </w:sdtContent>
      </w:sdt>
      <w:r w:rsidRPr="00647C34">
        <w:rPr>
          <w:rFonts w:ascii="Arial" w:hAnsi="Arial" w:cs="Arial"/>
          <w:sz w:val="24"/>
          <w:szCs w:val="24"/>
        </w:rPr>
        <w:t>.</w:t>
      </w:r>
    </w:p>
    <w:p w14:paraId="2004F19C" w14:textId="3889B8A8" w:rsidR="007F5E79" w:rsidRPr="00647C34" w:rsidRDefault="007F5E79" w:rsidP="007F5E79">
      <w:pPr>
        <w:jc w:val="both"/>
        <w:rPr>
          <w:rFonts w:ascii="Arial" w:hAnsi="Arial" w:cs="Arial"/>
          <w:sz w:val="24"/>
          <w:szCs w:val="24"/>
        </w:rPr>
      </w:pPr>
      <w:r w:rsidRPr="00647C34">
        <w:rPr>
          <w:rFonts w:ascii="Arial" w:hAnsi="Arial" w:cs="Arial"/>
          <w:sz w:val="24"/>
          <w:szCs w:val="24"/>
        </w:rPr>
        <w:t xml:space="preserve">Balance sheet hedging is arranging an MNC's assets and obligations to reduce the impact of exchange rate fluctuations on net worth. Lead and lag tactics affect cash flow timing by speeding collections in a strong currency (leading) or postponing payables in a declining currency (lagging). Diversification enables MNCs to operate in </w:t>
      </w:r>
      <w:r w:rsidR="00647C34" w:rsidRPr="00647C34">
        <w:rPr>
          <w:rFonts w:ascii="Arial" w:hAnsi="Arial" w:cs="Arial"/>
          <w:sz w:val="24"/>
          <w:szCs w:val="24"/>
        </w:rPr>
        <w:t>various</w:t>
      </w:r>
      <w:r w:rsidRPr="00647C34">
        <w:rPr>
          <w:rFonts w:ascii="Arial" w:hAnsi="Arial" w:cs="Arial"/>
          <w:sz w:val="24"/>
          <w:szCs w:val="24"/>
        </w:rPr>
        <w:t xml:space="preserve"> geographic zones as a natural hedge, as currency moves are not always completely linked across markets</w:t>
      </w:r>
      <w:sdt>
        <w:sdtPr>
          <w:rPr>
            <w:rFonts w:ascii="Arial" w:hAnsi="Arial" w:cs="Arial"/>
            <w:sz w:val="24"/>
            <w:szCs w:val="24"/>
          </w:rPr>
          <w:id w:val="-770309037"/>
          <w:citation/>
        </w:sdtPr>
        <w:sdtContent>
          <w:r w:rsidRPr="00647C34">
            <w:rPr>
              <w:rFonts w:ascii="Arial" w:hAnsi="Arial" w:cs="Arial"/>
              <w:sz w:val="24"/>
              <w:szCs w:val="24"/>
            </w:rPr>
            <w:fldChar w:fldCharType="begin"/>
          </w:r>
          <w:r w:rsidRPr="00647C34">
            <w:rPr>
              <w:rFonts w:ascii="Arial" w:hAnsi="Arial" w:cs="Arial"/>
              <w:sz w:val="24"/>
              <w:szCs w:val="24"/>
              <w:lang w:val="en-US"/>
            </w:rPr>
            <w:instrText xml:space="preserve"> CITATION Eit16 \l 1033 </w:instrText>
          </w:r>
          <w:r w:rsidRPr="00647C34">
            <w:rPr>
              <w:rFonts w:ascii="Arial" w:hAnsi="Arial" w:cs="Arial"/>
              <w:sz w:val="24"/>
              <w:szCs w:val="24"/>
            </w:rPr>
            <w:fldChar w:fldCharType="separate"/>
          </w:r>
          <w:r w:rsidRPr="00647C34">
            <w:rPr>
              <w:rFonts w:ascii="Arial" w:hAnsi="Arial" w:cs="Arial"/>
              <w:noProof/>
              <w:sz w:val="24"/>
              <w:szCs w:val="24"/>
              <w:lang w:val="en-US"/>
            </w:rPr>
            <w:t xml:space="preserve"> (Eiteman, et al., 2016)</w:t>
          </w:r>
          <w:r w:rsidRPr="00647C34">
            <w:rPr>
              <w:rFonts w:ascii="Arial" w:hAnsi="Arial" w:cs="Arial"/>
              <w:sz w:val="24"/>
              <w:szCs w:val="24"/>
            </w:rPr>
            <w:fldChar w:fldCharType="end"/>
          </w:r>
        </w:sdtContent>
      </w:sdt>
      <w:r w:rsidRPr="00647C34">
        <w:rPr>
          <w:rFonts w:ascii="Arial" w:hAnsi="Arial" w:cs="Arial"/>
          <w:sz w:val="24"/>
          <w:szCs w:val="24"/>
        </w:rPr>
        <w:t>.</w:t>
      </w:r>
    </w:p>
    <w:p w14:paraId="69CF8C48" w14:textId="11CF91D5" w:rsidR="007F5E79" w:rsidRPr="00647C34" w:rsidRDefault="007F5E79" w:rsidP="007F5E79">
      <w:pPr>
        <w:jc w:val="both"/>
        <w:rPr>
          <w:rFonts w:ascii="Arial" w:hAnsi="Arial" w:cs="Arial"/>
          <w:sz w:val="24"/>
          <w:szCs w:val="24"/>
        </w:rPr>
      </w:pPr>
      <w:r w:rsidRPr="00647C34">
        <w:rPr>
          <w:rFonts w:ascii="Arial" w:hAnsi="Arial" w:cs="Arial"/>
          <w:sz w:val="24"/>
          <w:szCs w:val="24"/>
        </w:rPr>
        <w:t xml:space="preserve">Netting is the consolidation of payables and receivables in multiple currencies </w:t>
      </w:r>
      <w:r w:rsidR="00647C34" w:rsidRPr="00647C34">
        <w:rPr>
          <w:rFonts w:ascii="Arial" w:hAnsi="Arial" w:cs="Arial"/>
          <w:sz w:val="24"/>
          <w:szCs w:val="24"/>
        </w:rPr>
        <w:t>to</w:t>
      </w:r>
      <w:r w:rsidRPr="00647C34">
        <w:rPr>
          <w:rFonts w:ascii="Arial" w:hAnsi="Arial" w:cs="Arial"/>
          <w:sz w:val="24"/>
          <w:szCs w:val="24"/>
        </w:rPr>
        <w:t xml:space="preserve"> decrease net exposure and transaction costs. These methods are frequently used in tandem, and the decision is influenced by factors such as the nature of the firm, risk tolerance, and market circumstances</w:t>
      </w:r>
      <w:sdt>
        <w:sdtPr>
          <w:rPr>
            <w:rFonts w:ascii="Arial" w:hAnsi="Arial" w:cs="Arial"/>
            <w:sz w:val="24"/>
            <w:szCs w:val="24"/>
          </w:rPr>
          <w:id w:val="1544087334"/>
          <w:citation/>
        </w:sdtPr>
        <w:sdtContent>
          <w:r w:rsidRPr="00647C34">
            <w:rPr>
              <w:rFonts w:ascii="Arial" w:hAnsi="Arial" w:cs="Arial"/>
              <w:sz w:val="24"/>
              <w:szCs w:val="24"/>
            </w:rPr>
            <w:fldChar w:fldCharType="begin"/>
          </w:r>
          <w:r w:rsidRPr="00647C34">
            <w:rPr>
              <w:rFonts w:ascii="Arial" w:hAnsi="Arial" w:cs="Arial"/>
              <w:sz w:val="24"/>
              <w:szCs w:val="24"/>
              <w:lang w:val="en-US"/>
            </w:rPr>
            <w:instrText xml:space="preserve"> CITATION Lev19 \l 1033 </w:instrText>
          </w:r>
          <w:r w:rsidRPr="00647C34">
            <w:rPr>
              <w:rFonts w:ascii="Arial" w:hAnsi="Arial" w:cs="Arial"/>
              <w:sz w:val="24"/>
              <w:szCs w:val="24"/>
            </w:rPr>
            <w:fldChar w:fldCharType="separate"/>
          </w:r>
          <w:r w:rsidRPr="00647C34">
            <w:rPr>
              <w:rFonts w:ascii="Arial" w:hAnsi="Arial" w:cs="Arial"/>
              <w:noProof/>
              <w:sz w:val="24"/>
              <w:szCs w:val="24"/>
              <w:lang w:val="en-US"/>
            </w:rPr>
            <w:t xml:space="preserve"> (Levi, 2019)</w:t>
          </w:r>
          <w:r w:rsidRPr="00647C34">
            <w:rPr>
              <w:rFonts w:ascii="Arial" w:hAnsi="Arial" w:cs="Arial"/>
              <w:sz w:val="24"/>
              <w:szCs w:val="24"/>
            </w:rPr>
            <w:fldChar w:fldCharType="end"/>
          </w:r>
        </w:sdtContent>
      </w:sdt>
      <w:r w:rsidRPr="00647C34">
        <w:rPr>
          <w:rFonts w:ascii="Arial" w:hAnsi="Arial" w:cs="Arial"/>
          <w:sz w:val="24"/>
          <w:szCs w:val="24"/>
        </w:rPr>
        <w:t>.</w:t>
      </w:r>
    </w:p>
    <w:p w14:paraId="2E42CEF3" w14:textId="02B8A166" w:rsidR="00C7618F" w:rsidRDefault="00C7618F" w:rsidP="00C7618F">
      <w:pPr>
        <w:pStyle w:val="Heading1"/>
      </w:pPr>
      <w:r>
        <w:t>Theories</w:t>
      </w:r>
    </w:p>
    <w:p w14:paraId="121135EF" w14:textId="063DA899" w:rsidR="00C7618F" w:rsidRPr="00647C34" w:rsidRDefault="00C7618F" w:rsidP="00C7618F">
      <w:pPr>
        <w:jc w:val="both"/>
        <w:rPr>
          <w:rFonts w:ascii="Arial" w:hAnsi="Arial" w:cs="Arial"/>
          <w:sz w:val="24"/>
          <w:szCs w:val="24"/>
        </w:rPr>
      </w:pPr>
      <w:r w:rsidRPr="00647C34">
        <w:rPr>
          <w:rFonts w:ascii="Arial" w:hAnsi="Arial" w:cs="Arial"/>
          <w:sz w:val="24"/>
          <w:szCs w:val="24"/>
        </w:rPr>
        <w:t xml:space="preserve">Natural hedging, forward contracts, currency swaps, options contracts, balance sheet hedging, lead and lag tactics, diversification, and netting are some of the ways that multinational companies (MNCs) might utilize to manage foreign exchange risk. Natural hedging is the practice of aligning currency income with costs </w:t>
      </w:r>
      <w:r w:rsidRPr="00647C34">
        <w:rPr>
          <w:rFonts w:ascii="Arial" w:hAnsi="Arial" w:cs="Arial"/>
          <w:sz w:val="24"/>
          <w:szCs w:val="24"/>
        </w:rPr>
        <w:t>to</w:t>
      </w:r>
      <w:r w:rsidRPr="00647C34">
        <w:rPr>
          <w:rFonts w:ascii="Arial" w:hAnsi="Arial" w:cs="Arial"/>
          <w:sz w:val="24"/>
          <w:szCs w:val="24"/>
        </w:rPr>
        <w:t xml:space="preserve"> reduce total risk. Forward contracts are agreements to buy or sell a currency at a specified future date and exchange rate. Currency swaps include swapping cash flows with another firm in a foreign currency, assisting multinational corporations in obtaining the currency they want for transactions and managing currency risk. Contracts for options grant the right, but not the duty, to purchase or sell a currency at a defined price within a certain </w:t>
      </w:r>
      <w:r w:rsidR="004D4008" w:rsidRPr="00647C34">
        <w:rPr>
          <w:rFonts w:ascii="Arial" w:hAnsi="Arial" w:cs="Arial"/>
          <w:sz w:val="24"/>
          <w:szCs w:val="24"/>
        </w:rPr>
        <w:t>time</w:t>
      </w:r>
      <w:r w:rsidRPr="00647C34">
        <w:rPr>
          <w:rFonts w:ascii="Arial" w:hAnsi="Arial" w:cs="Arial"/>
          <w:sz w:val="24"/>
          <w:szCs w:val="24"/>
        </w:rPr>
        <w:t>. Balance sheet hedging is arranging the MNC's assets and liabilities in such a way that the impact of currency fluctuations on net worth is minimized</w:t>
      </w:r>
      <w:sdt>
        <w:sdtPr>
          <w:rPr>
            <w:rFonts w:ascii="Arial" w:hAnsi="Arial" w:cs="Arial"/>
            <w:sz w:val="24"/>
            <w:szCs w:val="24"/>
          </w:rPr>
          <w:id w:val="1046255867"/>
          <w:citation/>
        </w:sdtPr>
        <w:sdtContent>
          <w:r w:rsidR="001E67CA">
            <w:rPr>
              <w:rFonts w:ascii="Arial" w:hAnsi="Arial" w:cs="Arial"/>
              <w:sz w:val="24"/>
              <w:szCs w:val="24"/>
            </w:rPr>
            <w:fldChar w:fldCharType="begin"/>
          </w:r>
          <w:r w:rsidR="001E67CA">
            <w:rPr>
              <w:rFonts w:ascii="Arial" w:hAnsi="Arial" w:cs="Arial"/>
              <w:sz w:val="24"/>
              <w:szCs w:val="24"/>
              <w:lang w:val="en-US"/>
            </w:rPr>
            <w:instrText xml:space="preserve"> CITATION Bar961 \l 1033 </w:instrText>
          </w:r>
          <w:r w:rsidR="001E67CA">
            <w:rPr>
              <w:rFonts w:ascii="Arial" w:hAnsi="Arial" w:cs="Arial"/>
              <w:sz w:val="24"/>
              <w:szCs w:val="24"/>
            </w:rPr>
            <w:fldChar w:fldCharType="separate"/>
          </w:r>
          <w:r w:rsidR="001E67CA">
            <w:rPr>
              <w:rFonts w:ascii="Arial" w:hAnsi="Arial" w:cs="Arial"/>
              <w:noProof/>
              <w:sz w:val="24"/>
              <w:szCs w:val="24"/>
              <w:lang w:val="en-US"/>
            </w:rPr>
            <w:t xml:space="preserve"> </w:t>
          </w:r>
          <w:r w:rsidR="001E67CA" w:rsidRPr="001E67CA">
            <w:rPr>
              <w:rFonts w:ascii="Arial" w:hAnsi="Arial" w:cs="Arial"/>
              <w:noProof/>
              <w:sz w:val="24"/>
              <w:szCs w:val="24"/>
              <w:lang w:val="en-US"/>
            </w:rPr>
            <w:t>(Bartov &amp; Bodnar, 1996)</w:t>
          </w:r>
          <w:r w:rsidR="001E67CA">
            <w:rPr>
              <w:rFonts w:ascii="Arial" w:hAnsi="Arial" w:cs="Arial"/>
              <w:sz w:val="24"/>
              <w:szCs w:val="24"/>
            </w:rPr>
            <w:fldChar w:fldCharType="end"/>
          </w:r>
        </w:sdtContent>
      </w:sdt>
      <w:r w:rsidRPr="00647C34">
        <w:rPr>
          <w:rFonts w:ascii="Arial" w:hAnsi="Arial" w:cs="Arial"/>
          <w:sz w:val="24"/>
          <w:szCs w:val="24"/>
        </w:rPr>
        <w:t>.</w:t>
      </w:r>
    </w:p>
    <w:p w14:paraId="1F5B3C7B" w14:textId="380E095D" w:rsidR="00C7618F" w:rsidRPr="00647C34" w:rsidRDefault="00C7618F" w:rsidP="00C7618F">
      <w:pPr>
        <w:jc w:val="both"/>
        <w:rPr>
          <w:rFonts w:ascii="Arial" w:hAnsi="Arial" w:cs="Arial"/>
          <w:sz w:val="24"/>
          <w:szCs w:val="24"/>
        </w:rPr>
      </w:pPr>
      <w:r w:rsidRPr="00647C34">
        <w:rPr>
          <w:rFonts w:ascii="Arial" w:hAnsi="Arial" w:cs="Arial"/>
          <w:sz w:val="24"/>
          <w:szCs w:val="24"/>
        </w:rPr>
        <w:t>Leading and lagging strategies entail changing the timing of cash flows, either by speeding collections in a strong currency (leading) or deferring payables in a declining currency (lagging). Diversification enables MNCs to operate in a variety of geographic zones as a natural hedge because currency fluctuations are not always fully linked across markets. Netting is the process of combining payables and receivables in multiple currencies in order to decrease net exposure and transaction costs</w:t>
      </w:r>
      <w:sdt>
        <w:sdtPr>
          <w:rPr>
            <w:rFonts w:ascii="Arial" w:hAnsi="Arial" w:cs="Arial"/>
            <w:sz w:val="24"/>
            <w:szCs w:val="24"/>
          </w:rPr>
          <w:id w:val="-159321626"/>
          <w:citation/>
        </w:sdtPr>
        <w:sdtContent>
          <w:r w:rsidR="001E67CA">
            <w:rPr>
              <w:rFonts w:ascii="Arial" w:hAnsi="Arial" w:cs="Arial"/>
              <w:sz w:val="24"/>
              <w:szCs w:val="24"/>
            </w:rPr>
            <w:fldChar w:fldCharType="begin"/>
          </w:r>
          <w:r w:rsidR="001E67CA">
            <w:rPr>
              <w:rFonts w:ascii="Arial" w:hAnsi="Arial" w:cs="Arial"/>
              <w:sz w:val="24"/>
              <w:szCs w:val="24"/>
              <w:lang w:val="en-US"/>
            </w:rPr>
            <w:instrText xml:space="preserve"> CITATION Adl83 \l 1033 </w:instrText>
          </w:r>
          <w:r w:rsidR="001E67CA">
            <w:rPr>
              <w:rFonts w:ascii="Arial" w:hAnsi="Arial" w:cs="Arial"/>
              <w:sz w:val="24"/>
              <w:szCs w:val="24"/>
            </w:rPr>
            <w:fldChar w:fldCharType="separate"/>
          </w:r>
          <w:r w:rsidR="001E67CA">
            <w:rPr>
              <w:rFonts w:ascii="Arial" w:hAnsi="Arial" w:cs="Arial"/>
              <w:noProof/>
              <w:sz w:val="24"/>
              <w:szCs w:val="24"/>
              <w:lang w:val="en-US"/>
            </w:rPr>
            <w:t xml:space="preserve"> </w:t>
          </w:r>
          <w:r w:rsidR="001E67CA" w:rsidRPr="001E67CA">
            <w:rPr>
              <w:rFonts w:ascii="Arial" w:hAnsi="Arial" w:cs="Arial"/>
              <w:noProof/>
              <w:sz w:val="24"/>
              <w:szCs w:val="24"/>
              <w:lang w:val="en-US"/>
            </w:rPr>
            <w:t>(Adler &amp; Lehmann, 1983)</w:t>
          </w:r>
          <w:r w:rsidR="001E67CA">
            <w:rPr>
              <w:rFonts w:ascii="Arial" w:hAnsi="Arial" w:cs="Arial"/>
              <w:sz w:val="24"/>
              <w:szCs w:val="24"/>
            </w:rPr>
            <w:fldChar w:fldCharType="end"/>
          </w:r>
        </w:sdtContent>
      </w:sdt>
      <w:r w:rsidRPr="00647C34">
        <w:rPr>
          <w:rFonts w:ascii="Arial" w:hAnsi="Arial" w:cs="Arial"/>
          <w:sz w:val="24"/>
          <w:szCs w:val="24"/>
        </w:rPr>
        <w:t>.</w:t>
      </w:r>
    </w:p>
    <w:p w14:paraId="7804C42F" w14:textId="27284517" w:rsidR="00C7618F" w:rsidRPr="00647C34" w:rsidRDefault="00C7618F" w:rsidP="00C7618F">
      <w:pPr>
        <w:jc w:val="both"/>
        <w:rPr>
          <w:rFonts w:ascii="Arial" w:hAnsi="Arial" w:cs="Arial"/>
          <w:sz w:val="24"/>
          <w:szCs w:val="24"/>
        </w:rPr>
      </w:pPr>
      <w:r w:rsidRPr="00647C34">
        <w:rPr>
          <w:rFonts w:ascii="Arial" w:hAnsi="Arial" w:cs="Arial"/>
          <w:sz w:val="24"/>
          <w:szCs w:val="24"/>
        </w:rPr>
        <w:lastRenderedPageBreak/>
        <w:t xml:space="preserve">These methods are frequently employed in tandem, and the decision is influenced by a variety of factors, including the nature of the firm, risk tolerance, and market circumstances. MNCs </w:t>
      </w:r>
      <w:r w:rsidR="004D4008" w:rsidRPr="00647C34">
        <w:rPr>
          <w:rFonts w:ascii="Arial" w:hAnsi="Arial" w:cs="Arial"/>
          <w:sz w:val="24"/>
          <w:szCs w:val="24"/>
        </w:rPr>
        <w:t>analyse</w:t>
      </w:r>
      <w:r w:rsidRPr="00647C34">
        <w:rPr>
          <w:rFonts w:ascii="Arial" w:hAnsi="Arial" w:cs="Arial"/>
          <w:sz w:val="24"/>
          <w:szCs w:val="24"/>
        </w:rPr>
        <w:t xml:space="preserve"> and adapt their foreign exchange risk management strategies on a regular basis to keep up with changing economic situations and business objectives.</w:t>
      </w:r>
    </w:p>
    <w:p w14:paraId="2E0E167E" w14:textId="1E0782C2" w:rsidR="00C7618F" w:rsidRPr="00647C34" w:rsidRDefault="00C7618F" w:rsidP="00C7618F">
      <w:pPr>
        <w:jc w:val="both"/>
        <w:rPr>
          <w:rFonts w:ascii="Arial" w:hAnsi="Arial" w:cs="Arial"/>
          <w:sz w:val="24"/>
          <w:szCs w:val="24"/>
        </w:rPr>
      </w:pPr>
      <w:r w:rsidRPr="00647C34">
        <w:rPr>
          <w:rFonts w:ascii="Arial" w:hAnsi="Arial" w:cs="Arial"/>
          <w:sz w:val="24"/>
          <w:szCs w:val="24"/>
        </w:rPr>
        <w:t xml:space="preserve">MNCs can manage foreign exchange risks using theoretical models such as Purchasing Power Parity (PPP), Interest Rate Parity (IRP), International Fisher Effect (IFE), Asset Market Model, Efficient Market Hypothesis (EMH), Transaction Cost Economics, Mundell-Fleming Model, and Dunning's Eclectic Paradigm (OLI Model). These models assist multinational corporations in identifying the most effective techniques for managing foreign exchange risks and ensuring that their operations are </w:t>
      </w:r>
      <w:r w:rsidR="004D4008" w:rsidRPr="00647C34">
        <w:rPr>
          <w:rFonts w:ascii="Arial" w:hAnsi="Arial" w:cs="Arial"/>
          <w:sz w:val="24"/>
          <w:szCs w:val="24"/>
        </w:rPr>
        <w:t>coordinated</w:t>
      </w:r>
      <w:r w:rsidRPr="00647C34">
        <w:rPr>
          <w:rFonts w:ascii="Arial" w:hAnsi="Arial" w:cs="Arial"/>
          <w:sz w:val="24"/>
          <w:szCs w:val="24"/>
        </w:rPr>
        <w:t xml:space="preserve"> with the demands of their worldwide consumers</w:t>
      </w:r>
      <w:sdt>
        <w:sdtPr>
          <w:rPr>
            <w:rFonts w:ascii="Arial" w:hAnsi="Arial" w:cs="Arial"/>
            <w:sz w:val="24"/>
            <w:szCs w:val="24"/>
          </w:rPr>
          <w:id w:val="-2056693907"/>
          <w:citation/>
        </w:sdtPr>
        <w:sdtContent>
          <w:r w:rsidR="001E67CA">
            <w:rPr>
              <w:rFonts w:ascii="Arial" w:hAnsi="Arial" w:cs="Arial"/>
              <w:sz w:val="24"/>
              <w:szCs w:val="24"/>
            </w:rPr>
            <w:fldChar w:fldCharType="begin"/>
          </w:r>
          <w:r w:rsidR="001E67CA">
            <w:rPr>
              <w:rFonts w:ascii="Arial" w:hAnsi="Arial" w:cs="Arial"/>
              <w:sz w:val="24"/>
              <w:szCs w:val="24"/>
              <w:lang w:val="en-US"/>
            </w:rPr>
            <w:instrText xml:space="preserve"> CITATION Eit16 \l 1033 </w:instrText>
          </w:r>
          <w:r w:rsidR="001E67CA">
            <w:rPr>
              <w:rFonts w:ascii="Arial" w:hAnsi="Arial" w:cs="Arial"/>
              <w:sz w:val="24"/>
              <w:szCs w:val="24"/>
            </w:rPr>
            <w:fldChar w:fldCharType="separate"/>
          </w:r>
          <w:r w:rsidR="001E67CA">
            <w:rPr>
              <w:rFonts w:ascii="Arial" w:hAnsi="Arial" w:cs="Arial"/>
              <w:noProof/>
              <w:sz w:val="24"/>
              <w:szCs w:val="24"/>
              <w:lang w:val="en-US"/>
            </w:rPr>
            <w:t xml:space="preserve"> </w:t>
          </w:r>
          <w:r w:rsidR="001E67CA" w:rsidRPr="001E67CA">
            <w:rPr>
              <w:rFonts w:ascii="Arial" w:hAnsi="Arial" w:cs="Arial"/>
              <w:noProof/>
              <w:sz w:val="24"/>
              <w:szCs w:val="24"/>
              <w:lang w:val="en-US"/>
            </w:rPr>
            <w:t>(Eiteman, et al., 2016)</w:t>
          </w:r>
          <w:r w:rsidR="001E67CA">
            <w:rPr>
              <w:rFonts w:ascii="Arial" w:hAnsi="Arial" w:cs="Arial"/>
              <w:sz w:val="24"/>
              <w:szCs w:val="24"/>
            </w:rPr>
            <w:fldChar w:fldCharType="end"/>
          </w:r>
        </w:sdtContent>
      </w:sdt>
      <w:r w:rsidRPr="00647C34">
        <w:rPr>
          <w:rFonts w:ascii="Arial" w:hAnsi="Arial" w:cs="Arial"/>
          <w:sz w:val="24"/>
          <w:szCs w:val="24"/>
        </w:rPr>
        <w:t>.</w:t>
      </w:r>
    </w:p>
    <w:p w14:paraId="247604F3" w14:textId="4DFC5E03" w:rsidR="0020459B" w:rsidRPr="00647C34" w:rsidRDefault="0020459B" w:rsidP="0020459B">
      <w:pPr>
        <w:jc w:val="both"/>
        <w:rPr>
          <w:rFonts w:ascii="Arial" w:hAnsi="Arial" w:cs="Arial"/>
          <w:sz w:val="24"/>
          <w:szCs w:val="24"/>
        </w:rPr>
      </w:pPr>
      <w:r w:rsidRPr="00647C34">
        <w:rPr>
          <w:rFonts w:ascii="Arial" w:hAnsi="Arial" w:cs="Arial"/>
          <w:sz w:val="24"/>
          <w:szCs w:val="24"/>
        </w:rPr>
        <w:t xml:space="preserve">To comprehend global financial operations, international </w:t>
      </w:r>
      <w:r w:rsidR="004D4008" w:rsidRPr="00647C34">
        <w:rPr>
          <w:rFonts w:ascii="Arial" w:hAnsi="Arial" w:cs="Arial"/>
          <w:sz w:val="24"/>
          <w:szCs w:val="24"/>
        </w:rPr>
        <w:t>economic management</w:t>
      </w:r>
      <w:r w:rsidRPr="00647C34">
        <w:rPr>
          <w:rFonts w:ascii="Arial" w:hAnsi="Arial" w:cs="Arial"/>
          <w:sz w:val="24"/>
          <w:szCs w:val="24"/>
        </w:rPr>
        <w:t xml:space="preserve"> (IFM) entails critically reviewing major studies, ideas, and empirical facts. Purchasing Power Parity (PPP), Interest Rate Parity (IRP), International Fisher Effect (IFE), Asset Market Model (Branson's), Efficient Market Hypothesis (EMH), Transaction Cost Economics, Mundell-Fleming Model, and Dunning's Eclectic Paradigm (OLI) are examples of key IFM ideas. Short-term validity, risk neutrality, risk aversion, and the importance of investor mood and irrational conduct in affecting exchange prices have all been challenged.</w:t>
      </w:r>
    </w:p>
    <w:p w14:paraId="7D73DDBF" w14:textId="60B8CAB8" w:rsidR="0020459B" w:rsidRPr="00647C34" w:rsidRDefault="004D4008" w:rsidP="0020459B">
      <w:pPr>
        <w:jc w:val="both"/>
        <w:rPr>
          <w:rFonts w:ascii="Arial" w:hAnsi="Arial" w:cs="Arial"/>
          <w:sz w:val="24"/>
          <w:szCs w:val="24"/>
        </w:rPr>
      </w:pPr>
      <w:r w:rsidRPr="00647C34">
        <w:rPr>
          <w:rFonts w:ascii="Arial" w:hAnsi="Arial" w:cs="Arial"/>
          <w:sz w:val="24"/>
          <w:szCs w:val="24"/>
        </w:rPr>
        <w:t>Behavioural</w:t>
      </w:r>
      <w:r w:rsidR="0020459B" w:rsidRPr="00647C34">
        <w:rPr>
          <w:rFonts w:ascii="Arial" w:hAnsi="Arial" w:cs="Arial"/>
          <w:sz w:val="24"/>
          <w:szCs w:val="24"/>
        </w:rPr>
        <w:t xml:space="preserve"> finance experts have challenged the EMH, claiming that market inefficiencies arise owing to psychological causes. Although transaction cost economics gives insights into the costs of cross-border transactions, its generalizability across varied institutional settings is called into doubt. Mundell's model has been criticized for simplifying assumptions, notably the assumption of perfect capital mobility. Although the OLI model is frequently used to explain foreign direct investment (FDI), its expansion to regional and global dimensions is required to investigate the changing structure of multinational firms</w:t>
      </w:r>
      <w:sdt>
        <w:sdtPr>
          <w:rPr>
            <w:rFonts w:ascii="Arial" w:hAnsi="Arial" w:cs="Arial"/>
            <w:sz w:val="24"/>
            <w:szCs w:val="24"/>
          </w:rPr>
          <w:id w:val="1800790781"/>
          <w:citation/>
        </w:sdtPr>
        <w:sdtContent>
          <w:r w:rsidR="005E58E2" w:rsidRPr="00647C34">
            <w:rPr>
              <w:rFonts w:ascii="Arial" w:hAnsi="Arial" w:cs="Arial"/>
              <w:sz w:val="24"/>
              <w:szCs w:val="24"/>
            </w:rPr>
            <w:fldChar w:fldCharType="begin"/>
          </w:r>
          <w:r w:rsidR="005E58E2" w:rsidRPr="00647C34">
            <w:rPr>
              <w:rFonts w:ascii="Arial" w:hAnsi="Arial" w:cs="Arial"/>
              <w:sz w:val="24"/>
              <w:szCs w:val="24"/>
              <w:lang w:val="en-US"/>
            </w:rPr>
            <w:instrText xml:space="preserve"> CITATION Sha02 \l 1033 </w:instrText>
          </w:r>
          <w:r w:rsidR="005E58E2" w:rsidRPr="00647C34">
            <w:rPr>
              <w:rFonts w:ascii="Arial" w:hAnsi="Arial" w:cs="Arial"/>
              <w:sz w:val="24"/>
              <w:szCs w:val="24"/>
            </w:rPr>
            <w:fldChar w:fldCharType="separate"/>
          </w:r>
          <w:r w:rsidR="005E58E2" w:rsidRPr="00647C34">
            <w:rPr>
              <w:rFonts w:ascii="Arial" w:hAnsi="Arial" w:cs="Arial"/>
              <w:noProof/>
              <w:sz w:val="24"/>
              <w:szCs w:val="24"/>
              <w:lang w:val="en-US"/>
            </w:rPr>
            <w:t xml:space="preserve"> (Shapiro, 2002)</w:t>
          </w:r>
          <w:r w:rsidR="005E58E2" w:rsidRPr="00647C34">
            <w:rPr>
              <w:rFonts w:ascii="Arial" w:hAnsi="Arial" w:cs="Arial"/>
              <w:sz w:val="24"/>
              <w:szCs w:val="24"/>
            </w:rPr>
            <w:fldChar w:fldCharType="end"/>
          </w:r>
        </w:sdtContent>
      </w:sdt>
      <w:r w:rsidR="0020459B" w:rsidRPr="00647C34">
        <w:rPr>
          <w:rFonts w:ascii="Arial" w:hAnsi="Arial" w:cs="Arial"/>
          <w:sz w:val="24"/>
          <w:szCs w:val="24"/>
        </w:rPr>
        <w:t>.</w:t>
      </w:r>
    </w:p>
    <w:p w14:paraId="00EACEFF" w14:textId="610EE43E" w:rsidR="00623966" w:rsidRPr="00647C34" w:rsidRDefault="0020459B" w:rsidP="0020459B">
      <w:pPr>
        <w:jc w:val="both"/>
        <w:rPr>
          <w:rFonts w:ascii="Arial" w:hAnsi="Arial" w:cs="Arial"/>
          <w:sz w:val="24"/>
          <w:szCs w:val="24"/>
        </w:rPr>
      </w:pPr>
      <w:r w:rsidRPr="00647C34">
        <w:rPr>
          <w:rFonts w:ascii="Arial" w:hAnsi="Arial" w:cs="Arial"/>
          <w:sz w:val="24"/>
          <w:szCs w:val="24"/>
        </w:rPr>
        <w:t>Scholars contribute to an ongoing discussion that refines our knowledge of global financial phenomena by critically assessing these important IFM ideas, while noting the inherent complexity and problems in applying theoretical frameworks to various and dynamic real-world circumstances.</w:t>
      </w:r>
    </w:p>
    <w:p w14:paraId="1D591AF4" w14:textId="3884A7F4" w:rsidR="008A769A" w:rsidRDefault="008A769A" w:rsidP="008A769A">
      <w:pPr>
        <w:pStyle w:val="Heading1"/>
      </w:pPr>
      <w:r>
        <w:t>F</w:t>
      </w:r>
      <w:r w:rsidRPr="00C07069">
        <w:t>oreign exchange risks</w:t>
      </w:r>
    </w:p>
    <w:p w14:paraId="511EAA01" w14:textId="3A7534F7" w:rsidR="00C737E1" w:rsidRPr="00647C34" w:rsidRDefault="00C737E1" w:rsidP="00C737E1">
      <w:pPr>
        <w:jc w:val="both"/>
        <w:rPr>
          <w:rFonts w:ascii="Arial" w:hAnsi="Arial" w:cs="Arial"/>
          <w:sz w:val="24"/>
          <w:szCs w:val="24"/>
        </w:rPr>
      </w:pPr>
      <w:r w:rsidRPr="00647C34">
        <w:rPr>
          <w:rFonts w:ascii="Arial" w:hAnsi="Arial" w:cs="Arial"/>
          <w:sz w:val="24"/>
          <w:szCs w:val="24"/>
        </w:rPr>
        <w:t>Foreign exchange risks are inevitable in worldwide business and must be managed effectively. Transaction exposure, which derives from currency fluctuations affecting specific transactions, and translation exposure, which impacts the valuation of foreign subsidiaries in consolidated financial statements, are two examples of these risks. Economic exposure refers to the effect of exchange rate variations on future cash flows and market value, whereas operating exposure includes transaction, translation, and economic exposures</w:t>
      </w:r>
      <w:sdt>
        <w:sdtPr>
          <w:rPr>
            <w:rFonts w:ascii="Arial" w:hAnsi="Arial" w:cs="Arial"/>
            <w:sz w:val="24"/>
            <w:szCs w:val="24"/>
          </w:rPr>
          <w:id w:val="428777032"/>
          <w:citation/>
        </w:sdtPr>
        <w:sdtContent>
          <w:r w:rsidR="005E58E2" w:rsidRPr="00647C34">
            <w:rPr>
              <w:rFonts w:ascii="Arial" w:hAnsi="Arial" w:cs="Arial"/>
              <w:sz w:val="24"/>
              <w:szCs w:val="24"/>
            </w:rPr>
            <w:fldChar w:fldCharType="begin"/>
          </w:r>
          <w:r w:rsidR="005E58E2" w:rsidRPr="00647C34">
            <w:rPr>
              <w:rFonts w:ascii="Arial" w:hAnsi="Arial" w:cs="Arial"/>
              <w:sz w:val="24"/>
              <w:szCs w:val="24"/>
              <w:lang w:val="en-US"/>
            </w:rPr>
            <w:instrText xml:space="preserve"> CITATION Kho09 \l 1033 </w:instrText>
          </w:r>
          <w:r w:rsidR="005E58E2" w:rsidRPr="00647C34">
            <w:rPr>
              <w:rFonts w:ascii="Arial" w:hAnsi="Arial" w:cs="Arial"/>
              <w:sz w:val="24"/>
              <w:szCs w:val="24"/>
            </w:rPr>
            <w:fldChar w:fldCharType="separate"/>
          </w:r>
          <w:r w:rsidR="005E58E2" w:rsidRPr="00647C34">
            <w:rPr>
              <w:rFonts w:ascii="Arial" w:hAnsi="Arial" w:cs="Arial"/>
              <w:noProof/>
              <w:sz w:val="24"/>
              <w:szCs w:val="24"/>
              <w:lang w:val="en-US"/>
            </w:rPr>
            <w:t xml:space="preserve"> (Kho, et al., 2009)</w:t>
          </w:r>
          <w:r w:rsidR="005E58E2" w:rsidRPr="00647C34">
            <w:rPr>
              <w:rFonts w:ascii="Arial" w:hAnsi="Arial" w:cs="Arial"/>
              <w:sz w:val="24"/>
              <w:szCs w:val="24"/>
            </w:rPr>
            <w:fldChar w:fldCharType="end"/>
          </w:r>
        </w:sdtContent>
      </w:sdt>
      <w:r w:rsidRPr="00647C34">
        <w:rPr>
          <w:rFonts w:ascii="Arial" w:hAnsi="Arial" w:cs="Arial"/>
          <w:sz w:val="24"/>
          <w:szCs w:val="24"/>
        </w:rPr>
        <w:t>.</w:t>
      </w:r>
    </w:p>
    <w:p w14:paraId="4797C8FD" w14:textId="0258D26C" w:rsidR="00974B1B" w:rsidRPr="00647C34" w:rsidRDefault="00C737E1" w:rsidP="00974B1B">
      <w:pPr>
        <w:jc w:val="both"/>
        <w:rPr>
          <w:rFonts w:ascii="Arial" w:hAnsi="Arial" w:cs="Arial"/>
          <w:sz w:val="24"/>
          <w:szCs w:val="24"/>
        </w:rPr>
      </w:pPr>
      <w:r w:rsidRPr="00647C34">
        <w:rPr>
          <w:rFonts w:ascii="Arial" w:hAnsi="Arial" w:cs="Arial"/>
          <w:sz w:val="24"/>
          <w:szCs w:val="24"/>
        </w:rPr>
        <w:lastRenderedPageBreak/>
        <w:t xml:space="preserve">Country risk, which affects exchange rates and causes uncertainty, is another major risk. According to research, exposure to nation risk influences stock returns and volatility. Interest rate risk, which affects currency values and cross-border funding, is another issue to be concerned about. </w:t>
      </w:r>
      <w:r w:rsidR="00974B1B" w:rsidRPr="00647C34">
        <w:rPr>
          <w:rFonts w:ascii="Arial" w:hAnsi="Arial" w:cs="Arial"/>
          <w:sz w:val="24"/>
          <w:szCs w:val="24"/>
        </w:rPr>
        <w:t xml:space="preserve">. Credit risk refers to the probable default of a counterparty in a forex transaction, and research has shown that it is critical to address credit risk in currency markets </w:t>
      </w:r>
      <w:r w:rsidR="00913CBD" w:rsidRPr="00647C34">
        <w:rPr>
          <w:rFonts w:ascii="Arial" w:hAnsi="Arial" w:cs="Arial"/>
          <w:sz w:val="24"/>
          <w:szCs w:val="24"/>
        </w:rPr>
        <w:t>to</w:t>
      </w:r>
      <w:r w:rsidR="00974B1B" w:rsidRPr="00647C34">
        <w:rPr>
          <w:rFonts w:ascii="Arial" w:hAnsi="Arial" w:cs="Arial"/>
          <w:sz w:val="24"/>
          <w:szCs w:val="24"/>
        </w:rPr>
        <w:t xml:space="preserve"> avoid negative effects</w:t>
      </w:r>
      <w:sdt>
        <w:sdtPr>
          <w:rPr>
            <w:rFonts w:ascii="Arial" w:hAnsi="Arial" w:cs="Arial"/>
            <w:sz w:val="24"/>
            <w:szCs w:val="24"/>
          </w:rPr>
          <w:id w:val="-40837587"/>
          <w:citation/>
        </w:sdtPr>
        <w:sdtContent>
          <w:r w:rsidR="005E58E2" w:rsidRPr="00647C34">
            <w:rPr>
              <w:rFonts w:ascii="Arial" w:hAnsi="Arial" w:cs="Arial"/>
              <w:sz w:val="24"/>
              <w:szCs w:val="24"/>
            </w:rPr>
            <w:fldChar w:fldCharType="begin"/>
          </w:r>
          <w:r w:rsidR="005E58E2" w:rsidRPr="00647C34">
            <w:rPr>
              <w:rFonts w:ascii="Arial" w:hAnsi="Arial" w:cs="Arial"/>
              <w:sz w:val="24"/>
              <w:szCs w:val="24"/>
              <w:lang w:val="en-US"/>
            </w:rPr>
            <w:instrText xml:space="preserve"> CITATION Bar961 \l 1033 </w:instrText>
          </w:r>
          <w:r w:rsidR="005E58E2" w:rsidRPr="00647C34">
            <w:rPr>
              <w:rFonts w:ascii="Arial" w:hAnsi="Arial" w:cs="Arial"/>
              <w:sz w:val="24"/>
              <w:szCs w:val="24"/>
            </w:rPr>
            <w:fldChar w:fldCharType="separate"/>
          </w:r>
          <w:r w:rsidR="005E58E2" w:rsidRPr="00647C34">
            <w:rPr>
              <w:rFonts w:ascii="Arial" w:hAnsi="Arial" w:cs="Arial"/>
              <w:noProof/>
              <w:sz w:val="24"/>
              <w:szCs w:val="24"/>
              <w:lang w:val="en-US"/>
            </w:rPr>
            <w:t xml:space="preserve"> (Bartov &amp; Bodnar, 1996)</w:t>
          </w:r>
          <w:r w:rsidR="005E58E2" w:rsidRPr="00647C34">
            <w:rPr>
              <w:rFonts w:ascii="Arial" w:hAnsi="Arial" w:cs="Arial"/>
              <w:sz w:val="24"/>
              <w:szCs w:val="24"/>
            </w:rPr>
            <w:fldChar w:fldCharType="end"/>
          </w:r>
        </w:sdtContent>
      </w:sdt>
      <w:r w:rsidR="00974B1B" w:rsidRPr="00647C34">
        <w:rPr>
          <w:rFonts w:ascii="Arial" w:hAnsi="Arial" w:cs="Arial"/>
          <w:sz w:val="24"/>
          <w:szCs w:val="24"/>
        </w:rPr>
        <w:t>.</w:t>
      </w:r>
    </w:p>
    <w:p w14:paraId="01BC9DCC" w14:textId="18DB85FD" w:rsidR="00974B1B" w:rsidRPr="00647C34" w:rsidRDefault="00160951" w:rsidP="00974B1B">
      <w:pPr>
        <w:jc w:val="both"/>
        <w:rPr>
          <w:rFonts w:ascii="Arial" w:hAnsi="Arial" w:cs="Arial"/>
          <w:sz w:val="24"/>
          <w:szCs w:val="24"/>
        </w:rPr>
      </w:pPr>
      <w:r w:rsidRPr="00647C34">
        <w:rPr>
          <w:rFonts w:ascii="Arial" w:hAnsi="Arial" w:cs="Arial"/>
          <w:sz w:val="24"/>
          <w:szCs w:val="24"/>
        </w:rPr>
        <w:t>Liquidity risk occurs when changing a less-traded currency into a more liquid one becomes difficult</w:t>
      </w:r>
      <w:r w:rsidR="00974B1B" w:rsidRPr="00647C34">
        <w:rPr>
          <w:rFonts w:ascii="Arial" w:hAnsi="Arial" w:cs="Arial"/>
          <w:sz w:val="24"/>
          <w:szCs w:val="24"/>
        </w:rPr>
        <w:t xml:space="preserve">. According to research, liquidity risk </w:t>
      </w:r>
      <w:r w:rsidR="00913CBD" w:rsidRPr="00647C34">
        <w:rPr>
          <w:rFonts w:ascii="Arial" w:hAnsi="Arial" w:cs="Arial"/>
          <w:sz w:val="24"/>
          <w:szCs w:val="24"/>
        </w:rPr>
        <w:t>influences</w:t>
      </w:r>
      <w:r w:rsidR="00974B1B" w:rsidRPr="00647C34">
        <w:rPr>
          <w:rFonts w:ascii="Arial" w:hAnsi="Arial" w:cs="Arial"/>
          <w:sz w:val="24"/>
          <w:szCs w:val="24"/>
        </w:rPr>
        <w:t xml:space="preserve"> exchange rate fluctuations. As evidenced by the 2008 global </w:t>
      </w:r>
      <w:r w:rsidR="004D4008" w:rsidRPr="00647C34">
        <w:rPr>
          <w:rFonts w:ascii="Arial" w:hAnsi="Arial" w:cs="Arial"/>
          <w:sz w:val="24"/>
          <w:szCs w:val="24"/>
        </w:rPr>
        <w:t>fiscal crisis</w:t>
      </w:r>
      <w:r w:rsidR="00974B1B" w:rsidRPr="00647C34">
        <w:rPr>
          <w:rFonts w:ascii="Arial" w:hAnsi="Arial" w:cs="Arial"/>
          <w:sz w:val="24"/>
          <w:szCs w:val="24"/>
        </w:rPr>
        <w:t>, systemic risk entails greater dangers to the global financial system.</w:t>
      </w:r>
    </w:p>
    <w:p w14:paraId="7A737274" w14:textId="09CBFD45" w:rsidR="00C737E1" w:rsidRPr="00647C34" w:rsidRDefault="00974B1B" w:rsidP="00974B1B">
      <w:pPr>
        <w:jc w:val="both"/>
        <w:rPr>
          <w:rFonts w:ascii="Arial" w:hAnsi="Arial" w:cs="Arial"/>
          <w:sz w:val="24"/>
          <w:szCs w:val="24"/>
        </w:rPr>
      </w:pPr>
      <w:r w:rsidRPr="00647C34">
        <w:rPr>
          <w:rFonts w:ascii="Arial" w:hAnsi="Arial" w:cs="Arial"/>
          <w:sz w:val="24"/>
          <w:szCs w:val="24"/>
        </w:rPr>
        <w:t>Empirical data backs up the theoretical knowledge of foreign currency risks, with organizations that actively manage transaction exposure, assess economic exposure, and include risk management measures outperforming in terms of stock returns and overall financial performance</w:t>
      </w:r>
      <w:sdt>
        <w:sdtPr>
          <w:rPr>
            <w:rFonts w:ascii="Arial" w:hAnsi="Arial" w:cs="Arial"/>
            <w:sz w:val="24"/>
            <w:szCs w:val="24"/>
          </w:rPr>
          <w:id w:val="1960759112"/>
          <w:citation/>
        </w:sdtPr>
        <w:sdtContent>
          <w:r w:rsidR="00160951" w:rsidRPr="00647C34">
            <w:rPr>
              <w:rFonts w:ascii="Arial" w:hAnsi="Arial" w:cs="Arial"/>
              <w:sz w:val="24"/>
              <w:szCs w:val="24"/>
            </w:rPr>
            <w:fldChar w:fldCharType="begin"/>
          </w:r>
          <w:r w:rsidR="00160951" w:rsidRPr="00647C34">
            <w:rPr>
              <w:rFonts w:ascii="Arial" w:hAnsi="Arial" w:cs="Arial"/>
              <w:sz w:val="24"/>
              <w:szCs w:val="24"/>
              <w:lang w:val="en-US"/>
            </w:rPr>
            <w:instrText xml:space="preserve"> CITATION Sha10 \l 1033 </w:instrText>
          </w:r>
          <w:r w:rsidR="00160951" w:rsidRPr="00647C34">
            <w:rPr>
              <w:rFonts w:ascii="Arial" w:hAnsi="Arial" w:cs="Arial"/>
              <w:sz w:val="24"/>
              <w:szCs w:val="24"/>
            </w:rPr>
            <w:fldChar w:fldCharType="separate"/>
          </w:r>
          <w:r w:rsidR="00160951" w:rsidRPr="00647C34">
            <w:rPr>
              <w:rFonts w:ascii="Arial" w:hAnsi="Arial" w:cs="Arial"/>
              <w:noProof/>
              <w:sz w:val="24"/>
              <w:szCs w:val="24"/>
              <w:lang w:val="en-US"/>
            </w:rPr>
            <w:t xml:space="preserve"> (Shapiro &amp; Allen, 2010)</w:t>
          </w:r>
          <w:r w:rsidR="00160951" w:rsidRPr="00647C34">
            <w:rPr>
              <w:rFonts w:ascii="Arial" w:hAnsi="Arial" w:cs="Arial"/>
              <w:sz w:val="24"/>
              <w:szCs w:val="24"/>
            </w:rPr>
            <w:fldChar w:fldCharType="end"/>
          </w:r>
        </w:sdtContent>
      </w:sdt>
      <w:r w:rsidRPr="00647C34">
        <w:rPr>
          <w:rFonts w:ascii="Arial" w:hAnsi="Arial" w:cs="Arial"/>
          <w:sz w:val="24"/>
          <w:szCs w:val="24"/>
        </w:rPr>
        <w:t>. However, for successful risk management, a comprehensive strategy is required, and firms must constantly review</w:t>
      </w:r>
      <w:sdt>
        <w:sdtPr>
          <w:rPr>
            <w:rFonts w:ascii="Arial" w:hAnsi="Arial" w:cs="Arial"/>
            <w:sz w:val="24"/>
            <w:szCs w:val="24"/>
          </w:rPr>
          <w:id w:val="67623355"/>
          <w:citation/>
        </w:sdtPr>
        <w:sdtContent>
          <w:r w:rsidR="00160951" w:rsidRPr="00647C34">
            <w:rPr>
              <w:rFonts w:ascii="Arial" w:hAnsi="Arial" w:cs="Arial"/>
              <w:sz w:val="24"/>
              <w:szCs w:val="24"/>
            </w:rPr>
            <w:fldChar w:fldCharType="begin"/>
          </w:r>
          <w:r w:rsidR="00160951" w:rsidRPr="00647C34">
            <w:rPr>
              <w:rFonts w:ascii="Arial" w:hAnsi="Arial" w:cs="Arial"/>
              <w:sz w:val="24"/>
              <w:szCs w:val="24"/>
              <w:lang w:val="en-US"/>
            </w:rPr>
            <w:instrText xml:space="preserve"> CITATION Bar07 \l 1033 </w:instrText>
          </w:r>
          <w:r w:rsidR="00160951" w:rsidRPr="00647C34">
            <w:rPr>
              <w:rFonts w:ascii="Arial" w:hAnsi="Arial" w:cs="Arial"/>
              <w:sz w:val="24"/>
              <w:szCs w:val="24"/>
            </w:rPr>
            <w:fldChar w:fldCharType="separate"/>
          </w:r>
          <w:r w:rsidR="00160951" w:rsidRPr="00647C34">
            <w:rPr>
              <w:rFonts w:ascii="Arial" w:hAnsi="Arial" w:cs="Arial"/>
              <w:noProof/>
              <w:sz w:val="24"/>
              <w:szCs w:val="24"/>
              <w:lang w:val="en-US"/>
            </w:rPr>
            <w:t xml:space="preserve"> (Bartram &amp; Bodnar, 2007)</w:t>
          </w:r>
          <w:r w:rsidR="00160951" w:rsidRPr="00647C34">
            <w:rPr>
              <w:rFonts w:ascii="Arial" w:hAnsi="Arial" w:cs="Arial"/>
              <w:sz w:val="24"/>
              <w:szCs w:val="24"/>
            </w:rPr>
            <w:fldChar w:fldCharType="end"/>
          </w:r>
        </w:sdtContent>
      </w:sdt>
      <w:r w:rsidRPr="00647C34">
        <w:rPr>
          <w:rFonts w:ascii="Arial" w:hAnsi="Arial" w:cs="Arial"/>
          <w:sz w:val="24"/>
          <w:szCs w:val="24"/>
        </w:rPr>
        <w:t>.</w:t>
      </w:r>
    </w:p>
    <w:p w14:paraId="199B6AA8" w14:textId="2C680F1A" w:rsidR="00913CBD" w:rsidRPr="00647C34" w:rsidRDefault="00913CBD" w:rsidP="00913CBD">
      <w:pPr>
        <w:jc w:val="both"/>
        <w:rPr>
          <w:rFonts w:ascii="Arial" w:hAnsi="Arial" w:cs="Arial"/>
          <w:sz w:val="24"/>
          <w:szCs w:val="24"/>
        </w:rPr>
      </w:pPr>
      <w:r w:rsidRPr="00647C34">
        <w:rPr>
          <w:rFonts w:ascii="Arial" w:hAnsi="Arial" w:cs="Arial"/>
          <w:sz w:val="24"/>
          <w:szCs w:val="24"/>
        </w:rPr>
        <w:t>The empirical data backs up the theoretical knowledge of currency risks. Firms that actively manage transaction risk, evaluate economic risk, and implement risk management methods do better in terms of stock returns and overall financial performance. Country risk and interest rate risk have been shown to influence stock returns and volatility</w:t>
      </w:r>
      <w:sdt>
        <w:sdtPr>
          <w:rPr>
            <w:rFonts w:ascii="Arial" w:hAnsi="Arial" w:cs="Arial"/>
            <w:sz w:val="24"/>
            <w:szCs w:val="24"/>
          </w:rPr>
          <w:id w:val="-1197842644"/>
          <w:citation/>
        </w:sdtPr>
        <w:sdtContent>
          <w:r w:rsidR="00160951" w:rsidRPr="00647C34">
            <w:rPr>
              <w:rFonts w:ascii="Arial" w:hAnsi="Arial" w:cs="Arial"/>
              <w:sz w:val="24"/>
              <w:szCs w:val="24"/>
            </w:rPr>
            <w:fldChar w:fldCharType="begin"/>
          </w:r>
          <w:r w:rsidR="00160951" w:rsidRPr="00647C34">
            <w:rPr>
              <w:rFonts w:ascii="Arial" w:hAnsi="Arial" w:cs="Arial"/>
              <w:sz w:val="24"/>
              <w:szCs w:val="24"/>
              <w:lang w:val="en-US"/>
            </w:rPr>
            <w:instrText xml:space="preserve"> CITATION Bra83 \l 1033 </w:instrText>
          </w:r>
          <w:r w:rsidR="00160951" w:rsidRPr="00647C34">
            <w:rPr>
              <w:rFonts w:ascii="Arial" w:hAnsi="Arial" w:cs="Arial"/>
              <w:sz w:val="24"/>
              <w:szCs w:val="24"/>
            </w:rPr>
            <w:fldChar w:fldCharType="separate"/>
          </w:r>
          <w:r w:rsidR="00160951" w:rsidRPr="00647C34">
            <w:rPr>
              <w:rFonts w:ascii="Arial" w:hAnsi="Arial" w:cs="Arial"/>
              <w:noProof/>
              <w:sz w:val="24"/>
              <w:szCs w:val="24"/>
              <w:lang w:val="en-US"/>
            </w:rPr>
            <w:t xml:space="preserve"> (Branson, 1983)</w:t>
          </w:r>
          <w:r w:rsidR="00160951" w:rsidRPr="00647C34">
            <w:rPr>
              <w:rFonts w:ascii="Arial" w:hAnsi="Arial" w:cs="Arial"/>
              <w:sz w:val="24"/>
              <w:szCs w:val="24"/>
            </w:rPr>
            <w:fldChar w:fldCharType="end"/>
          </w:r>
        </w:sdtContent>
      </w:sdt>
      <w:r w:rsidRPr="00647C34">
        <w:rPr>
          <w:rFonts w:ascii="Arial" w:hAnsi="Arial" w:cs="Arial"/>
          <w:sz w:val="24"/>
          <w:szCs w:val="24"/>
        </w:rPr>
        <w:t>.</w:t>
      </w:r>
    </w:p>
    <w:p w14:paraId="05904539" w14:textId="2A94A699" w:rsidR="00913CBD" w:rsidRPr="00647C34" w:rsidRDefault="00913CBD" w:rsidP="00913CBD">
      <w:pPr>
        <w:jc w:val="both"/>
        <w:rPr>
          <w:rFonts w:ascii="Arial" w:hAnsi="Arial" w:cs="Arial"/>
          <w:sz w:val="24"/>
          <w:szCs w:val="24"/>
        </w:rPr>
      </w:pPr>
      <w:r w:rsidRPr="00647C34">
        <w:rPr>
          <w:rFonts w:ascii="Arial" w:hAnsi="Arial" w:cs="Arial"/>
          <w:sz w:val="24"/>
          <w:szCs w:val="24"/>
        </w:rPr>
        <w:t xml:space="preserve">It is important to realize, however, that foreign exchange risks are dynamic and interrelated. Effective risk management necessitates a comprehensive strategy that </w:t>
      </w:r>
      <w:r w:rsidR="00160951" w:rsidRPr="00647C34">
        <w:rPr>
          <w:rFonts w:ascii="Arial" w:hAnsi="Arial" w:cs="Arial"/>
          <w:sz w:val="24"/>
          <w:szCs w:val="24"/>
        </w:rPr>
        <w:t>considers</w:t>
      </w:r>
      <w:r w:rsidRPr="00647C34">
        <w:rPr>
          <w:rFonts w:ascii="Arial" w:hAnsi="Arial" w:cs="Arial"/>
          <w:sz w:val="24"/>
          <w:szCs w:val="24"/>
        </w:rPr>
        <w:t xml:space="preserve"> the interaction of multiple hazards. Furthermore, the empirical environment may change, necessitating constant reassessment of corporate plans in response to changing market conditions</w:t>
      </w:r>
      <w:sdt>
        <w:sdtPr>
          <w:rPr>
            <w:rFonts w:ascii="Arial" w:hAnsi="Arial" w:cs="Arial"/>
            <w:sz w:val="24"/>
            <w:szCs w:val="24"/>
          </w:rPr>
          <w:id w:val="1653786478"/>
          <w:citation/>
        </w:sdtPr>
        <w:sdtContent>
          <w:r w:rsidR="00160951" w:rsidRPr="00647C34">
            <w:rPr>
              <w:rFonts w:ascii="Arial" w:hAnsi="Arial" w:cs="Arial"/>
              <w:sz w:val="24"/>
              <w:szCs w:val="24"/>
            </w:rPr>
            <w:fldChar w:fldCharType="begin"/>
          </w:r>
          <w:r w:rsidR="00160951" w:rsidRPr="00647C34">
            <w:rPr>
              <w:rFonts w:ascii="Arial" w:hAnsi="Arial" w:cs="Arial"/>
              <w:sz w:val="24"/>
              <w:szCs w:val="24"/>
              <w:lang w:val="en-US"/>
            </w:rPr>
            <w:instrText xml:space="preserve"> CITATION Adl83 \l 1033 </w:instrText>
          </w:r>
          <w:r w:rsidR="00160951" w:rsidRPr="00647C34">
            <w:rPr>
              <w:rFonts w:ascii="Arial" w:hAnsi="Arial" w:cs="Arial"/>
              <w:sz w:val="24"/>
              <w:szCs w:val="24"/>
            </w:rPr>
            <w:fldChar w:fldCharType="separate"/>
          </w:r>
          <w:r w:rsidR="00160951" w:rsidRPr="00647C34">
            <w:rPr>
              <w:rFonts w:ascii="Arial" w:hAnsi="Arial" w:cs="Arial"/>
              <w:noProof/>
              <w:sz w:val="24"/>
              <w:szCs w:val="24"/>
              <w:lang w:val="en-US"/>
            </w:rPr>
            <w:t xml:space="preserve"> (Adler &amp; Lehmann, 1983)</w:t>
          </w:r>
          <w:r w:rsidR="00160951" w:rsidRPr="00647C34">
            <w:rPr>
              <w:rFonts w:ascii="Arial" w:hAnsi="Arial" w:cs="Arial"/>
              <w:sz w:val="24"/>
              <w:szCs w:val="24"/>
            </w:rPr>
            <w:fldChar w:fldCharType="end"/>
          </w:r>
        </w:sdtContent>
      </w:sdt>
      <w:r w:rsidRPr="00647C34">
        <w:rPr>
          <w:rFonts w:ascii="Arial" w:hAnsi="Arial" w:cs="Arial"/>
          <w:sz w:val="24"/>
          <w:szCs w:val="24"/>
        </w:rPr>
        <w:t>.</w:t>
      </w:r>
    </w:p>
    <w:p w14:paraId="316557AE" w14:textId="6C7B7665" w:rsidR="00913CBD" w:rsidRPr="00647C34" w:rsidRDefault="00913CBD" w:rsidP="00913CBD">
      <w:pPr>
        <w:jc w:val="both"/>
        <w:rPr>
          <w:rFonts w:ascii="Arial" w:hAnsi="Arial" w:cs="Arial"/>
          <w:sz w:val="24"/>
          <w:szCs w:val="24"/>
        </w:rPr>
      </w:pPr>
      <w:r w:rsidRPr="00647C34">
        <w:rPr>
          <w:rFonts w:ascii="Arial" w:hAnsi="Arial" w:cs="Arial"/>
          <w:sz w:val="24"/>
          <w:szCs w:val="24"/>
        </w:rPr>
        <w:t xml:space="preserve">Finally, for multinational firms to </w:t>
      </w:r>
      <w:r w:rsidR="004D4008" w:rsidRPr="00647C34">
        <w:rPr>
          <w:rFonts w:ascii="Arial" w:hAnsi="Arial" w:cs="Arial"/>
          <w:sz w:val="24"/>
          <w:szCs w:val="24"/>
        </w:rPr>
        <w:t>manage</w:t>
      </w:r>
      <w:r w:rsidRPr="00647C34">
        <w:rPr>
          <w:rFonts w:ascii="Arial" w:hAnsi="Arial" w:cs="Arial"/>
          <w:sz w:val="24"/>
          <w:szCs w:val="24"/>
        </w:rPr>
        <w:t xml:space="preserve"> the complexity of foreign currency risk, a comprehensive knowledge of foreign exchange risks supported by empirical data is critical.</w:t>
      </w:r>
      <w:r w:rsidRPr="00647C34">
        <w:rPr>
          <w:rFonts w:ascii="Arial" w:hAnsi="Arial" w:cs="Arial"/>
          <w:sz w:val="24"/>
          <w:szCs w:val="24"/>
        </w:rPr>
        <w:t xml:space="preserve"> </w:t>
      </w:r>
      <w:r w:rsidRPr="00647C34">
        <w:rPr>
          <w:rFonts w:ascii="Arial" w:hAnsi="Arial" w:cs="Arial"/>
          <w:sz w:val="24"/>
          <w:szCs w:val="24"/>
        </w:rPr>
        <w:t>It allows for informed decision-making, risk minimization, and financial performance protection in the face of currency swings and uncertainty</w:t>
      </w:r>
      <w:sdt>
        <w:sdtPr>
          <w:rPr>
            <w:rFonts w:ascii="Arial" w:hAnsi="Arial" w:cs="Arial"/>
            <w:sz w:val="24"/>
            <w:szCs w:val="24"/>
          </w:rPr>
          <w:id w:val="-2038033990"/>
          <w:citation/>
        </w:sdtPr>
        <w:sdtContent>
          <w:r w:rsidR="00160951" w:rsidRPr="00647C34">
            <w:rPr>
              <w:rFonts w:ascii="Arial" w:hAnsi="Arial" w:cs="Arial"/>
              <w:sz w:val="24"/>
              <w:szCs w:val="24"/>
            </w:rPr>
            <w:fldChar w:fldCharType="begin"/>
          </w:r>
          <w:r w:rsidR="00160951" w:rsidRPr="00647C34">
            <w:rPr>
              <w:rFonts w:ascii="Arial" w:hAnsi="Arial" w:cs="Arial"/>
              <w:sz w:val="24"/>
              <w:szCs w:val="24"/>
              <w:lang w:val="en-US"/>
            </w:rPr>
            <w:instrText xml:space="preserve"> CITATION Fam70 \l 1033 </w:instrText>
          </w:r>
          <w:r w:rsidR="00160951" w:rsidRPr="00647C34">
            <w:rPr>
              <w:rFonts w:ascii="Arial" w:hAnsi="Arial" w:cs="Arial"/>
              <w:sz w:val="24"/>
              <w:szCs w:val="24"/>
            </w:rPr>
            <w:fldChar w:fldCharType="separate"/>
          </w:r>
          <w:r w:rsidR="00160951" w:rsidRPr="00647C34">
            <w:rPr>
              <w:rFonts w:ascii="Arial" w:hAnsi="Arial" w:cs="Arial"/>
              <w:noProof/>
              <w:sz w:val="24"/>
              <w:szCs w:val="24"/>
              <w:lang w:val="en-US"/>
            </w:rPr>
            <w:t xml:space="preserve"> (Fama, 1970)</w:t>
          </w:r>
          <w:r w:rsidR="00160951" w:rsidRPr="00647C34">
            <w:rPr>
              <w:rFonts w:ascii="Arial" w:hAnsi="Arial" w:cs="Arial"/>
              <w:sz w:val="24"/>
              <w:szCs w:val="24"/>
            </w:rPr>
            <w:fldChar w:fldCharType="end"/>
          </w:r>
        </w:sdtContent>
      </w:sdt>
      <w:r w:rsidRPr="00647C34">
        <w:rPr>
          <w:rFonts w:ascii="Arial" w:hAnsi="Arial" w:cs="Arial"/>
          <w:sz w:val="24"/>
          <w:szCs w:val="24"/>
        </w:rPr>
        <w:t>.</w:t>
      </w:r>
      <w:r w:rsidRPr="00647C34">
        <w:rPr>
          <w:rFonts w:ascii="Arial" w:hAnsi="Arial" w:cs="Arial"/>
          <w:sz w:val="24"/>
          <w:szCs w:val="24"/>
        </w:rPr>
        <w:t xml:space="preserve"> </w:t>
      </w:r>
      <w:r w:rsidRPr="00647C34">
        <w:rPr>
          <w:rFonts w:ascii="Arial" w:hAnsi="Arial" w:cs="Arial"/>
          <w:sz w:val="24"/>
          <w:szCs w:val="24"/>
        </w:rPr>
        <w:t>Foreign exchange risks are inevitable in worldwide business and must be managed effectively. Transaction exposure, which derives from currency fluctuations affecting specific transactions, and translation exposure, which impacts the valuation of foreign subsidiaries in consolidated financial statements, are two examples of these risks. Economic exposure refers to the effect of exchange rate variations on future cash flows and market value, whereas operating exposure includes transaction, translation, and economic exposures</w:t>
      </w:r>
      <w:sdt>
        <w:sdtPr>
          <w:rPr>
            <w:rFonts w:ascii="Arial" w:hAnsi="Arial" w:cs="Arial"/>
            <w:sz w:val="24"/>
            <w:szCs w:val="24"/>
          </w:rPr>
          <w:id w:val="1611087476"/>
          <w:citation/>
        </w:sdtPr>
        <w:sdtContent>
          <w:r w:rsidRPr="00647C34">
            <w:rPr>
              <w:rFonts w:ascii="Arial" w:hAnsi="Arial" w:cs="Arial"/>
              <w:sz w:val="24"/>
              <w:szCs w:val="24"/>
            </w:rPr>
            <w:fldChar w:fldCharType="begin"/>
          </w:r>
          <w:r w:rsidRPr="00647C34">
            <w:rPr>
              <w:rFonts w:ascii="Arial" w:hAnsi="Arial" w:cs="Arial"/>
              <w:sz w:val="24"/>
              <w:szCs w:val="24"/>
              <w:lang w:val="en-US"/>
            </w:rPr>
            <w:instrText xml:space="preserve"> CITATION Bar96 \l 1033 </w:instrText>
          </w:r>
          <w:r w:rsidRPr="00647C34">
            <w:rPr>
              <w:rFonts w:ascii="Arial" w:hAnsi="Arial" w:cs="Arial"/>
              <w:sz w:val="24"/>
              <w:szCs w:val="24"/>
            </w:rPr>
            <w:fldChar w:fldCharType="separate"/>
          </w:r>
          <w:r w:rsidRPr="00647C34">
            <w:rPr>
              <w:rFonts w:ascii="Arial" w:hAnsi="Arial" w:cs="Arial"/>
              <w:noProof/>
              <w:sz w:val="24"/>
              <w:szCs w:val="24"/>
              <w:lang w:val="en-US"/>
            </w:rPr>
            <w:t xml:space="preserve"> (Bartov &amp; Bodnar, 1996)</w:t>
          </w:r>
          <w:r w:rsidRPr="00647C34">
            <w:rPr>
              <w:rFonts w:ascii="Arial" w:hAnsi="Arial" w:cs="Arial"/>
              <w:sz w:val="24"/>
              <w:szCs w:val="24"/>
            </w:rPr>
            <w:fldChar w:fldCharType="end"/>
          </w:r>
        </w:sdtContent>
      </w:sdt>
      <w:r w:rsidRPr="00647C34">
        <w:rPr>
          <w:rFonts w:ascii="Arial" w:hAnsi="Arial" w:cs="Arial"/>
          <w:sz w:val="24"/>
          <w:szCs w:val="24"/>
        </w:rPr>
        <w:t>.</w:t>
      </w:r>
    </w:p>
    <w:p w14:paraId="17E16C8E" w14:textId="77777777" w:rsidR="00913CBD" w:rsidRPr="00647C34" w:rsidRDefault="00913CBD" w:rsidP="00913CBD">
      <w:pPr>
        <w:jc w:val="both"/>
        <w:rPr>
          <w:rFonts w:ascii="Arial" w:hAnsi="Arial" w:cs="Arial"/>
          <w:sz w:val="24"/>
          <w:szCs w:val="24"/>
        </w:rPr>
      </w:pPr>
    </w:p>
    <w:p w14:paraId="42AD875F" w14:textId="4CA18AEB" w:rsidR="00913CBD" w:rsidRPr="00647C34" w:rsidRDefault="00913CBD" w:rsidP="00913CBD">
      <w:pPr>
        <w:jc w:val="both"/>
        <w:rPr>
          <w:rFonts w:ascii="Arial" w:hAnsi="Arial" w:cs="Arial"/>
          <w:sz w:val="24"/>
          <w:szCs w:val="24"/>
        </w:rPr>
      </w:pPr>
      <w:r w:rsidRPr="00647C34">
        <w:rPr>
          <w:rFonts w:ascii="Arial" w:hAnsi="Arial" w:cs="Arial"/>
          <w:sz w:val="24"/>
          <w:szCs w:val="24"/>
        </w:rPr>
        <w:lastRenderedPageBreak/>
        <w:t>Country risk, which affects exchange rates and causes uncertainty, is another major risk. According to research, exposure to nation risk influences stock returns and volatility. Interest rate risk, which has an influence on currency values and cross-border funding, is a concern</w:t>
      </w:r>
      <w:sdt>
        <w:sdtPr>
          <w:rPr>
            <w:rFonts w:ascii="Arial" w:hAnsi="Arial" w:cs="Arial"/>
            <w:sz w:val="24"/>
            <w:szCs w:val="24"/>
          </w:rPr>
          <w:id w:val="-313326381"/>
          <w:citation/>
        </w:sdtPr>
        <w:sdtContent>
          <w:r w:rsidR="00160951" w:rsidRPr="00647C34">
            <w:rPr>
              <w:rFonts w:ascii="Arial" w:hAnsi="Arial" w:cs="Arial"/>
              <w:sz w:val="24"/>
              <w:szCs w:val="24"/>
            </w:rPr>
            <w:fldChar w:fldCharType="begin"/>
          </w:r>
          <w:r w:rsidR="00160951" w:rsidRPr="00647C34">
            <w:rPr>
              <w:rFonts w:ascii="Arial" w:hAnsi="Arial" w:cs="Arial"/>
              <w:sz w:val="24"/>
              <w:szCs w:val="24"/>
              <w:lang w:val="en-US"/>
            </w:rPr>
            <w:instrText xml:space="preserve"> CITATION Dun15 \l 1033 </w:instrText>
          </w:r>
          <w:r w:rsidR="00160951" w:rsidRPr="00647C34">
            <w:rPr>
              <w:rFonts w:ascii="Arial" w:hAnsi="Arial" w:cs="Arial"/>
              <w:sz w:val="24"/>
              <w:szCs w:val="24"/>
            </w:rPr>
            <w:fldChar w:fldCharType="separate"/>
          </w:r>
          <w:r w:rsidR="00160951" w:rsidRPr="00647C34">
            <w:rPr>
              <w:rFonts w:ascii="Arial" w:hAnsi="Arial" w:cs="Arial"/>
              <w:noProof/>
              <w:sz w:val="24"/>
              <w:szCs w:val="24"/>
              <w:lang w:val="en-US"/>
            </w:rPr>
            <w:t xml:space="preserve"> (Dungey, et al., 2015)</w:t>
          </w:r>
          <w:r w:rsidR="00160951" w:rsidRPr="00647C34">
            <w:rPr>
              <w:rFonts w:ascii="Arial" w:hAnsi="Arial" w:cs="Arial"/>
              <w:sz w:val="24"/>
              <w:szCs w:val="24"/>
            </w:rPr>
            <w:fldChar w:fldCharType="end"/>
          </w:r>
        </w:sdtContent>
      </w:sdt>
      <w:r w:rsidRPr="00647C34">
        <w:rPr>
          <w:rFonts w:ascii="Arial" w:hAnsi="Arial" w:cs="Arial"/>
          <w:sz w:val="24"/>
          <w:szCs w:val="24"/>
        </w:rPr>
        <w:t>.</w:t>
      </w:r>
    </w:p>
    <w:p w14:paraId="519C7134" w14:textId="4AB41FB1" w:rsidR="00647C34" w:rsidRDefault="00647C34" w:rsidP="00647C34">
      <w:pPr>
        <w:jc w:val="both"/>
        <w:rPr>
          <w:rFonts w:ascii="Arial" w:hAnsi="Arial" w:cs="Arial"/>
          <w:sz w:val="24"/>
          <w:szCs w:val="24"/>
        </w:rPr>
      </w:pPr>
      <w:r w:rsidRPr="00647C34">
        <w:rPr>
          <w:rFonts w:ascii="Arial" w:hAnsi="Arial" w:cs="Arial"/>
          <w:sz w:val="24"/>
          <w:szCs w:val="24"/>
        </w:rPr>
        <w:t xml:space="preserve">Multinational businesses (MNCs) in a globalized business environment face significant challenges in managing currency risks. Common strategies include natural hedging, forward contracts, currency swaps, options contracts, diversification, leading and trailing, strategic planning and forecasting, and financial derivatives. Natural hedging involves denominating transactions in a currency that offsets risk or matching revenues and expenditures in the same currency. Forward contracts fix future exchange rates but do not protect against economic risk and require excellent forecasting. Currency swaps allow MNCs to exchange cash flows in multiple currencies, reducing transaction risk and gaining access to advantageous financing arrangements. Options contracts allow MNCs to purchase or sell currencies at a fixed rate, but do not remove all forms of currency risk. Diversification involves operating in multiple countries with different </w:t>
      </w:r>
      <w:r w:rsidR="004D4008" w:rsidRPr="00647C34">
        <w:rPr>
          <w:rFonts w:ascii="Arial" w:hAnsi="Arial" w:cs="Arial"/>
          <w:sz w:val="24"/>
          <w:szCs w:val="24"/>
        </w:rPr>
        <w:t>currencies but</w:t>
      </w:r>
      <w:r w:rsidRPr="00647C34">
        <w:rPr>
          <w:rFonts w:ascii="Arial" w:hAnsi="Arial" w:cs="Arial"/>
          <w:sz w:val="24"/>
          <w:szCs w:val="24"/>
        </w:rPr>
        <w:t xml:space="preserve"> does not completely remove currency risk due to international economic conditions. Leading and trailing may require precise scheduling and add operational challenges to payment cycle management. Strategic planning and forecasting are essential for MNCs to control risk proactively, but forecasting is challenging due to unforeseen occurrences. There is no one-size-fits-all solution for controlling FX risks, so MNCs must constantly evaluate and modify their strategies to capitalize on opportunities in the worldwide marketplace.</w:t>
      </w:r>
    </w:p>
    <w:p w14:paraId="79591085" w14:textId="26F5BA6F" w:rsidR="004E503D" w:rsidRDefault="004E503D" w:rsidP="004E503D">
      <w:pPr>
        <w:pStyle w:val="Heading1"/>
      </w:pPr>
      <w:r>
        <w:t>Conclusion</w:t>
      </w:r>
    </w:p>
    <w:p w14:paraId="2854BC61" w14:textId="535B7AFA" w:rsidR="004E503D" w:rsidRPr="004E503D" w:rsidRDefault="004E503D" w:rsidP="004E503D">
      <w:pPr>
        <w:jc w:val="both"/>
        <w:rPr>
          <w:rFonts w:ascii="Arial" w:hAnsi="Arial" w:cs="Arial"/>
          <w:sz w:val="24"/>
          <w:szCs w:val="24"/>
        </w:rPr>
      </w:pPr>
      <w:r w:rsidRPr="004E503D">
        <w:rPr>
          <w:rFonts w:ascii="Arial" w:hAnsi="Arial" w:cs="Arial"/>
          <w:sz w:val="24"/>
          <w:szCs w:val="24"/>
        </w:rPr>
        <w:t xml:space="preserve">In conclusion, controlling foreign exchange risks is </w:t>
      </w:r>
      <w:r w:rsidR="004D4008" w:rsidRPr="004E503D">
        <w:rPr>
          <w:rFonts w:ascii="Arial" w:hAnsi="Arial" w:cs="Arial"/>
          <w:sz w:val="24"/>
          <w:szCs w:val="24"/>
        </w:rPr>
        <w:t>a vital component</w:t>
      </w:r>
      <w:r w:rsidRPr="004E503D">
        <w:rPr>
          <w:rFonts w:ascii="Arial" w:hAnsi="Arial" w:cs="Arial"/>
          <w:sz w:val="24"/>
          <w:szCs w:val="24"/>
        </w:rPr>
        <w:t xml:space="preserve"> of multinational corporations' (MNCs') operations in today's worldwide economic climate. As evidenced by numerous tactics and theoretical models, MNCs have a broad collection of instruments at their disposal to overcome the problems provided by currency fluctuations.</w:t>
      </w:r>
    </w:p>
    <w:p w14:paraId="192DB891" w14:textId="55CBA569" w:rsidR="004E503D" w:rsidRDefault="004E503D" w:rsidP="004E503D">
      <w:pPr>
        <w:jc w:val="both"/>
        <w:rPr>
          <w:rFonts w:ascii="Arial" w:hAnsi="Arial" w:cs="Arial"/>
          <w:sz w:val="24"/>
          <w:szCs w:val="24"/>
        </w:rPr>
      </w:pPr>
      <w:r w:rsidRPr="004E503D">
        <w:rPr>
          <w:rFonts w:ascii="Arial" w:hAnsi="Arial" w:cs="Arial"/>
          <w:sz w:val="24"/>
          <w:szCs w:val="24"/>
        </w:rPr>
        <w:t>To summarize, multinational enterprises must have a detailed grasp of foreign exchange risks that is supported by empirical evidence in order to negotiate the complexities of the worldwide business scene. This knowledge enables educated decision-making, risk reduction, and financial performance protection in the face of currency fluctuations and unpredictability. As multinational corporations continue to engage in global marketplaces, their capacity to adapt and modify their foreign exchange risk management strategies will be critical for long-term success.</w:t>
      </w:r>
    </w:p>
    <w:p w14:paraId="1415A293" w14:textId="67216A4C" w:rsidR="004E503D" w:rsidRPr="00647C34" w:rsidRDefault="004E503D" w:rsidP="004E503D">
      <w:pPr>
        <w:jc w:val="both"/>
        <w:rPr>
          <w:rFonts w:ascii="Arial" w:hAnsi="Arial" w:cs="Arial"/>
          <w:sz w:val="24"/>
          <w:szCs w:val="24"/>
        </w:rPr>
      </w:pPr>
      <w:r w:rsidRPr="004E503D">
        <w:rPr>
          <w:rFonts w:ascii="Arial" w:hAnsi="Arial" w:cs="Arial"/>
          <w:sz w:val="24"/>
          <w:szCs w:val="24"/>
        </w:rPr>
        <w:t xml:space="preserve">To address transaction, translation, and economic exposure, forex risk management solutions such as natural hedging, forward contracts, and currency swaps are used. Although theoretical models such as PPP, IRP, IFE, and EMH give insights, they have limits. Transaction, translation, economic, national, interest rate, credit, liquidity, and systemic hazards are all examples of foreign currency risks. It is critical to manage </w:t>
      </w:r>
      <w:r w:rsidRPr="004E503D">
        <w:rPr>
          <w:rFonts w:ascii="Arial" w:hAnsi="Arial" w:cs="Arial"/>
          <w:sz w:val="24"/>
          <w:szCs w:val="24"/>
        </w:rPr>
        <w:lastRenderedPageBreak/>
        <w:t xml:space="preserve">these risks </w:t>
      </w:r>
      <w:r>
        <w:rPr>
          <w:rFonts w:ascii="Arial" w:hAnsi="Arial" w:cs="Arial"/>
          <w:sz w:val="24"/>
          <w:szCs w:val="24"/>
        </w:rPr>
        <w:t>to</w:t>
      </w:r>
      <w:r w:rsidRPr="004E503D">
        <w:rPr>
          <w:rFonts w:ascii="Arial" w:hAnsi="Arial" w:cs="Arial"/>
          <w:sz w:val="24"/>
          <w:szCs w:val="24"/>
        </w:rPr>
        <w:t xml:space="preserve"> improve stock returns and financial performance. However, due to changing market conditions, a comprehensive risk management approach that </w:t>
      </w:r>
      <w:r w:rsidR="004D4008" w:rsidRPr="004E503D">
        <w:rPr>
          <w:rFonts w:ascii="Arial" w:hAnsi="Arial" w:cs="Arial"/>
          <w:sz w:val="24"/>
          <w:szCs w:val="24"/>
        </w:rPr>
        <w:t>considers</w:t>
      </w:r>
      <w:r w:rsidRPr="004E503D">
        <w:rPr>
          <w:rFonts w:ascii="Arial" w:hAnsi="Arial" w:cs="Arial"/>
          <w:sz w:val="24"/>
          <w:szCs w:val="24"/>
        </w:rPr>
        <w:t xml:space="preserve"> numerous dangers is required.</w:t>
      </w:r>
    </w:p>
    <w:p w14:paraId="072B39AD" w14:textId="6ABF8D4B" w:rsidR="007F5E79" w:rsidRDefault="00FD589D" w:rsidP="00647C34">
      <w:pPr>
        <w:pStyle w:val="Heading1"/>
      </w:pPr>
      <w:r>
        <w:t>References</w:t>
      </w:r>
    </w:p>
    <w:sdt>
      <w:sdtPr>
        <w:id w:val="-1766681306"/>
        <w:docPartObj>
          <w:docPartGallery w:val="Bibliographies"/>
          <w:docPartUnique/>
        </w:docPartObj>
      </w:sdtPr>
      <w:sdtEndPr>
        <w:rPr>
          <w:caps w:val="0"/>
          <w:color w:val="auto"/>
          <w:spacing w:val="0"/>
          <w:sz w:val="20"/>
          <w:szCs w:val="20"/>
        </w:rPr>
      </w:sdtEndPr>
      <w:sdtContent>
        <w:p w14:paraId="2B8503FA" w14:textId="631842FF" w:rsidR="009C1C38" w:rsidRDefault="009C1C38">
          <w:pPr>
            <w:pStyle w:val="Heading1"/>
          </w:pPr>
        </w:p>
        <w:p w14:paraId="08C96771" w14:textId="77777777" w:rsidR="009C1C38" w:rsidRPr="009C1C38" w:rsidRDefault="009C1C38" w:rsidP="009C1C38"/>
        <w:sdt>
          <w:sdtPr>
            <w:id w:val="111145805"/>
            <w:bibliography/>
          </w:sdtPr>
          <w:sdtContent>
            <w:p w14:paraId="693ED4F6" w14:textId="77777777" w:rsidR="009C1C38" w:rsidRPr="009C1C38" w:rsidRDefault="009C1C38" w:rsidP="009C1C38">
              <w:pPr>
                <w:pStyle w:val="Bibliography"/>
                <w:rPr>
                  <w:rFonts w:ascii="Arial" w:hAnsi="Arial" w:cs="Arial"/>
                  <w:noProof/>
                  <w:kern w:val="0"/>
                  <w:sz w:val="24"/>
                  <w:szCs w:val="24"/>
                  <w14:ligatures w14:val="none"/>
                </w:rPr>
              </w:pPr>
              <w:r w:rsidRPr="009C1C38">
                <w:rPr>
                  <w:rFonts w:ascii="Arial" w:hAnsi="Arial" w:cs="Arial"/>
                  <w:sz w:val="24"/>
                  <w:szCs w:val="24"/>
                </w:rPr>
                <w:fldChar w:fldCharType="begin"/>
              </w:r>
              <w:r w:rsidRPr="009C1C38">
                <w:rPr>
                  <w:rFonts w:ascii="Arial" w:hAnsi="Arial" w:cs="Arial"/>
                  <w:sz w:val="24"/>
                  <w:szCs w:val="24"/>
                </w:rPr>
                <w:instrText xml:space="preserve"> BIBLIOGRAPHY </w:instrText>
              </w:r>
              <w:r w:rsidRPr="009C1C38">
                <w:rPr>
                  <w:rFonts w:ascii="Arial" w:hAnsi="Arial" w:cs="Arial"/>
                  <w:sz w:val="24"/>
                  <w:szCs w:val="24"/>
                </w:rPr>
                <w:fldChar w:fldCharType="separate"/>
              </w:r>
              <w:r w:rsidRPr="009C1C38">
                <w:rPr>
                  <w:rFonts w:ascii="Arial" w:hAnsi="Arial" w:cs="Arial"/>
                  <w:noProof/>
                  <w:sz w:val="24"/>
                  <w:szCs w:val="24"/>
                </w:rPr>
                <w:t xml:space="preserve">Adler, M. &amp; Lehmann, B., 1983. Deviations from Purchasing Power Parity in the Long Run.. </w:t>
              </w:r>
              <w:r w:rsidRPr="009C1C38">
                <w:rPr>
                  <w:rFonts w:ascii="Arial" w:hAnsi="Arial" w:cs="Arial"/>
                  <w:i/>
                  <w:iCs/>
                  <w:noProof/>
                  <w:sz w:val="24"/>
                  <w:szCs w:val="24"/>
                </w:rPr>
                <w:t xml:space="preserve">Journal of Finance, </w:t>
              </w:r>
              <w:r w:rsidRPr="009C1C38">
                <w:rPr>
                  <w:rFonts w:ascii="Arial" w:hAnsi="Arial" w:cs="Arial"/>
                  <w:noProof/>
                  <w:sz w:val="24"/>
                  <w:szCs w:val="24"/>
                </w:rPr>
                <w:t>38(5), pp. 1471-1487.</w:t>
              </w:r>
            </w:p>
            <w:p w14:paraId="2A7CC566"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Bartov, E. &amp; Bodnar, . G. M., 1996. Firm valuation, earnings expectations, and the exchange-rate exposure effect.. </w:t>
              </w:r>
              <w:r w:rsidRPr="009C1C38">
                <w:rPr>
                  <w:rFonts w:ascii="Arial" w:hAnsi="Arial" w:cs="Arial"/>
                  <w:i/>
                  <w:iCs/>
                  <w:noProof/>
                  <w:sz w:val="24"/>
                  <w:szCs w:val="24"/>
                </w:rPr>
                <w:t xml:space="preserve">Journal of Finance, </w:t>
              </w:r>
              <w:r w:rsidRPr="009C1C38">
                <w:rPr>
                  <w:rFonts w:ascii="Arial" w:hAnsi="Arial" w:cs="Arial"/>
                  <w:noProof/>
                  <w:sz w:val="24"/>
                  <w:szCs w:val="24"/>
                </w:rPr>
                <w:t>51(5), pp. 1755-1785.</w:t>
              </w:r>
            </w:p>
            <w:p w14:paraId="0FADA057"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Bartov, E. &amp; Bodnar, . G. M., 1996. Firm valuation, earnings expectations, and the exchange-rate exposure effect.. </w:t>
              </w:r>
              <w:r w:rsidRPr="009C1C38">
                <w:rPr>
                  <w:rFonts w:ascii="Arial" w:hAnsi="Arial" w:cs="Arial"/>
                  <w:i/>
                  <w:iCs/>
                  <w:noProof/>
                  <w:sz w:val="24"/>
                  <w:szCs w:val="24"/>
                </w:rPr>
                <w:t xml:space="preserve">Journal of Finance, </w:t>
              </w:r>
              <w:r w:rsidRPr="009C1C38">
                <w:rPr>
                  <w:rFonts w:ascii="Arial" w:hAnsi="Arial" w:cs="Arial"/>
                  <w:noProof/>
                  <w:sz w:val="24"/>
                  <w:szCs w:val="24"/>
                </w:rPr>
                <w:t>51(5), pp. 1755-1785.</w:t>
              </w:r>
            </w:p>
            <w:p w14:paraId="12ECEB9F"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Bartram, S. M. &amp; Bodnar, G. M., 2007. The exchange rate exposure puzzle.. </w:t>
              </w:r>
              <w:r w:rsidRPr="009C1C38">
                <w:rPr>
                  <w:rFonts w:ascii="Arial" w:hAnsi="Arial" w:cs="Arial"/>
                  <w:i/>
                  <w:iCs/>
                  <w:noProof/>
                  <w:sz w:val="24"/>
                  <w:szCs w:val="24"/>
                </w:rPr>
                <w:t xml:space="preserve">Managerial Finance, </w:t>
              </w:r>
              <w:r w:rsidRPr="009C1C38">
                <w:rPr>
                  <w:rFonts w:ascii="Arial" w:hAnsi="Arial" w:cs="Arial"/>
                  <w:noProof/>
                  <w:sz w:val="24"/>
                  <w:szCs w:val="24"/>
                </w:rPr>
                <w:t>33(9), pp. 642-666.</w:t>
              </w:r>
            </w:p>
            <w:p w14:paraId="2617E737"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Branson, W. H., 1983. Exchange Rate Determination.. </w:t>
              </w:r>
              <w:r w:rsidRPr="009C1C38">
                <w:rPr>
                  <w:rFonts w:ascii="Arial" w:hAnsi="Arial" w:cs="Arial"/>
                  <w:i/>
                  <w:iCs/>
                  <w:noProof/>
                  <w:sz w:val="24"/>
                  <w:szCs w:val="24"/>
                </w:rPr>
                <w:t xml:space="preserve">Journal of International Economics, </w:t>
              </w:r>
              <w:r w:rsidRPr="009C1C38">
                <w:rPr>
                  <w:rFonts w:ascii="Arial" w:hAnsi="Arial" w:cs="Arial"/>
                  <w:noProof/>
                  <w:sz w:val="24"/>
                  <w:szCs w:val="24"/>
                </w:rPr>
                <w:t>15(3), pp. 275-289.</w:t>
              </w:r>
            </w:p>
            <w:p w14:paraId="7E0DE226"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Dungey, M., McKenzie, . M. D. &amp; Smith, . L. V., 2015. Empirical evidence on jumps in the term structure of the US treasury market.. </w:t>
              </w:r>
              <w:r w:rsidRPr="009C1C38">
                <w:rPr>
                  <w:rFonts w:ascii="Arial" w:hAnsi="Arial" w:cs="Arial"/>
                  <w:i/>
                  <w:iCs/>
                  <w:noProof/>
                  <w:sz w:val="24"/>
                  <w:szCs w:val="24"/>
                </w:rPr>
                <w:t xml:space="preserve">Journal of Empirical Finance, </w:t>
              </w:r>
              <w:r w:rsidRPr="009C1C38">
                <w:rPr>
                  <w:rFonts w:ascii="Arial" w:hAnsi="Arial" w:cs="Arial"/>
                  <w:noProof/>
                  <w:sz w:val="24"/>
                  <w:szCs w:val="24"/>
                </w:rPr>
                <w:t>Volume 32, pp. 151-164.</w:t>
              </w:r>
            </w:p>
            <w:p w14:paraId="75A9BC58"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Eiteman, D. K., Stonehill, , A. I. &amp; Moffett, , M. H., 2016. </w:t>
              </w:r>
              <w:r w:rsidRPr="009C1C38">
                <w:rPr>
                  <w:rFonts w:ascii="Arial" w:hAnsi="Arial" w:cs="Arial"/>
                  <w:i/>
                  <w:iCs/>
                  <w:noProof/>
                  <w:sz w:val="24"/>
                  <w:szCs w:val="24"/>
                </w:rPr>
                <w:t xml:space="preserve">Multinational Business Finance. Pearson.. </w:t>
              </w:r>
              <w:r w:rsidRPr="009C1C38">
                <w:rPr>
                  <w:rFonts w:ascii="Arial" w:hAnsi="Arial" w:cs="Arial"/>
                  <w:noProof/>
                  <w:sz w:val="24"/>
                  <w:szCs w:val="24"/>
                </w:rPr>
                <w:t>s.l.:Pearson..</w:t>
              </w:r>
            </w:p>
            <w:p w14:paraId="0BAB7595"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Fama, E. F., 1970. Efficient Capital Markets: A Review of Theory and Empirical Work.. </w:t>
              </w:r>
              <w:r w:rsidRPr="009C1C38">
                <w:rPr>
                  <w:rFonts w:ascii="Arial" w:hAnsi="Arial" w:cs="Arial"/>
                  <w:i/>
                  <w:iCs/>
                  <w:noProof/>
                  <w:sz w:val="24"/>
                  <w:szCs w:val="24"/>
                </w:rPr>
                <w:t xml:space="preserve">Journal of Finance, </w:t>
              </w:r>
              <w:r w:rsidRPr="009C1C38">
                <w:rPr>
                  <w:rFonts w:ascii="Arial" w:hAnsi="Arial" w:cs="Arial"/>
                  <w:noProof/>
                  <w:sz w:val="24"/>
                  <w:szCs w:val="24"/>
                </w:rPr>
                <w:t>25(2), pp. 383-417..</w:t>
              </w:r>
            </w:p>
            <w:p w14:paraId="4BCA811D"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Kho, B. C., Stulz, . R. M. &amp; Warnock, . F. E., 2009. Financial globalization, governance, and the evolution of the home bias.. </w:t>
              </w:r>
              <w:r w:rsidRPr="009C1C38">
                <w:rPr>
                  <w:rFonts w:ascii="Arial" w:hAnsi="Arial" w:cs="Arial"/>
                  <w:i/>
                  <w:iCs/>
                  <w:noProof/>
                  <w:sz w:val="24"/>
                  <w:szCs w:val="24"/>
                </w:rPr>
                <w:t xml:space="preserve">Journal of Accounting Research, </w:t>
              </w:r>
              <w:r w:rsidRPr="009C1C38">
                <w:rPr>
                  <w:rFonts w:ascii="Arial" w:hAnsi="Arial" w:cs="Arial"/>
                  <w:noProof/>
                  <w:sz w:val="24"/>
                  <w:szCs w:val="24"/>
                </w:rPr>
                <w:t>47(2), pp. 597-635..</w:t>
              </w:r>
            </w:p>
            <w:p w14:paraId="32C800EA"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Levi, M., 2019. </w:t>
              </w:r>
              <w:r w:rsidRPr="009C1C38">
                <w:rPr>
                  <w:rFonts w:ascii="Arial" w:hAnsi="Arial" w:cs="Arial"/>
                  <w:i/>
                  <w:iCs/>
                  <w:noProof/>
                  <w:sz w:val="24"/>
                  <w:szCs w:val="24"/>
                </w:rPr>
                <w:t xml:space="preserve">International Finance: The Markets and Financial Management of Multinational Business.. </w:t>
              </w:r>
              <w:r w:rsidRPr="009C1C38">
                <w:rPr>
                  <w:rFonts w:ascii="Arial" w:hAnsi="Arial" w:cs="Arial"/>
                  <w:noProof/>
                  <w:sz w:val="24"/>
                  <w:szCs w:val="24"/>
                </w:rPr>
                <w:t>s.l.:McGraw-Hill Education..</w:t>
              </w:r>
            </w:p>
            <w:p w14:paraId="3DD7E082"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Madura, J., 2018. </w:t>
              </w:r>
              <w:r w:rsidRPr="009C1C38">
                <w:rPr>
                  <w:rFonts w:ascii="Arial" w:hAnsi="Arial" w:cs="Arial"/>
                  <w:i/>
                  <w:iCs/>
                  <w:noProof/>
                  <w:sz w:val="24"/>
                  <w:szCs w:val="24"/>
                </w:rPr>
                <w:t xml:space="preserve">International Financial Management.. </w:t>
              </w:r>
              <w:r w:rsidRPr="009C1C38">
                <w:rPr>
                  <w:rFonts w:ascii="Arial" w:hAnsi="Arial" w:cs="Arial"/>
                  <w:noProof/>
                  <w:sz w:val="24"/>
                  <w:szCs w:val="24"/>
                </w:rPr>
                <w:t>s.l.:Cengage Learning..</w:t>
              </w:r>
            </w:p>
            <w:p w14:paraId="1DCCAA5A"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Shapiro, A. C. &amp; Allen, . P. R., 2010. Multinational corporations' exposure to exchange rate fluctuations: An empirical analysis of transaction and translation exposures. </w:t>
              </w:r>
              <w:r w:rsidRPr="009C1C38">
                <w:rPr>
                  <w:rFonts w:ascii="Arial" w:hAnsi="Arial" w:cs="Arial"/>
                  <w:i/>
                  <w:iCs/>
                  <w:noProof/>
                  <w:sz w:val="24"/>
                  <w:szCs w:val="24"/>
                </w:rPr>
                <w:t xml:space="preserve">International Business &amp; Economics Research Journal (IBER), </w:t>
              </w:r>
              <w:r w:rsidRPr="009C1C38">
                <w:rPr>
                  <w:rFonts w:ascii="Arial" w:hAnsi="Arial" w:cs="Arial"/>
                  <w:noProof/>
                  <w:sz w:val="24"/>
                  <w:szCs w:val="24"/>
                </w:rPr>
                <w:t>9(10), pp. 61-68.</w:t>
              </w:r>
            </w:p>
            <w:p w14:paraId="30961DDC" w14:textId="77777777" w:rsidR="009C1C38" w:rsidRPr="009C1C38" w:rsidRDefault="009C1C38" w:rsidP="009C1C38">
              <w:pPr>
                <w:pStyle w:val="Bibliography"/>
                <w:rPr>
                  <w:rFonts w:ascii="Arial" w:hAnsi="Arial" w:cs="Arial"/>
                  <w:noProof/>
                  <w:sz w:val="24"/>
                  <w:szCs w:val="24"/>
                </w:rPr>
              </w:pPr>
              <w:r w:rsidRPr="009C1C38">
                <w:rPr>
                  <w:rFonts w:ascii="Arial" w:hAnsi="Arial" w:cs="Arial"/>
                  <w:noProof/>
                  <w:sz w:val="24"/>
                  <w:szCs w:val="24"/>
                </w:rPr>
                <w:t xml:space="preserve">Shapiro, A. C., 2018. </w:t>
              </w:r>
              <w:r w:rsidRPr="009C1C38">
                <w:rPr>
                  <w:rFonts w:ascii="Arial" w:hAnsi="Arial" w:cs="Arial"/>
                  <w:i/>
                  <w:iCs/>
                  <w:noProof/>
                  <w:sz w:val="24"/>
                  <w:szCs w:val="24"/>
                </w:rPr>
                <w:t xml:space="preserve">Multinational Financial Management.. </w:t>
              </w:r>
              <w:r w:rsidRPr="009C1C38">
                <w:rPr>
                  <w:rFonts w:ascii="Arial" w:hAnsi="Arial" w:cs="Arial"/>
                  <w:noProof/>
                  <w:sz w:val="24"/>
                  <w:szCs w:val="24"/>
                </w:rPr>
                <w:t>s.l.: John Wiley &amp; Sons..</w:t>
              </w:r>
            </w:p>
            <w:p w14:paraId="28F64F3C" w14:textId="3A46B21F" w:rsidR="009C1C38" w:rsidRDefault="009C1C38" w:rsidP="009C1C38">
              <w:r w:rsidRPr="009C1C38">
                <w:rPr>
                  <w:rFonts w:ascii="Arial" w:hAnsi="Arial" w:cs="Arial"/>
                  <w:b/>
                  <w:bCs/>
                  <w:noProof/>
                  <w:sz w:val="24"/>
                  <w:szCs w:val="24"/>
                </w:rPr>
                <w:lastRenderedPageBreak/>
                <w:fldChar w:fldCharType="end"/>
              </w:r>
            </w:p>
          </w:sdtContent>
        </w:sdt>
      </w:sdtContent>
    </w:sdt>
    <w:p w14:paraId="718C0515" w14:textId="77777777" w:rsidR="00C07069" w:rsidRDefault="00C07069" w:rsidP="00C07069">
      <w:pPr>
        <w:jc w:val="center"/>
        <w:rPr>
          <w:rFonts w:ascii="Arial" w:hAnsi="Arial" w:cs="Arial"/>
          <w:sz w:val="28"/>
          <w:szCs w:val="28"/>
        </w:rPr>
      </w:pPr>
    </w:p>
    <w:p w14:paraId="17993629" w14:textId="77777777" w:rsidR="00C07069" w:rsidRDefault="00C07069" w:rsidP="00C07069">
      <w:pPr>
        <w:jc w:val="center"/>
        <w:rPr>
          <w:rFonts w:ascii="Arial" w:hAnsi="Arial" w:cs="Arial"/>
          <w:sz w:val="28"/>
          <w:szCs w:val="28"/>
        </w:rPr>
      </w:pPr>
    </w:p>
    <w:p w14:paraId="2C1B8173" w14:textId="77777777" w:rsidR="00C07069" w:rsidRPr="00C07069" w:rsidRDefault="00C07069" w:rsidP="00C07069">
      <w:pPr>
        <w:jc w:val="center"/>
        <w:rPr>
          <w:rFonts w:ascii="Arial" w:hAnsi="Arial" w:cs="Arial"/>
          <w:sz w:val="28"/>
          <w:szCs w:val="28"/>
        </w:rPr>
      </w:pPr>
    </w:p>
    <w:sectPr w:rsidR="00C07069" w:rsidRPr="00C07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9791B"/>
    <w:multiLevelType w:val="multilevel"/>
    <w:tmpl w:val="C158C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007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069"/>
    <w:rsid w:val="00014AA1"/>
    <w:rsid w:val="00160951"/>
    <w:rsid w:val="00192332"/>
    <w:rsid w:val="001E67CA"/>
    <w:rsid w:val="0020459B"/>
    <w:rsid w:val="002D2BF7"/>
    <w:rsid w:val="0049431F"/>
    <w:rsid w:val="004D4008"/>
    <w:rsid w:val="004E503D"/>
    <w:rsid w:val="005E58E2"/>
    <w:rsid w:val="00623966"/>
    <w:rsid w:val="00647C34"/>
    <w:rsid w:val="007F5E79"/>
    <w:rsid w:val="008A769A"/>
    <w:rsid w:val="00913CBD"/>
    <w:rsid w:val="00974B1B"/>
    <w:rsid w:val="009C1C38"/>
    <w:rsid w:val="00C07069"/>
    <w:rsid w:val="00C737E1"/>
    <w:rsid w:val="00C7618F"/>
    <w:rsid w:val="00CA346F"/>
    <w:rsid w:val="00CC1F69"/>
    <w:rsid w:val="00FD5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3F233"/>
  <w15:chartTrackingRefBased/>
  <w15:docId w15:val="{2C2D66EB-8784-4D0F-A3D4-B008AE329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lang w:val="en-GB" w:eastAsia="en-US" w:bidi="ar-SA"/>
        <w14:ligatures w14:val="standardContextual"/>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31F"/>
  </w:style>
  <w:style w:type="paragraph" w:styleId="Heading1">
    <w:name w:val="heading 1"/>
    <w:basedOn w:val="Normal"/>
    <w:next w:val="Normal"/>
    <w:link w:val="Heading1Char"/>
    <w:uiPriority w:val="9"/>
    <w:qFormat/>
    <w:rsid w:val="00192332"/>
    <w:pPr>
      <w:pBdr>
        <w:top w:val="single" w:sz="24" w:space="0" w:color="A6B727" w:themeColor="accent1"/>
        <w:left w:val="single" w:sz="24" w:space="0" w:color="A6B727" w:themeColor="accent1"/>
        <w:bottom w:val="single" w:sz="24" w:space="0" w:color="A6B727" w:themeColor="accent1"/>
        <w:right w:val="single" w:sz="24" w:space="0" w:color="A6B727" w:themeColor="accent1"/>
      </w:pBdr>
      <w:shd w:val="clear" w:color="auto" w:fill="A6B727"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92332"/>
    <w:pPr>
      <w:pBdr>
        <w:top w:val="single" w:sz="24" w:space="0" w:color="F0F5CF" w:themeColor="accent1" w:themeTint="33"/>
        <w:left w:val="single" w:sz="24" w:space="0" w:color="F0F5CF" w:themeColor="accent1" w:themeTint="33"/>
        <w:bottom w:val="single" w:sz="24" w:space="0" w:color="F0F5CF" w:themeColor="accent1" w:themeTint="33"/>
        <w:right w:val="single" w:sz="24" w:space="0" w:color="F0F5CF" w:themeColor="accent1" w:themeTint="33"/>
      </w:pBdr>
      <w:shd w:val="clear" w:color="auto" w:fill="F0F5C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92332"/>
    <w:pPr>
      <w:pBdr>
        <w:top w:val="single" w:sz="6" w:space="2" w:color="A6B727" w:themeColor="accent1"/>
      </w:pBdr>
      <w:spacing w:before="300" w:after="0"/>
      <w:outlineLvl w:val="2"/>
    </w:pPr>
    <w:rPr>
      <w:caps/>
      <w:color w:val="525A13" w:themeColor="accent1" w:themeShade="7F"/>
      <w:spacing w:val="15"/>
    </w:rPr>
  </w:style>
  <w:style w:type="paragraph" w:styleId="Heading4">
    <w:name w:val="heading 4"/>
    <w:basedOn w:val="Normal"/>
    <w:next w:val="Normal"/>
    <w:link w:val="Heading4Char"/>
    <w:uiPriority w:val="9"/>
    <w:semiHidden/>
    <w:unhideWhenUsed/>
    <w:qFormat/>
    <w:rsid w:val="00192332"/>
    <w:pPr>
      <w:pBdr>
        <w:top w:val="dotted" w:sz="6" w:space="2" w:color="A6B727" w:themeColor="accent1"/>
      </w:pBdr>
      <w:spacing w:before="200" w:after="0"/>
      <w:outlineLvl w:val="3"/>
    </w:pPr>
    <w:rPr>
      <w:caps/>
      <w:color w:val="7B881D" w:themeColor="accent1" w:themeShade="BF"/>
      <w:spacing w:val="10"/>
    </w:rPr>
  </w:style>
  <w:style w:type="paragraph" w:styleId="Heading5">
    <w:name w:val="heading 5"/>
    <w:basedOn w:val="Normal"/>
    <w:next w:val="Normal"/>
    <w:link w:val="Heading5Char"/>
    <w:uiPriority w:val="9"/>
    <w:unhideWhenUsed/>
    <w:qFormat/>
    <w:rsid w:val="00192332"/>
    <w:pPr>
      <w:pBdr>
        <w:bottom w:val="single" w:sz="6" w:space="1" w:color="A6B727" w:themeColor="accent1"/>
      </w:pBdr>
      <w:spacing w:before="200" w:after="0"/>
      <w:outlineLvl w:val="4"/>
    </w:pPr>
    <w:rPr>
      <w:caps/>
      <w:color w:val="7B881D" w:themeColor="accent1" w:themeShade="BF"/>
      <w:spacing w:val="10"/>
    </w:rPr>
  </w:style>
  <w:style w:type="paragraph" w:styleId="Heading6">
    <w:name w:val="heading 6"/>
    <w:basedOn w:val="Normal"/>
    <w:next w:val="Normal"/>
    <w:link w:val="Heading6Char"/>
    <w:uiPriority w:val="9"/>
    <w:semiHidden/>
    <w:unhideWhenUsed/>
    <w:qFormat/>
    <w:rsid w:val="00192332"/>
    <w:pPr>
      <w:pBdr>
        <w:bottom w:val="dotted" w:sz="6" w:space="1" w:color="A6B727" w:themeColor="accent1"/>
      </w:pBdr>
      <w:spacing w:before="200" w:after="0"/>
      <w:outlineLvl w:val="5"/>
    </w:pPr>
    <w:rPr>
      <w:caps/>
      <w:color w:val="7B881D" w:themeColor="accent1" w:themeShade="BF"/>
      <w:spacing w:val="10"/>
    </w:rPr>
  </w:style>
  <w:style w:type="paragraph" w:styleId="Heading7">
    <w:name w:val="heading 7"/>
    <w:basedOn w:val="Normal"/>
    <w:next w:val="Normal"/>
    <w:link w:val="Heading7Char"/>
    <w:uiPriority w:val="9"/>
    <w:semiHidden/>
    <w:unhideWhenUsed/>
    <w:qFormat/>
    <w:rsid w:val="00192332"/>
    <w:pPr>
      <w:spacing w:before="200" w:after="0"/>
      <w:outlineLvl w:val="6"/>
    </w:pPr>
    <w:rPr>
      <w:caps/>
      <w:color w:val="7B881D" w:themeColor="accent1" w:themeShade="BF"/>
      <w:spacing w:val="10"/>
    </w:rPr>
  </w:style>
  <w:style w:type="paragraph" w:styleId="Heading8">
    <w:name w:val="heading 8"/>
    <w:basedOn w:val="Normal"/>
    <w:next w:val="Normal"/>
    <w:link w:val="Heading8Char"/>
    <w:uiPriority w:val="9"/>
    <w:semiHidden/>
    <w:unhideWhenUsed/>
    <w:qFormat/>
    <w:rsid w:val="0019233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9233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332"/>
    <w:rPr>
      <w:caps/>
      <w:color w:val="FFFFFF" w:themeColor="background1"/>
      <w:spacing w:val="15"/>
      <w:sz w:val="22"/>
      <w:szCs w:val="22"/>
      <w:shd w:val="clear" w:color="auto" w:fill="A6B727" w:themeFill="accent1"/>
    </w:rPr>
  </w:style>
  <w:style w:type="character" w:customStyle="1" w:styleId="Heading2Char">
    <w:name w:val="Heading 2 Char"/>
    <w:basedOn w:val="DefaultParagraphFont"/>
    <w:link w:val="Heading2"/>
    <w:uiPriority w:val="9"/>
    <w:semiHidden/>
    <w:rsid w:val="00192332"/>
    <w:rPr>
      <w:caps/>
      <w:spacing w:val="15"/>
      <w:shd w:val="clear" w:color="auto" w:fill="F0F5CF" w:themeFill="accent1" w:themeFillTint="33"/>
    </w:rPr>
  </w:style>
  <w:style w:type="character" w:customStyle="1" w:styleId="Heading3Char">
    <w:name w:val="Heading 3 Char"/>
    <w:basedOn w:val="DefaultParagraphFont"/>
    <w:link w:val="Heading3"/>
    <w:uiPriority w:val="9"/>
    <w:semiHidden/>
    <w:rsid w:val="00192332"/>
    <w:rPr>
      <w:caps/>
      <w:color w:val="525A13" w:themeColor="accent1" w:themeShade="7F"/>
      <w:spacing w:val="15"/>
    </w:rPr>
  </w:style>
  <w:style w:type="character" w:customStyle="1" w:styleId="Heading4Char">
    <w:name w:val="Heading 4 Char"/>
    <w:basedOn w:val="DefaultParagraphFont"/>
    <w:link w:val="Heading4"/>
    <w:uiPriority w:val="9"/>
    <w:semiHidden/>
    <w:rsid w:val="00192332"/>
    <w:rPr>
      <w:caps/>
      <w:color w:val="7B881D" w:themeColor="accent1" w:themeShade="BF"/>
      <w:spacing w:val="10"/>
    </w:rPr>
  </w:style>
  <w:style w:type="character" w:customStyle="1" w:styleId="Heading5Char">
    <w:name w:val="Heading 5 Char"/>
    <w:basedOn w:val="DefaultParagraphFont"/>
    <w:link w:val="Heading5"/>
    <w:uiPriority w:val="9"/>
    <w:rsid w:val="00192332"/>
    <w:rPr>
      <w:caps/>
      <w:color w:val="7B881D" w:themeColor="accent1" w:themeShade="BF"/>
      <w:spacing w:val="10"/>
    </w:rPr>
  </w:style>
  <w:style w:type="character" w:customStyle="1" w:styleId="Heading6Char">
    <w:name w:val="Heading 6 Char"/>
    <w:basedOn w:val="DefaultParagraphFont"/>
    <w:link w:val="Heading6"/>
    <w:uiPriority w:val="9"/>
    <w:semiHidden/>
    <w:rsid w:val="00192332"/>
    <w:rPr>
      <w:caps/>
      <w:color w:val="7B881D" w:themeColor="accent1" w:themeShade="BF"/>
      <w:spacing w:val="10"/>
    </w:rPr>
  </w:style>
  <w:style w:type="character" w:customStyle="1" w:styleId="Heading7Char">
    <w:name w:val="Heading 7 Char"/>
    <w:basedOn w:val="DefaultParagraphFont"/>
    <w:link w:val="Heading7"/>
    <w:uiPriority w:val="9"/>
    <w:semiHidden/>
    <w:rsid w:val="00192332"/>
    <w:rPr>
      <w:caps/>
      <w:color w:val="7B881D" w:themeColor="accent1" w:themeShade="BF"/>
      <w:spacing w:val="10"/>
    </w:rPr>
  </w:style>
  <w:style w:type="character" w:customStyle="1" w:styleId="Heading8Char">
    <w:name w:val="Heading 8 Char"/>
    <w:basedOn w:val="DefaultParagraphFont"/>
    <w:link w:val="Heading8"/>
    <w:uiPriority w:val="9"/>
    <w:semiHidden/>
    <w:rsid w:val="00192332"/>
    <w:rPr>
      <w:caps/>
      <w:spacing w:val="10"/>
      <w:sz w:val="18"/>
      <w:szCs w:val="18"/>
    </w:rPr>
  </w:style>
  <w:style w:type="character" w:customStyle="1" w:styleId="Heading9Char">
    <w:name w:val="Heading 9 Char"/>
    <w:basedOn w:val="DefaultParagraphFont"/>
    <w:link w:val="Heading9"/>
    <w:uiPriority w:val="9"/>
    <w:semiHidden/>
    <w:rsid w:val="00192332"/>
    <w:rPr>
      <w:i/>
      <w:iCs/>
      <w:caps/>
      <w:spacing w:val="10"/>
      <w:sz w:val="18"/>
      <w:szCs w:val="18"/>
    </w:rPr>
  </w:style>
  <w:style w:type="paragraph" w:styleId="Caption">
    <w:name w:val="caption"/>
    <w:basedOn w:val="Normal"/>
    <w:next w:val="Normal"/>
    <w:uiPriority w:val="35"/>
    <w:semiHidden/>
    <w:unhideWhenUsed/>
    <w:qFormat/>
    <w:rsid w:val="00192332"/>
    <w:rPr>
      <w:b/>
      <w:bCs/>
      <w:color w:val="7B881D" w:themeColor="accent1" w:themeShade="BF"/>
      <w:sz w:val="16"/>
      <w:szCs w:val="16"/>
    </w:rPr>
  </w:style>
  <w:style w:type="paragraph" w:styleId="Title">
    <w:name w:val="Title"/>
    <w:basedOn w:val="Normal"/>
    <w:next w:val="Normal"/>
    <w:link w:val="TitleChar"/>
    <w:uiPriority w:val="10"/>
    <w:qFormat/>
    <w:rsid w:val="00192332"/>
    <w:pPr>
      <w:spacing w:before="0" w:after="0"/>
    </w:pPr>
    <w:rPr>
      <w:rFonts w:asciiTheme="majorHAnsi" w:eastAsiaTheme="majorEastAsia" w:hAnsiTheme="majorHAnsi" w:cstheme="majorBidi"/>
      <w:caps/>
      <w:color w:val="A6B727" w:themeColor="accent1"/>
      <w:spacing w:val="10"/>
      <w:sz w:val="52"/>
      <w:szCs w:val="52"/>
    </w:rPr>
  </w:style>
  <w:style w:type="character" w:customStyle="1" w:styleId="TitleChar">
    <w:name w:val="Title Char"/>
    <w:basedOn w:val="DefaultParagraphFont"/>
    <w:link w:val="Title"/>
    <w:uiPriority w:val="10"/>
    <w:rsid w:val="00192332"/>
    <w:rPr>
      <w:rFonts w:asciiTheme="majorHAnsi" w:eastAsiaTheme="majorEastAsia" w:hAnsiTheme="majorHAnsi" w:cstheme="majorBidi"/>
      <w:caps/>
      <w:color w:val="A6B727" w:themeColor="accent1"/>
      <w:spacing w:val="10"/>
      <w:sz w:val="52"/>
      <w:szCs w:val="52"/>
    </w:rPr>
  </w:style>
  <w:style w:type="paragraph" w:styleId="Subtitle">
    <w:name w:val="Subtitle"/>
    <w:basedOn w:val="Normal"/>
    <w:next w:val="Normal"/>
    <w:link w:val="SubtitleChar"/>
    <w:uiPriority w:val="11"/>
    <w:qFormat/>
    <w:rsid w:val="0019233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92332"/>
    <w:rPr>
      <w:caps/>
      <w:color w:val="595959" w:themeColor="text1" w:themeTint="A6"/>
      <w:spacing w:val="10"/>
      <w:sz w:val="21"/>
      <w:szCs w:val="21"/>
    </w:rPr>
  </w:style>
  <w:style w:type="character" w:styleId="Strong">
    <w:name w:val="Strong"/>
    <w:uiPriority w:val="22"/>
    <w:qFormat/>
    <w:rsid w:val="00192332"/>
    <w:rPr>
      <w:b/>
      <w:bCs/>
    </w:rPr>
  </w:style>
  <w:style w:type="character" w:styleId="Emphasis">
    <w:name w:val="Emphasis"/>
    <w:uiPriority w:val="20"/>
    <w:qFormat/>
    <w:rsid w:val="00192332"/>
    <w:rPr>
      <w:caps/>
      <w:color w:val="525A13" w:themeColor="accent1" w:themeShade="7F"/>
      <w:spacing w:val="5"/>
    </w:rPr>
  </w:style>
  <w:style w:type="paragraph" w:styleId="NoSpacing">
    <w:name w:val="No Spacing"/>
    <w:uiPriority w:val="1"/>
    <w:qFormat/>
    <w:rsid w:val="00192332"/>
    <w:pPr>
      <w:spacing w:after="0" w:line="240" w:lineRule="auto"/>
    </w:pPr>
  </w:style>
  <w:style w:type="paragraph" w:styleId="Quote">
    <w:name w:val="Quote"/>
    <w:basedOn w:val="Normal"/>
    <w:next w:val="Normal"/>
    <w:link w:val="QuoteChar"/>
    <w:uiPriority w:val="29"/>
    <w:qFormat/>
    <w:rsid w:val="00192332"/>
    <w:rPr>
      <w:i/>
      <w:iCs/>
      <w:sz w:val="24"/>
      <w:szCs w:val="24"/>
    </w:rPr>
  </w:style>
  <w:style w:type="character" w:customStyle="1" w:styleId="QuoteChar">
    <w:name w:val="Quote Char"/>
    <w:basedOn w:val="DefaultParagraphFont"/>
    <w:link w:val="Quote"/>
    <w:uiPriority w:val="29"/>
    <w:rsid w:val="00192332"/>
    <w:rPr>
      <w:i/>
      <w:iCs/>
      <w:sz w:val="24"/>
      <w:szCs w:val="24"/>
    </w:rPr>
  </w:style>
  <w:style w:type="paragraph" w:styleId="IntenseQuote">
    <w:name w:val="Intense Quote"/>
    <w:basedOn w:val="Normal"/>
    <w:next w:val="Normal"/>
    <w:link w:val="IntenseQuoteChar"/>
    <w:uiPriority w:val="30"/>
    <w:qFormat/>
    <w:rsid w:val="00192332"/>
    <w:pPr>
      <w:spacing w:before="240" w:after="240" w:line="240" w:lineRule="auto"/>
      <w:ind w:left="1080" w:right="1080"/>
      <w:jc w:val="center"/>
    </w:pPr>
    <w:rPr>
      <w:color w:val="A6B727" w:themeColor="accent1"/>
      <w:sz w:val="24"/>
      <w:szCs w:val="24"/>
    </w:rPr>
  </w:style>
  <w:style w:type="character" w:customStyle="1" w:styleId="IntenseQuoteChar">
    <w:name w:val="Intense Quote Char"/>
    <w:basedOn w:val="DefaultParagraphFont"/>
    <w:link w:val="IntenseQuote"/>
    <w:uiPriority w:val="30"/>
    <w:rsid w:val="00192332"/>
    <w:rPr>
      <w:color w:val="A6B727" w:themeColor="accent1"/>
      <w:sz w:val="24"/>
      <w:szCs w:val="24"/>
    </w:rPr>
  </w:style>
  <w:style w:type="character" w:styleId="SubtleEmphasis">
    <w:name w:val="Subtle Emphasis"/>
    <w:uiPriority w:val="19"/>
    <w:qFormat/>
    <w:rsid w:val="00192332"/>
    <w:rPr>
      <w:i/>
      <w:iCs/>
      <w:color w:val="525A13" w:themeColor="accent1" w:themeShade="7F"/>
    </w:rPr>
  </w:style>
  <w:style w:type="character" w:styleId="IntenseEmphasis">
    <w:name w:val="Intense Emphasis"/>
    <w:uiPriority w:val="21"/>
    <w:qFormat/>
    <w:rsid w:val="00192332"/>
    <w:rPr>
      <w:b/>
      <w:bCs/>
      <w:caps/>
      <w:color w:val="525A13" w:themeColor="accent1" w:themeShade="7F"/>
      <w:spacing w:val="10"/>
    </w:rPr>
  </w:style>
  <w:style w:type="character" w:styleId="SubtleReference">
    <w:name w:val="Subtle Reference"/>
    <w:uiPriority w:val="31"/>
    <w:qFormat/>
    <w:rsid w:val="00192332"/>
    <w:rPr>
      <w:b/>
      <w:bCs/>
      <w:color w:val="A6B727" w:themeColor="accent1"/>
    </w:rPr>
  </w:style>
  <w:style w:type="character" w:styleId="IntenseReference">
    <w:name w:val="Intense Reference"/>
    <w:uiPriority w:val="32"/>
    <w:qFormat/>
    <w:rsid w:val="00192332"/>
    <w:rPr>
      <w:b/>
      <w:bCs/>
      <w:i/>
      <w:iCs/>
      <w:caps/>
      <w:color w:val="A6B727" w:themeColor="accent1"/>
    </w:rPr>
  </w:style>
  <w:style w:type="character" w:styleId="BookTitle">
    <w:name w:val="Book Title"/>
    <w:uiPriority w:val="33"/>
    <w:qFormat/>
    <w:rsid w:val="00192332"/>
    <w:rPr>
      <w:b/>
      <w:bCs/>
      <w:i/>
      <w:iCs/>
      <w:spacing w:val="0"/>
    </w:rPr>
  </w:style>
  <w:style w:type="paragraph" w:styleId="TOCHeading">
    <w:name w:val="TOC Heading"/>
    <w:basedOn w:val="Heading1"/>
    <w:next w:val="Normal"/>
    <w:uiPriority w:val="39"/>
    <w:semiHidden/>
    <w:unhideWhenUsed/>
    <w:qFormat/>
    <w:rsid w:val="00192332"/>
    <w:pPr>
      <w:outlineLvl w:val="9"/>
    </w:pPr>
  </w:style>
  <w:style w:type="paragraph" w:customStyle="1" w:styleId="Style0">
    <w:name w:val="Style0"/>
    <w:basedOn w:val="Normal"/>
    <w:link w:val="Style0Char"/>
    <w:autoRedefine/>
    <w:qFormat/>
    <w:rsid w:val="00CA346F"/>
    <w:rPr>
      <w:rFonts w:ascii="Arial" w:hAnsi="Arial"/>
      <w:b/>
      <w:sz w:val="32"/>
    </w:rPr>
  </w:style>
  <w:style w:type="character" w:customStyle="1" w:styleId="Style0Char">
    <w:name w:val="Style0 Char"/>
    <w:basedOn w:val="DefaultParagraphFont"/>
    <w:link w:val="Style0"/>
    <w:rsid w:val="00CA346F"/>
    <w:rPr>
      <w:rFonts w:ascii="Arial" w:hAnsi="Arial"/>
      <w:b/>
      <w:sz w:val="32"/>
    </w:rPr>
  </w:style>
  <w:style w:type="paragraph" w:styleId="NormalWeb">
    <w:name w:val="Normal (Web)"/>
    <w:basedOn w:val="Normal"/>
    <w:uiPriority w:val="99"/>
    <w:semiHidden/>
    <w:unhideWhenUsed/>
    <w:rsid w:val="00913CBD"/>
    <w:pPr>
      <w:spacing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9C1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11139">
      <w:bodyDiv w:val="1"/>
      <w:marLeft w:val="0"/>
      <w:marRight w:val="0"/>
      <w:marTop w:val="0"/>
      <w:marBottom w:val="0"/>
      <w:divBdr>
        <w:top w:val="none" w:sz="0" w:space="0" w:color="auto"/>
        <w:left w:val="none" w:sz="0" w:space="0" w:color="auto"/>
        <w:bottom w:val="none" w:sz="0" w:space="0" w:color="auto"/>
        <w:right w:val="none" w:sz="0" w:space="0" w:color="auto"/>
      </w:divBdr>
    </w:div>
    <w:div w:id="398594850">
      <w:bodyDiv w:val="1"/>
      <w:marLeft w:val="0"/>
      <w:marRight w:val="0"/>
      <w:marTop w:val="0"/>
      <w:marBottom w:val="0"/>
      <w:divBdr>
        <w:top w:val="none" w:sz="0" w:space="0" w:color="auto"/>
        <w:left w:val="none" w:sz="0" w:space="0" w:color="auto"/>
        <w:bottom w:val="none" w:sz="0" w:space="0" w:color="auto"/>
        <w:right w:val="none" w:sz="0" w:space="0" w:color="auto"/>
      </w:divBdr>
    </w:div>
    <w:div w:id="445393190">
      <w:bodyDiv w:val="1"/>
      <w:marLeft w:val="0"/>
      <w:marRight w:val="0"/>
      <w:marTop w:val="0"/>
      <w:marBottom w:val="0"/>
      <w:divBdr>
        <w:top w:val="none" w:sz="0" w:space="0" w:color="auto"/>
        <w:left w:val="none" w:sz="0" w:space="0" w:color="auto"/>
        <w:bottom w:val="none" w:sz="0" w:space="0" w:color="auto"/>
        <w:right w:val="none" w:sz="0" w:space="0" w:color="auto"/>
      </w:divBdr>
    </w:div>
    <w:div w:id="787237121">
      <w:bodyDiv w:val="1"/>
      <w:marLeft w:val="0"/>
      <w:marRight w:val="0"/>
      <w:marTop w:val="0"/>
      <w:marBottom w:val="0"/>
      <w:divBdr>
        <w:top w:val="none" w:sz="0" w:space="0" w:color="auto"/>
        <w:left w:val="none" w:sz="0" w:space="0" w:color="auto"/>
        <w:bottom w:val="none" w:sz="0" w:space="0" w:color="auto"/>
        <w:right w:val="none" w:sz="0" w:space="0" w:color="auto"/>
      </w:divBdr>
    </w:div>
    <w:div w:id="1032922723">
      <w:bodyDiv w:val="1"/>
      <w:marLeft w:val="0"/>
      <w:marRight w:val="0"/>
      <w:marTop w:val="0"/>
      <w:marBottom w:val="0"/>
      <w:divBdr>
        <w:top w:val="none" w:sz="0" w:space="0" w:color="auto"/>
        <w:left w:val="none" w:sz="0" w:space="0" w:color="auto"/>
        <w:bottom w:val="none" w:sz="0" w:space="0" w:color="auto"/>
        <w:right w:val="none" w:sz="0" w:space="0" w:color="auto"/>
      </w:divBdr>
    </w:div>
    <w:div w:id="1038627270">
      <w:bodyDiv w:val="1"/>
      <w:marLeft w:val="0"/>
      <w:marRight w:val="0"/>
      <w:marTop w:val="0"/>
      <w:marBottom w:val="0"/>
      <w:divBdr>
        <w:top w:val="none" w:sz="0" w:space="0" w:color="auto"/>
        <w:left w:val="none" w:sz="0" w:space="0" w:color="auto"/>
        <w:bottom w:val="none" w:sz="0" w:space="0" w:color="auto"/>
        <w:right w:val="none" w:sz="0" w:space="0" w:color="auto"/>
      </w:divBdr>
    </w:div>
    <w:div w:id="1073284132">
      <w:bodyDiv w:val="1"/>
      <w:marLeft w:val="0"/>
      <w:marRight w:val="0"/>
      <w:marTop w:val="0"/>
      <w:marBottom w:val="0"/>
      <w:divBdr>
        <w:top w:val="none" w:sz="0" w:space="0" w:color="auto"/>
        <w:left w:val="none" w:sz="0" w:space="0" w:color="auto"/>
        <w:bottom w:val="none" w:sz="0" w:space="0" w:color="auto"/>
        <w:right w:val="none" w:sz="0" w:space="0" w:color="auto"/>
      </w:divBdr>
    </w:div>
    <w:div w:id="1219317890">
      <w:bodyDiv w:val="1"/>
      <w:marLeft w:val="0"/>
      <w:marRight w:val="0"/>
      <w:marTop w:val="0"/>
      <w:marBottom w:val="0"/>
      <w:divBdr>
        <w:top w:val="none" w:sz="0" w:space="0" w:color="auto"/>
        <w:left w:val="none" w:sz="0" w:space="0" w:color="auto"/>
        <w:bottom w:val="none" w:sz="0" w:space="0" w:color="auto"/>
        <w:right w:val="none" w:sz="0" w:space="0" w:color="auto"/>
      </w:divBdr>
    </w:div>
    <w:div w:id="1293248001">
      <w:bodyDiv w:val="1"/>
      <w:marLeft w:val="0"/>
      <w:marRight w:val="0"/>
      <w:marTop w:val="0"/>
      <w:marBottom w:val="0"/>
      <w:divBdr>
        <w:top w:val="none" w:sz="0" w:space="0" w:color="auto"/>
        <w:left w:val="none" w:sz="0" w:space="0" w:color="auto"/>
        <w:bottom w:val="none" w:sz="0" w:space="0" w:color="auto"/>
        <w:right w:val="none" w:sz="0" w:space="0" w:color="auto"/>
      </w:divBdr>
    </w:div>
    <w:div w:id="1415741163">
      <w:bodyDiv w:val="1"/>
      <w:marLeft w:val="0"/>
      <w:marRight w:val="0"/>
      <w:marTop w:val="0"/>
      <w:marBottom w:val="0"/>
      <w:divBdr>
        <w:top w:val="none" w:sz="0" w:space="0" w:color="auto"/>
        <w:left w:val="none" w:sz="0" w:space="0" w:color="auto"/>
        <w:bottom w:val="none" w:sz="0" w:space="0" w:color="auto"/>
        <w:right w:val="none" w:sz="0" w:space="0" w:color="auto"/>
      </w:divBdr>
    </w:div>
    <w:div w:id="1486512936">
      <w:bodyDiv w:val="1"/>
      <w:marLeft w:val="0"/>
      <w:marRight w:val="0"/>
      <w:marTop w:val="0"/>
      <w:marBottom w:val="0"/>
      <w:divBdr>
        <w:top w:val="none" w:sz="0" w:space="0" w:color="auto"/>
        <w:left w:val="none" w:sz="0" w:space="0" w:color="auto"/>
        <w:bottom w:val="none" w:sz="0" w:space="0" w:color="auto"/>
        <w:right w:val="none" w:sz="0" w:space="0" w:color="auto"/>
      </w:divBdr>
    </w:div>
    <w:div w:id="1571305649">
      <w:bodyDiv w:val="1"/>
      <w:marLeft w:val="0"/>
      <w:marRight w:val="0"/>
      <w:marTop w:val="0"/>
      <w:marBottom w:val="0"/>
      <w:divBdr>
        <w:top w:val="none" w:sz="0" w:space="0" w:color="auto"/>
        <w:left w:val="none" w:sz="0" w:space="0" w:color="auto"/>
        <w:bottom w:val="none" w:sz="0" w:space="0" w:color="auto"/>
        <w:right w:val="none" w:sz="0" w:space="0" w:color="auto"/>
      </w:divBdr>
    </w:div>
    <w:div w:id="1669820908">
      <w:bodyDiv w:val="1"/>
      <w:marLeft w:val="0"/>
      <w:marRight w:val="0"/>
      <w:marTop w:val="0"/>
      <w:marBottom w:val="0"/>
      <w:divBdr>
        <w:top w:val="none" w:sz="0" w:space="0" w:color="auto"/>
        <w:left w:val="none" w:sz="0" w:space="0" w:color="auto"/>
        <w:bottom w:val="none" w:sz="0" w:space="0" w:color="auto"/>
        <w:right w:val="none" w:sz="0" w:space="0" w:color="auto"/>
      </w:divBdr>
    </w:div>
    <w:div w:id="1691954581">
      <w:bodyDiv w:val="1"/>
      <w:marLeft w:val="0"/>
      <w:marRight w:val="0"/>
      <w:marTop w:val="0"/>
      <w:marBottom w:val="0"/>
      <w:divBdr>
        <w:top w:val="none" w:sz="0" w:space="0" w:color="auto"/>
        <w:left w:val="none" w:sz="0" w:space="0" w:color="auto"/>
        <w:bottom w:val="none" w:sz="0" w:space="0" w:color="auto"/>
        <w:right w:val="none" w:sz="0" w:space="0" w:color="auto"/>
      </w:divBdr>
    </w:div>
    <w:div w:id="1711760687">
      <w:bodyDiv w:val="1"/>
      <w:marLeft w:val="0"/>
      <w:marRight w:val="0"/>
      <w:marTop w:val="0"/>
      <w:marBottom w:val="0"/>
      <w:divBdr>
        <w:top w:val="none" w:sz="0" w:space="0" w:color="auto"/>
        <w:left w:val="none" w:sz="0" w:space="0" w:color="auto"/>
        <w:bottom w:val="none" w:sz="0" w:space="0" w:color="auto"/>
        <w:right w:val="none" w:sz="0" w:space="0" w:color="auto"/>
      </w:divBdr>
    </w:div>
    <w:div w:id="1738699808">
      <w:bodyDiv w:val="1"/>
      <w:marLeft w:val="0"/>
      <w:marRight w:val="0"/>
      <w:marTop w:val="0"/>
      <w:marBottom w:val="0"/>
      <w:divBdr>
        <w:top w:val="none" w:sz="0" w:space="0" w:color="auto"/>
        <w:left w:val="none" w:sz="0" w:space="0" w:color="auto"/>
        <w:bottom w:val="none" w:sz="0" w:space="0" w:color="auto"/>
        <w:right w:val="none" w:sz="0" w:space="0" w:color="auto"/>
      </w:divBdr>
    </w:div>
    <w:div w:id="1785343386">
      <w:bodyDiv w:val="1"/>
      <w:marLeft w:val="0"/>
      <w:marRight w:val="0"/>
      <w:marTop w:val="0"/>
      <w:marBottom w:val="0"/>
      <w:divBdr>
        <w:top w:val="none" w:sz="0" w:space="0" w:color="auto"/>
        <w:left w:val="none" w:sz="0" w:space="0" w:color="auto"/>
        <w:bottom w:val="none" w:sz="0" w:space="0" w:color="auto"/>
        <w:right w:val="none" w:sz="0" w:space="0" w:color="auto"/>
      </w:divBdr>
    </w:div>
    <w:div w:id="1856571794">
      <w:bodyDiv w:val="1"/>
      <w:marLeft w:val="0"/>
      <w:marRight w:val="0"/>
      <w:marTop w:val="0"/>
      <w:marBottom w:val="0"/>
      <w:divBdr>
        <w:top w:val="none" w:sz="0" w:space="0" w:color="auto"/>
        <w:left w:val="none" w:sz="0" w:space="0" w:color="auto"/>
        <w:bottom w:val="none" w:sz="0" w:space="0" w:color="auto"/>
        <w:right w:val="none" w:sz="0" w:space="0" w:color="auto"/>
      </w:divBdr>
    </w:div>
    <w:div w:id="1898587602">
      <w:bodyDiv w:val="1"/>
      <w:marLeft w:val="0"/>
      <w:marRight w:val="0"/>
      <w:marTop w:val="0"/>
      <w:marBottom w:val="0"/>
      <w:divBdr>
        <w:top w:val="none" w:sz="0" w:space="0" w:color="auto"/>
        <w:left w:val="none" w:sz="0" w:space="0" w:color="auto"/>
        <w:bottom w:val="none" w:sz="0" w:space="0" w:color="auto"/>
        <w:right w:val="none" w:sz="0" w:space="0" w:color="auto"/>
      </w:divBdr>
    </w:div>
    <w:div w:id="213124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Eit16</b:Tag>
    <b:SourceType>Book</b:SourceType>
    <b:Guid>{D0CBFF08-C6A0-459C-A09F-B0B13C25FFE5}</b:Guid>
    <b:Author>
      <b:Author>
        <b:NameList>
          <b:Person>
            <b:Last>Eiteman</b:Last>
            <b:First>D.</b:First>
            <b:Middle>K.,</b:Middle>
          </b:Person>
          <b:Person>
            <b:Last> Stonehill, </b:Last>
            <b:First>A. I.</b:First>
          </b:Person>
          <b:Person>
            <b:Last> Moffett, </b:Last>
            <b:First>M. H. </b:First>
          </b:Person>
        </b:NameList>
      </b:Author>
    </b:Author>
    <b:Title>Multinational Business Finance. Pearson.</b:Title>
    <b:Year>2016</b:Year>
    <b:Publisher>Pearson.</b:Publisher>
    <b:RefOrder>3</b:RefOrder>
  </b:Source>
  <b:Source>
    <b:Tag>Lev19</b:Tag>
    <b:SourceType>Book</b:SourceType>
    <b:Guid>{234E4A53-AAAC-43EE-A241-C190F5057777}</b:Guid>
    <b:Author>
      <b:Author>
        <b:NameList>
          <b:Person>
            <b:Last>Levi</b:Last>
            <b:First>M.</b:First>
          </b:Person>
        </b:NameList>
      </b:Author>
    </b:Author>
    <b:Title> International Finance: The Markets and Financial Management of Multinational Business.</b:Title>
    <b:Year>2019</b:Year>
    <b:Publisher>McGraw-Hill Education.</b:Publisher>
    <b:RefOrder>4</b:RefOrder>
  </b:Source>
  <b:Source>
    <b:Tag>Mad18</b:Tag>
    <b:SourceType>Book</b:SourceType>
    <b:Guid>{ECC1A8C6-AE56-494A-BEE2-29431BD73DD9}</b:Guid>
    <b:Author>
      <b:Author>
        <b:NameList>
          <b:Person>
            <b:Last>Madura</b:Last>
            <b:First>J.</b:First>
          </b:Person>
        </b:NameList>
      </b:Author>
    </b:Author>
    <b:Title>International Financial Management. </b:Title>
    <b:Year>2018</b:Year>
    <b:Publisher>Cengage Learning.</b:Publisher>
    <b:RefOrder>2</b:RefOrder>
  </b:Source>
  <b:Source>
    <b:Tag>Sha18</b:Tag>
    <b:SourceType>Book</b:SourceType>
    <b:Guid>{AB387651-B337-4BEB-AC99-9204A1CC8531}</b:Guid>
    <b:Author>
      <b:Author>
        <b:NameList>
          <b:Person>
            <b:Last>Shapiro</b:Last>
            <b:First>A.</b:First>
            <b:Middle>C.</b:Middle>
          </b:Person>
        </b:NameList>
      </b:Author>
    </b:Author>
    <b:Title>Multinational Financial Management.</b:Title>
    <b:Year>2018</b:Year>
    <b:Publisher> John Wiley &amp; Sons.</b:Publisher>
    <b:RefOrder>1</b:RefOrder>
  </b:Source>
  <b:Source>
    <b:Tag>Bar96</b:Tag>
    <b:SourceType>JournalArticle</b:SourceType>
    <b:Guid>{7CB0ABBF-07B9-4548-BACD-00DA5DA9083A}</b:Guid>
    <b:Title>Firm valuation, earnings expectations, and the exchange-rate exposure effect.</b:Title>
    <b:Year>1996</b:Year>
    <b:Author>
      <b:Author>
        <b:NameList>
          <b:Person>
            <b:Last>Bartov</b:Last>
            <b:First>E.,</b:First>
          </b:Person>
          <b:Person>
            <b:Last>Bodnar</b:Last>
            <b:First> G. M. </b:First>
          </b:Person>
        </b:NameList>
      </b:Author>
    </b:Author>
    <b:JournalName>Journal of Finance</b:JournalName>
    <b:Pages>1755-1785</b:Pages>
    <b:Volume>51</b:Volume>
    <b:Issue>5</b:Issue>
    <b:RefOrder>13</b:RefOrder>
  </b:Source>
  <b:Source>
    <b:Tag>Dun15</b:Tag>
    <b:SourceType>JournalArticle</b:SourceType>
    <b:Guid>{FCECF73F-39DE-4192-BE3C-1DE1AF65C118}</b:Guid>
    <b:Author>
      <b:Author>
        <b:NameList>
          <b:Person>
            <b:Last>Dungey</b:Last>
            <b:First>M.,</b:First>
          </b:Person>
          <b:Person>
            <b:Last>McKenzie</b:Last>
            <b:First> M. D.</b:First>
          </b:Person>
          <b:Person>
            <b:Last> Smith</b:Last>
            <b:First> L. V.</b:First>
          </b:Person>
        </b:NameList>
      </b:Author>
    </b:Author>
    <b:Title> Empirical evidence on jumps in the term structure of the US treasury market.</b:Title>
    <b:JournalName>Journal of Empirical Finance</b:JournalName>
    <b:Year>2015</b:Year>
    <b:Pages>151-164</b:Pages>
    <b:Volume>32</b:Volume>
    <b:RefOrder>14</b:RefOrder>
  </b:Source>
  <b:Source>
    <b:Tag>Adl83</b:Tag>
    <b:SourceType>JournalArticle</b:SourceType>
    <b:Guid>{8DB58444-63C0-496C-A27A-667F0E31BE1A}</b:Guid>
    <b:Author>
      <b:Author>
        <b:NameList>
          <b:Person>
            <b:Last>Adler</b:Last>
            <b:First>M.,</b:First>
          </b:Person>
          <b:Person>
            <b:Last> Lehmann</b:Last>
            <b:First>B. </b:First>
          </b:Person>
        </b:NameList>
      </b:Author>
    </b:Author>
    <b:Title>Deviations from Purchasing Power Parity in the Long Run.</b:Title>
    <b:JournalName>Journal of Finance</b:JournalName>
    <b:Year>1983</b:Year>
    <b:Pages>1471-1487</b:Pages>
    <b:Volume>38</b:Volume>
    <b:Issue>5</b:Issue>
    <b:RefOrder>6</b:RefOrder>
  </b:Source>
  <b:Source>
    <b:Tag>Bra83</b:Tag>
    <b:SourceType>JournalArticle</b:SourceType>
    <b:Guid>{65865594-3C7C-4294-B13F-F16A44BB828D}</b:Guid>
    <b:Author>
      <b:Author>
        <b:NameList>
          <b:Person>
            <b:Last>Branson</b:Last>
            <b:First>W.</b:First>
            <b:Middle>H.</b:Middle>
          </b:Person>
        </b:NameList>
      </b:Author>
    </b:Author>
    <b:Title> Exchange Rate Determination. </b:Title>
    <b:JournalName>Journal of International Economics</b:JournalName>
    <b:Year>1983</b:Year>
    <b:Pages>275-289</b:Pages>
    <b:Volume>15</b:Volume>
    <b:Issue>3</b:Issue>
    <b:RefOrder>11</b:RefOrder>
  </b:Source>
  <b:Source>
    <b:Tag>Fam70</b:Tag>
    <b:SourceType>JournalArticle</b:SourceType>
    <b:Guid>{2D13BA9D-11EE-4573-871F-B7E1970AB815}</b:Guid>
    <b:Author>
      <b:Author>
        <b:NameList>
          <b:Person>
            <b:Last>Fama</b:Last>
            <b:First>E.</b:First>
            <b:Middle>F.</b:Middle>
          </b:Person>
        </b:NameList>
      </b:Author>
    </b:Author>
    <b:Title>Efficient Capital Markets: A Review of Theory and Empirical Work.</b:Title>
    <b:JournalName> Journal of Finance</b:JournalName>
    <b:Year>1970</b:Year>
    <b:Pages> 383-417.</b:Pages>
    <b:Volume>25</b:Volume>
    <b:Issue>2</b:Issue>
    <b:RefOrder>12</b:RefOrder>
  </b:Source>
  <b:Source>
    <b:Tag>Bar07</b:Tag>
    <b:SourceType>JournalArticle</b:SourceType>
    <b:Guid>{BDFDF58A-63C8-4CDA-A1C4-9ACEEE7FC6A8}</b:Guid>
    <b:Author>
      <b:Author>
        <b:NameList>
          <b:Person>
            <b:Last>Bartram</b:Last>
            <b:First>S.</b:First>
            <b:Middle>M.,</b:Middle>
          </b:Person>
          <b:Person>
            <b:Last>Bodnar</b:Last>
            <b:First>G. M</b:First>
          </b:Person>
        </b:NameList>
      </b:Author>
    </b:Author>
    <b:Title>The exchange rate exposure puzzle.</b:Title>
    <b:JournalName>Managerial Finance</b:JournalName>
    <b:Year>2007</b:Year>
    <b:Pages>642-666</b:Pages>
    <b:Volume>33</b:Volume>
    <b:Issue>9</b:Issue>
    <b:RefOrder>10</b:RefOrder>
  </b:Source>
  <b:Source>
    <b:Tag>Sha10</b:Tag>
    <b:SourceType>JournalArticle</b:SourceType>
    <b:Guid>{4FA82292-9CAA-4D71-A122-8FB857625F5B}</b:Guid>
    <b:Author>
      <b:Author>
        <b:NameList>
          <b:Person>
            <b:Last>Shapiro</b:Last>
            <b:First>A.</b:First>
            <b:Middle>C.</b:Middle>
          </b:Person>
          <b:Person>
            <b:Last> Allen</b:Last>
            <b:First> P. R. </b:First>
          </b:Person>
        </b:NameList>
      </b:Author>
    </b:Author>
    <b:Title> Multinational corporations' exposure to exchange rate fluctuations: An empirical analysis of transaction and translation exposures</b:Title>
    <b:JournalName> International Business &amp; Economics Research Journal (IBER)</b:JournalName>
    <b:Year>2010</b:Year>
    <b:Pages>61-68</b:Pages>
    <b:Volume>9</b:Volume>
    <b:Issue>10</b:Issue>
    <b:RefOrder>9</b:RefOrder>
  </b:Source>
  <b:Source>
    <b:Tag>Kho09</b:Tag>
    <b:SourceType>JournalArticle</b:SourceType>
    <b:Guid>{F01D29B5-DDF0-4433-918D-47A4E06DC20E}</b:Guid>
    <b:Author>
      <b:Author>
        <b:NameList>
          <b:Person>
            <b:Last>Kho</b:Last>
            <b:First>B.</b:First>
            <b:Middle>C.,</b:Middle>
          </b:Person>
          <b:Person>
            <b:Last>Stulz</b:Last>
            <b:First> R. M.</b:First>
          </b:Person>
          <b:Person>
            <b:Last>Warnock</b:Last>
            <b:First> F. E. </b:First>
          </b:Person>
        </b:NameList>
      </b:Author>
    </b:Author>
    <b:Title>Financial globalization, governance, and the evolution of the home bias.</b:Title>
    <b:JournalName>Journal of Accounting Research</b:JournalName>
    <b:Year>2009</b:Year>
    <b:Pages> 597-635.</b:Pages>
    <b:Volume>47</b:Volume>
    <b:Issue>2</b:Issue>
    <b:RefOrder>8</b:RefOrder>
  </b:Source>
  <b:Source>
    <b:Tag>Bar961</b:Tag>
    <b:SourceType>JournalArticle</b:SourceType>
    <b:Guid>{21EBCEBF-CB94-49B6-8EC4-54A8FF1B00EF}</b:Guid>
    <b:Author>
      <b:Author>
        <b:NameList>
          <b:Person>
            <b:Last>Bartov</b:Last>
            <b:First>E.,</b:First>
          </b:Person>
          <b:Person>
            <b:Last> Bodnar</b:Last>
            <b:First> G. M. </b:First>
          </b:Person>
        </b:NameList>
      </b:Author>
    </b:Author>
    <b:Title>Firm valuation, earnings expectations, and the exchange-rate exposure effect.</b:Title>
    <b:JournalName>Journal of Finance</b:JournalName>
    <b:Year>1996</b:Year>
    <b:Pages>1755-1785</b:Pages>
    <b:Volume>51</b:Volume>
    <b:Issue>5</b:Issue>
    <b:RefOrder>5</b:RefOrder>
  </b:Source>
  <b:Source>
    <b:Tag>Sha02</b:Tag>
    <b:SourceType>Book</b:SourceType>
    <b:Guid>{91DBC189-44DF-4070-9272-5F05FD096C3A}</b:Guid>
    <b:Title> Multinational financial management.</b:Title>
    <b:Year>2002</b:Year>
    <b:Author>
      <b:Author>
        <b:NameList>
          <b:Person>
            <b:Last>Shapiro</b:Last>
            <b:First>A.</b:First>
            <b:Middle>C.</b:Middle>
          </b:Person>
        </b:NameList>
      </b:Author>
    </b:Author>
    <b:Publisher> John Wiley &amp; Sons</b:Publisher>
    <b:RefOrder>7</b:RefOrder>
  </b:Source>
</b:Sources>
</file>

<file path=customXml/itemProps1.xml><?xml version="1.0" encoding="utf-8"?>
<ds:datastoreItem xmlns:ds="http://schemas.openxmlformats.org/officeDocument/2006/customXml" ds:itemID="{35F203FD-1D04-4259-9256-E2535D0E4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2984</TotalTime>
  <Pages>7</Pages>
  <Words>2095</Words>
  <Characters>12698</Characters>
  <Application>Microsoft Office Word</Application>
  <DocSecurity>0</DocSecurity>
  <Lines>230</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 (Student)</dc:creator>
  <cp:keywords/>
  <dc:description/>
  <cp:lastModifiedBy>Tsvetomila Metodieva (Student)</cp:lastModifiedBy>
  <cp:revision>11</cp:revision>
  <dcterms:created xsi:type="dcterms:W3CDTF">2023-12-26T21:10:00Z</dcterms:created>
  <dcterms:modified xsi:type="dcterms:W3CDTF">2023-12-28T22:54:00Z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99ef737a-c672-48a0-8210-5832c9e9ab01</vt:lpwstr>
  </property>
</Properties>
</file>