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05B4A" w14:textId="77777777" w:rsidR="00976D16" w:rsidRDefault="00976D16" w:rsidP="0094302D">
      <w:pPr>
        <w:jc w:val="center"/>
        <w:rPr>
          <w:sz w:val="40"/>
          <w:szCs w:val="40"/>
        </w:rPr>
      </w:pPr>
    </w:p>
    <w:p w14:paraId="621FD1DF" w14:textId="5983BB1E" w:rsidR="00976D16" w:rsidRDefault="001D0484" w:rsidP="0094302D">
      <w:pPr>
        <w:jc w:val="center"/>
        <w:rPr>
          <w:sz w:val="40"/>
          <w:szCs w:val="40"/>
        </w:rPr>
      </w:pPr>
      <w:r>
        <w:rPr>
          <w:noProof/>
        </w:rPr>
        <w:drawing>
          <wp:inline distT="0" distB="0" distL="0" distR="0" wp14:anchorId="2DAE432B" wp14:editId="11539739">
            <wp:extent cx="1809524" cy="723810"/>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09524" cy="723810"/>
                    </a:xfrm>
                    <a:prstGeom prst="rect">
                      <a:avLst/>
                    </a:prstGeom>
                  </pic:spPr>
                </pic:pic>
              </a:graphicData>
            </a:graphic>
          </wp:inline>
        </w:drawing>
      </w:r>
    </w:p>
    <w:p w14:paraId="544D3C79" w14:textId="77777777" w:rsidR="00976D16" w:rsidRDefault="00976D16" w:rsidP="0094302D">
      <w:pPr>
        <w:jc w:val="center"/>
        <w:rPr>
          <w:sz w:val="40"/>
          <w:szCs w:val="40"/>
        </w:rPr>
      </w:pPr>
    </w:p>
    <w:p w14:paraId="3ABF989F" w14:textId="6FBD565D" w:rsidR="001D0484" w:rsidRPr="00CA2B69" w:rsidRDefault="0094302D" w:rsidP="001D0484">
      <w:pPr>
        <w:jc w:val="center"/>
        <w:rPr>
          <w:sz w:val="32"/>
          <w:szCs w:val="32"/>
        </w:rPr>
      </w:pPr>
      <w:r w:rsidRPr="00CA2B69">
        <w:rPr>
          <w:sz w:val="32"/>
          <w:szCs w:val="32"/>
        </w:rPr>
        <w:t>BMMB7006</w:t>
      </w:r>
      <w:r w:rsidR="001D0484" w:rsidRPr="00CA2B69">
        <w:rPr>
          <w:sz w:val="32"/>
          <w:szCs w:val="32"/>
        </w:rPr>
        <w:t xml:space="preserve"> </w:t>
      </w:r>
      <w:r w:rsidR="00CA2B69">
        <w:rPr>
          <w:sz w:val="32"/>
          <w:szCs w:val="32"/>
        </w:rPr>
        <w:t xml:space="preserve"> </w:t>
      </w:r>
      <w:r w:rsidR="001D0484" w:rsidRPr="00CA2B69">
        <w:rPr>
          <w:sz w:val="32"/>
          <w:szCs w:val="32"/>
        </w:rPr>
        <w:t>Global Business Challenges</w:t>
      </w:r>
    </w:p>
    <w:p w14:paraId="35274107" w14:textId="3ECC3121" w:rsidR="001D0484" w:rsidRDefault="001D0484" w:rsidP="001D0484">
      <w:pPr>
        <w:jc w:val="center"/>
        <w:rPr>
          <w:sz w:val="32"/>
          <w:szCs w:val="32"/>
        </w:rPr>
      </w:pPr>
    </w:p>
    <w:p w14:paraId="3A8587AB" w14:textId="77777777" w:rsidR="00CA2B69" w:rsidRPr="00CA2B69" w:rsidRDefault="00CA2B69" w:rsidP="001D0484">
      <w:pPr>
        <w:jc w:val="center"/>
        <w:rPr>
          <w:sz w:val="32"/>
          <w:szCs w:val="32"/>
        </w:rPr>
      </w:pPr>
    </w:p>
    <w:p w14:paraId="6965A2FB" w14:textId="77777777" w:rsidR="001D0484" w:rsidRPr="00CA2B69" w:rsidRDefault="0080696C" w:rsidP="0094302D">
      <w:pPr>
        <w:jc w:val="center"/>
        <w:rPr>
          <w:sz w:val="32"/>
          <w:szCs w:val="32"/>
        </w:rPr>
      </w:pPr>
      <w:r w:rsidRPr="00CA2B69">
        <w:rPr>
          <w:sz w:val="32"/>
          <w:szCs w:val="32"/>
        </w:rPr>
        <w:t>AI in Digital Ecosystems: Data Sovereignty and Geopolitical Risk</w:t>
      </w:r>
      <w:r w:rsidR="001D0484" w:rsidRPr="00CA2B69">
        <w:rPr>
          <w:sz w:val="32"/>
          <w:szCs w:val="32"/>
        </w:rPr>
        <w:t xml:space="preserve"> </w:t>
      </w:r>
    </w:p>
    <w:p w14:paraId="499E0149" w14:textId="7B2A755C" w:rsidR="0080696C" w:rsidRPr="00CA2B69" w:rsidRDefault="0080696C" w:rsidP="0094302D">
      <w:pPr>
        <w:jc w:val="center"/>
        <w:rPr>
          <w:sz w:val="32"/>
          <w:szCs w:val="32"/>
        </w:rPr>
      </w:pPr>
      <w:r w:rsidRPr="00CA2B69">
        <w:rPr>
          <w:sz w:val="32"/>
          <w:szCs w:val="32"/>
        </w:rPr>
        <w:t xml:space="preserve">Organisation: Alibaba Group Holding Limited </w:t>
      </w:r>
    </w:p>
    <w:p w14:paraId="26E54621" w14:textId="114BAA8C" w:rsidR="001D0484" w:rsidRDefault="001D0484" w:rsidP="0094302D">
      <w:pPr>
        <w:jc w:val="center"/>
        <w:rPr>
          <w:sz w:val="32"/>
          <w:szCs w:val="32"/>
        </w:rPr>
      </w:pPr>
    </w:p>
    <w:p w14:paraId="1EDA7BCD" w14:textId="77777777" w:rsidR="00CA2B69" w:rsidRPr="00CA2B69" w:rsidRDefault="00CA2B69" w:rsidP="0094302D">
      <w:pPr>
        <w:jc w:val="center"/>
        <w:rPr>
          <w:sz w:val="32"/>
          <w:szCs w:val="32"/>
        </w:rPr>
      </w:pPr>
    </w:p>
    <w:p w14:paraId="1CD652EF" w14:textId="202EE54D" w:rsidR="001D0484" w:rsidRPr="00CA2B69" w:rsidRDefault="001D0484" w:rsidP="0094302D">
      <w:pPr>
        <w:jc w:val="center"/>
        <w:rPr>
          <w:sz w:val="32"/>
          <w:szCs w:val="32"/>
        </w:rPr>
      </w:pPr>
      <w:r w:rsidRPr="00CA2B69">
        <w:rPr>
          <w:sz w:val="32"/>
          <w:szCs w:val="32"/>
        </w:rPr>
        <w:t xml:space="preserve">Md </w:t>
      </w:r>
      <w:proofErr w:type="spellStart"/>
      <w:r w:rsidRPr="00CA2B69">
        <w:rPr>
          <w:sz w:val="32"/>
          <w:szCs w:val="32"/>
        </w:rPr>
        <w:t>Didarul</w:t>
      </w:r>
      <w:proofErr w:type="spellEnd"/>
      <w:r w:rsidRPr="00CA2B69">
        <w:rPr>
          <w:sz w:val="32"/>
          <w:szCs w:val="32"/>
        </w:rPr>
        <w:t xml:space="preserve"> Islam </w:t>
      </w:r>
      <w:proofErr w:type="spellStart"/>
      <w:r w:rsidRPr="00CA2B69">
        <w:rPr>
          <w:sz w:val="32"/>
          <w:szCs w:val="32"/>
        </w:rPr>
        <w:t>Anik</w:t>
      </w:r>
      <w:proofErr w:type="spellEnd"/>
      <w:r w:rsidRPr="00CA2B69">
        <w:rPr>
          <w:sz w:val="32"/>
          <w:szCs w:val="32"/>
        </w:rPr>
        <w:t xml:space="preserve"> (ID: 2505168)</w:t>
      </w:r>
    </w:p>
    <w:p w14:paraId="3C267163" w14:textId="77777777" w:rsidR="001D0484" w:rsidRPr="0094302D" w:rsidRDefault="001D0484" w:rsidP="0094302D">
      <w:pPr>
        <w:jc w:val="center"/>
        <w:rPr>
          <w:sz w:val="40"/>
          <w:szCs w:val="40"/>
        </w:rPr>
      </w:pPr>
    </w:p>
    <w:p w14:paraId="71B4F62E" w14:textId="77777777" w:rsidR="0080696C" w:rsidRDefault="0080696C" w:rsidP="0094302D">
      <w:pPr>
        <w:jc w:val="both"/>
      </w:pPr>
      <w:r>
        <w:br w:type="page"/>
      </w:r>
    </w:p>
    <w:p w14:paraId="4DA43B37" w14:textId="1878E9FB" w:rsidR="0080696C" w:rsidRPr="0080696C" w:rsidRDefault="0080696C" w:rsidP="0094302D">
      <w:pPr>
        <w:pStyle w:val="Heading1"/>
        <w:jc w:val="both"/>
      </w:pPr>
      <w:bookmarkStart w:id="0" w:name="_Toc227978642"/>
      <w:r w:rsidRPr="0080696C">
        <w:lastRenderedPageBreak/>
        <w:t>Executive Summary</w:t>
      </w:r>
      <w:bookmarkEnd w:id="0"/>
    </w:p>
    <w:p w14:paraId="254BF115" w14:textId="4630DAD7" w:rsidR="0094302D" w:rsidRPr="0094302D" w:rsidRDefault="00EE7423" w:rsidP="0094302D">
      <w:pPr>
        <w:jc w:val="both"/>
      </w:pPr>
      <w:r w:rsidRPr="00EE7423">
        <w:t>The risk vectors posed by the international viability of Alibaba in 2025-2030</w:t>
      </w:r>
      <w:r w:rsidR="00070630">
        <w:t>, through our analysis of the Board of the company,</w:t>
      </w:r>
      <w:r w:rsidRPr="00EE7423">
        <w:t xml:space="preserve"> include fragmentation of data governance among the UK, EU, and China; geopolitical isolationist measures of Chinese platform infrastructure; and the lack of structural trust between enterprise customers and post-technical compliance. The critical findings of this analysis are that Alibaba </w:t>
      </w:r>
      <w:r w:rsidR="00070630">
        <w:t>International Cloud is not legally segregated from Chinese infrastructure, which</w:t>
      </w:r>
      <w:r w:rsidRPr="00EE7423">
        <w:t xml:space="preserve"> puts GDPR compliance at risk. The divergence between regulations in the UK and the EU means more complexity in the operations of the European data flows after 2025. </w:t>
      </w:r>
      <w:r w:rsidR="00070630">
        <w:t>China's AI governance, as provided under PIPL and 2023,</w:t>
      </w:r>
      <w:r w:rsidRPr="00EE7423">
        <w:t xml:space="preserve"> creates reputational and legal liability on an international level. The suggested methods can be: Have </w:t>
      </w:r>
      <w:r w:rsidR="00070630">
        <w:t xml:space="preserve">an </w:t>
      </w:r>
      <w:r w:rsidRPr="00EE7423">
        <w:t xml:space="preserve">independent international data governance entity that does not relate to Chinese infrastructure to abide by GDPR. Establish ethics frameworks in AI </w:t>
      </w:r>
      <w:r w:rsidR="00070630">
        <w:t xml:space="preserve">that are </w:t>
      </w:r>
      <w:r w:rsidRPr="00EE7423">
        <w:t>audited according to UNESCO and OECD standards that identify international operations. Enlist UK</w:t>
      </w:r>
      <w:r w:rsidR="00070630">
        <w:t>, EU,</w:t>
      </w:r>
      <w:r w:rsidRPr="00EE7423">
        <w:t xml:space="preserve"> and ASEAN regulators to make Alibaba a collaborative regulatory partner. The perpetuated obscurity of governance accelerates the localisation demands</w:t>
      </w:r>
      <w:r w:rsidR="00070630">
        <w:t>, generates enforcement risks, and restricts Alibaba's</w:t>
      </w:r>
      <w:r w:rsidRPr="00EE7423">
        <w:t xml:space="preserve"> enterprise access in major markets.</w:t>
      </w:r>
    </w:p>
    <w:p w14:paraId="6B081102" w14:textId="77777777" w:rsidR="0080696C" w:rsidRPr="0080696C" w:rsidRDefault="0080696C" w:rsidP="0094302D">
      <w:pPr>
        <w:jc w:val="both"/>
      </w:pPr>
      <w:r w:rsidRPr="0080696C">
        <w:t>At a Glance: Risk Dashboard</w:t>
      </w:r>
    </w:p>
    <w:tbl>
      <w:tblPr>
        <w:tblStyle w:val="GridTable1Light"/>
        <w:tblW w:w="0" w:type="auto"/>
        <w:tblLook w:val="04A0" w:firstRow="1" w:lastRow="0" w:firstColumn="1" w:lastColumn="0" w:noHBand="0" w:noVBand="1"/>
      </w:tblPr>
      <w:tblGrid>
        <w:gridCol w:w="4562"/>
        <w:gridCol w:w="1324"/>
        <w:gridCol w:w="1030"/>
        <w:gridCol w:w="1030"/>
        <w:gridCol w:w="1070"/>
      </w:tblGrid>
      <w:tr w:rsidR="0080696C" w:rsidRPr="0080696C" w14:paraId="56FA2454" w14:textId="77777777" w:rsidTr="009430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8177D5" w14:textId="77777777" w:rsidR="0080696C" w:rsidRPr="0080696C" w:rsidRDefault="0080696C" w:rsidP="0044136C">
            <w:pPr>
              <w:spacing w:after="120"/>
              <w:jc w:val="both"/>
            </w:pPr>
            <w:r w:rsidRPr="0080696C">
              <w:t>Risk Area</w:t>
            </w:r>
          </w:p>
        </w:tc>
        <w:tc>
          <w:tcPr>
            <w:tcW w:w="0" w:type="auto"/>
            <w:hideMark/>
          </w:tcPr>
          <w:p w14:paraId="14DEF4D5" w14:textId="77777777" w:rsidR="0080696C" w:rsidRPr="0080696C" w:rsidRDefault="0080696C" w:rsidP="0044136C">
            <w:pPr>
              <w:spacing w:after="120"/>
              <w:jc w:val="both"/>
              <w:cnfStyle w:val="100000000000" w:firstRow="1" w:lastRow="0" w:firstColumn="0" w:lastColumn="0" w:oddVBand="0" w:evenVBand="0" w:oddHBand="0" w:evenHBand="0" w:firstRowFirstColumn="0" w:firstRowLastColumn="0" w:lastRowFirstColumn="0" w:lastRowLastColumn="0"/>
            </w:pPr>
            <w:r w:rsidRPr="0080696C">
              <w:t>Likelihood</w:t>
            </w:r>
          </w:p>
        </w:tc>
        <w:tc>
          <w:tcPr>
            <w:tcW w:w="0" w:type="auto"/>
            <w:hideMark/>
          </w:tcPr>
          <w:p w14:paraId="486349AC" w14:textId="77777777" w:rsidR="0080696C" w:rsidRPr="0080696C" w:rsidRDefault="0080696C" w:rsidP="0044136C">
            <w:pPr>
              <w:spacing w:after="120"/>
              <w:jc w:val="both"/>
              <w:cnfStyle w:val="100000000000" w:firstRow="1" w:lastRow="0" w:firstColumn="0" w:lastColumn="0" w:oddVBand="0" w:evenVBand="0" w:oddHBand="0" w:evenHBand="0" w:firstRowFirstColumn="0" w:firstRowLastColumn="0" w:lastRowFirstColumn="0" w:lastRowLastColumn="0"/>
            </w:pPr>
            <w:r w:rsidRPr="0080696C">
              <w:t>Impact</w:t>
            </w:r>
          </w:p>
        </w:tc>
        <w:tc>
          <w:tcPr>
            <w:tcW w:w="0" w:type="auto"/>
            <w:hideMark/>
          </w:tcPr>
          <w:p w14:paraId="240E3177" w14:textId="77777777" w:rsidR="0080696C" w:rsidRPr="0080696C" w:rsidRDefault="0080696C" w:rsidP="0044136C">
            <w:pPr>
              <w:spacing w:after="120"/>
              <w:jc w:val="both"/>
              <w:cnfStyle w:val="100000000000" w:firstRow="1" w:lastRow="0" w:firstColumn="0" w:lastColumn="0" w:oddVBand="0" w:evenVBand="0" w:oddHBand="0" w:evenHBand="0" w:firstRowFirstColumn="0" w:firstRowLastColumn="0" w:lastRowFirstColumn="0" w:lastRowLastColumn="0"/>
            </w:pPr>
            <w:r w:rsidRPr="0080696C">
              <w:t>Overall</w:t>
            </w:r>
          </w:p>
        </w:tc>
        <w:tc>
          <w:tcPr>
            <w:tcW w:w="0" w:type="auto"/>
            <w:hideMark/>
          </w:tcPr>
          <w:p w14:paraId="4F8C5DDF" w14:textId="77777777" w:rsidR="0080696C" w:rsidRPr="0080696C" w:rsidRDefault="0080696C" w:rsidP="0044136C">
            <w:pPr>
              <w:spacing w:after="120"/>
              <w:jc w:val="both"/>
              <w:cnfStyle w:val="100000000000" w:firstRow="1" w:lastRow="0" w:firstColumn="0" w:lastColumn="0" w:oddVBand="0" w:evenVBand="0" w:oddHBand="0" w:evenHBand="0" w:firstRowFirstColumn="0" w:firstRowLastColumn="0" w:lastRowFirstColumn="0" w:lastRowLastColumn="0"/>
            </w:pPr>
            <w:r w:rsidRPr="0080696C">
              <w:t>Status</w:t>
            </w:r>
          </w:p>
        </w:tc>
      </w:tr>
      <w:tr w:rsidR="0080696C" w:rsidRPr="0080696C" w14:paraId="7C12B0DE" w14:textId="77777777" w:rsidTr="0094302D">
        <w:tc>
          <w:tcPr>
            <w:cnfStyle w:val="001000000000" w:firstRow="0" w:lastRow="0" w:firstColumn="1" w:lastColumn="0" w:oddVBand="0" w:evenVBand="0" w:oddHBand="0" w:evenHBand="0" w:firstRowFirstColumn="0" w:firstRowLastColumn="0" w:lastRowFirstColumn="0" w:lastRowLastColumn="0"/>
            <w:tcW w:w="0" w:type="auto"/>
            <w:hideMark/>
          </w:tcPr>
          <w:p w14:paraId="55508F12" w14:textId="77777777" w:rsidR="0080696C" w:rsidRPr="0080696C" w:rsidRDefault="0080696C" w:rsidP="0044136C">
            <w:pPr>
              <w:spacing w:after="120"/>
              <w:jc w:val="both"/>
            </w:pPr>
            <w:r w:rsidRPr="0080696C">
              <w:t>UK adequacy decision expiry impact on data flows</w:t>
            </w:r>
          </w:p>
        </w:tc>
        <w:tc>
          <w:tcPr>
            <w:tcW w:w="0" w:type="auto"/>
            <w:hideMark/>
          </w:tcPr>
          <w:p w14:paraId="0E8D763D"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High</w:t>
            </w:r>
          </w:p>
        </w:tc>
        <w:tc>
          <w:tcPr>
            <w:tcW w:w="0" w:type="auto"/>
            <w:hideMark/>
          </w:tcPr>
          <w:p w14:paraId="63FDCDB0"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High</w:t>
            </w:r>
          </w:p>
        </w:tc>
        <w:tc>
          <w:tcPr>
            <w:tcW w:w="0" w:type="auto"/>
            <w:hideMark/>
          </w:tcPr>
          <w:p w14:paraId="1AC8B660"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Critical</w:t>
            </w:r>
          </w:p>
        </w:tc>
        <w:tc>
          <w:tcPr>
            <w:tcW w:w="0" w:type="auto"/>
            <w:hideMark/>
          </w:tcPr>
          <w:p w14:paraId="210947C2"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RED</w:t>
            </w:r>
          </w:p>
        </w:tc>
      </w:tr>
      <w:tr w:rsidR="0080696C" w:rsidRPr="0080696C" w14:paraId="72018213" w14:textId="77777777" w:rsidTr="0094302D">
        <w:tc>
          <w:tcPr>
            <w:cnfStyle w:val="001000000000" w:firstRow="0" w:lastRow="0" w:firstColumn="1" w:lastColumn="0" w:oddVBand="0" w:evenVBand="0" w:oddHBand="0" w:evenHBand="0" w:firstRowFirstColumn="0" w:firstRowLastColumn="0" w:lastRowFirstColumn="0" w:lastRowLastColumn="0"/>
            <w:tcW w:w="0" w:type="auto"/>
            <w:hideMark/>
          </w:tcPr>
          <w:p w14:paraId="74183B37" w14:textId="77777777" w:rsidR="0080696C" w:rsidRPr="0080696C" w:rsidRDefault="0080696C" w:rsidP="0044136C">
            <w:pPr>
              <w:spacing w:after="120"/>
              <w:jc w:val="both"/>
            </w:pPr>
            <w:r w:rsidRPr="0080696C">
              <w:t>GDPR enforcement action on Alibaba Cloud EU operations</w:t>
            </w:r>
          </w:p>
        </w:tc>
        <w:tc>
          <w:tcPr>
            <w:tcW w:w="0" w:type="auto"/>
            <w:hideMark/>
          </w:tcPr>
          <w:p w14:paraId="60A4B5DF"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High</w:t>
            </w:r>
          </w:p>
        </w:tc>
        <w:tc>
          <w:tcPr>
            <w:tcW w:w="0" w:type="auto"/>
            <w:hideMark/>
          </w:tcPr>
          <w:p w14:paraId="29E226D2"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High</w:t>
            </w:r>
          </w:p>
        </w:tc>
        <w:tc>
          <w:tcPr>
            <w:tcW w:w="0" w:type="auto"/>
            <w:hideMark/>
          </w:tcPr>
          <w:p w14:paraId="63F814F6"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Critical</w:t>
            </w:r>
          </w:p>
        </w:tc>
        <w:tc>
          <w:tcPr>
            <w:tcW w:w="0" w:type="auto"/>
            <w:hideMark/>
          </w:tcPr>
          <w:p w14:paraId="3F4916EE"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RED</w:t>
            </w:r>
          </w:p>
        </w:tc>
      </w:tr>
      <w:tr w:rsidR="0080696C" w:rsidRPr="0080696C" w14:paraId="2B3AE8AC" w14:textId="77777777" w:rsidTr="0094302D">
        <w:tc>
          <w:tcPr>
            <w:cnfStyle w:val="001000000000" w:firstRow="0" w:lastRow="0" w:firstColumn="1" w:lastColumn="0" w:oddVBand="0" w:evenVBand="0" w:oddHBand="0" w:evenHBand="0" w:firstRowFirstColumn="0" w:firstRowLastColumn="0" w:lastRowFirstColumn="0" w:lastRowLastColumn="0"/>
            <w:tcW w:w="0" w:type="auto"/>
            <w:hideMark/>
          </w:tcPr>
          <w:p w14:paraId="3EE7F608" w14:textId="77777777" w:rsidR="0080696C" w:rsidRPr="0080696C" w:rsidRDefault="0080696C" w:rsidP="0044136C">
            <w:pPr>
              <w:spacing w:after="120"/>
              <w:jc w:val="both"/>
            </w:pPr>
            <w:r w:rsidRPr="0080696C">
              <w:t>US Entity List expansion to Alibaba Cloud</w:t>
            </w:r>
          </w:p>
        </w:tc>
        <w:tc>
          <w:tcPr>
            <w:tcW w:w="0" w:type="auto"/>
            <w:hideMark/>
          </w:tcPr>
          <w:p w14:paraId="63D676BB"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Medium</w:t>
            </w:r>
          </w:p>
        </w:tc>
        <w:tc>
          <w:tcPr>
            <w:tcW w:w="0" w:type="auto"/>
            <w:hideMark/>
          </w:tcPr>
          <w:p w14:paraId="3595DE5E"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Critical</w:t>
            </w:r>
          </w:p>
        </w:tc>
        <w:tc>
          <w:tcPr>
            <w:tcW w:w="0" w:type="auto"/>
            <w:hideMark/>
          </w:tcPr>
          <w:p w14:paraId="51808E58"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Critical</w:t>
            </w:r>
          </w:p>
        </w:tc>
        <w:tc>
          <w:tcPr>
            <w:tcW w:w="0" w:type="auto"/>
            <w:hideMark/>
          </w:tcPr>
          <w:p w14:paraId="4BE1A9C6"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RED</w:t>
            </w:r>
          </w:p>
        </w:tc>
      </w:tr>
      <w:tr w:rsidR="0080696C" w:rsidRPr="0080696C" w14:paraId="41680129" w14:textId="77777777" w:rsidTr="0094302D">
        <w:tc>
          <w:tcPr>
            <w:cnfStyle w:val="001000000000" w:firstRow="0" w:lastRow="0" w:firstColumn="1" w:lastColumn="0" w:oddVBand="0" w:evenVBand="0" w:oddHBand="0" w:evenHBand="0" w:firstRowFirstColumn="0" w:firstRowLastColumn="0" w:lastRowFirstColumn="0" w:lastRowLastColumn="0"/>
            <w:tcW w:w="0" w:type="auto"/>
            <w:hideMark/>
          </w:tcPr>
          <w:p w14:paraId="0DFCDCDD" w14:textId="77777777" w:rsidR="0080696C" w:rsidRPr="0080696C" w:rsidRDefault="0080696C" w:rsidP="0044136C">
            <w:pPr>
              <w:spacing w:after="120"/>
              <w:jc w:val="both"/>
            </w:pPr>
            <w:r w:rsidRPr="0080696C">
              <w:t>Host nation data localisation in ASEAN markets</w:t>
            </w:r>
          </w:p>
        </w:tc>
        <w:tc>
          <w:tcPr>
            <w:tcW w:w="0" w:type="auto"/>
            <w:hideMark/>
          </w:tcPr>
          <w:p w14:paraId="38B1BD9D"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High</w:t>
            </w:r>
          </w:p>
        </w:tc>
        <w:tc>
          <w:tcPr>
            <w:tcW w:w="0" w:type="auto"/>
            <w:hideMark/>
          </w:tcPr>
          <w:p w14:paraId="15C3F3C6"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Medium</w:t>
            </w:r>
          </w:p>
        </w:tc>
        <w:tc>
          <w:tcPr>
            <w:tcW w:w="0" w:type="auto"/>
            <w:hideMark/>
          </w:tcPr>
          <w:p w14:paraId="196BAE33"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High</w:t>
            </w:r>
          </w:p>
        </w:tc>
        <w:tc>
          <w:tcPr>
            <w:tcW w:w="0" w:type="auto"/>
            <w:hideMark/>
          </w:tcPr>
          <w:p w14:paraId="5306A801"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AMBER</w:t>
            </w:r>
          </w:p>
        </w:tc>
      </w:tr>
      <w:tr w:rsidR="0080696C" w:rsidRPr="0080696C" w14:paraId="170B86CF" w14:textId="77777777" w:rsidTr="0094302D">
        <w:tc>
          <w:tcPr>
            <w:cnfStyle w:val="001000000000" w:firstRow="0" w:lastRow="0" w:firstColumn="1" w:lastColumn="0" w:oddVBand="0" w:evenVBand="0" w:oddHBand="0" w:evenHBand="0" w:firstRowFirstColumn="0" w:firstRowLastColumn="0" w:lastRowFirstColumn="0" w:lastRowLastColumn="0"/>
            <w:tcW w:w="0" w:type="auto"/>
            <w:hideMark/>
          </w:tcPr>
          <w:p w14:paraId="4E0150B8" w14:textId="77777777" w:rsidR="0080696C" w:rsidRPr="0080696C" w:rsidRDefault="0080696C" w:rsidP="0044136C">
            <w:pPr>
              <w:spacing w:after="120"/>
              <w:jc w:val="both"/>
            </w:pPr>
            <w:r w:rsidRPr="0080696C">
              <w:t>Reputational damage from domestic AI governance associations</w:t>
            </w:r>
          </w:p>
        </w:tc>
        <w:tc>
          <w:tcPr>
            <w:tcW w:w="0" w:type="auto"/>
            <w:hideMark/>
          </w:tcPr>
          <w:p w14:paraId="23827FFB"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High</w:t>
            </w:r>
          </w:p>
        </w:tc>
        <w:tc>
          <w:tcPr>
            <w:tcW w:w="0" w:type="auto"/>
            <w:hideMark/>
          </w:tcPr>
          <w:p w14:paraId="6074918E"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Medium</w:t>
            </w:r>
          </w:p>
        </w:tc>
        <w:tc>
          <w:tcPr>
            <w:tcW w:w="0" w:type="auto"/>
            <w:hideMark/>
          </w:tcPr>
          <w:p w14:paraId="7300D876"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High</w:t>
            </w:r>
          </w:p>
        </w:tc>
        <w:tc>
          <w:tcPr>
            <w:tcW w:w="0" w:type="auto"/>
            <w:hideMark/>
          </w:tcPr>
          <w:p w14:paraId="027D2BF2"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AMBER</w:t>
            </w:r>
          </w:p>
        </w:tc>
      </w:tr>
      <w:tr w:rsidR="0080696C" w:rsidRPr="0080696C" w14:paraId="1A201E2B" w14:textId="77777777" w:rsidTr="0094302D">
        <w:tc>
          <w:tcPr>
            <w:cnfStyle w:val="001000000000" w:firstRow="0" w:lastRow="0" w:firstColumn="1" w:lastColumn="0" w:oddVBand="0" w:evenVBand="0" w:oddHBand="0" w:evenHBand="0" w:firstRowFirstColumn="0" w:firstRowLastColumn="0" w:lastRowFirstColumn="0" w:lastRowLastColumn="0"/>
            <w:tcW w:w="0" w:type="auto"/>
            <w:hideMark/>
          </w:tcPr>
          <w:p w14:paraId="303F66E7" w14:textId="77777777" w:rsidR="0080696C" w:rsidRPr="0080696C" w:rsidRDefault="0080696C" w:rsidP="0044136C">
            <w:pPr>
              <w:spacing w:after="120"/>
              <w:jc w:val="both"/>
            </w:pPr>
            <w:r w:rsidRPr="0080696C">
              <w:t>EU AI Act high-risk classification of Alibaba AI systems</w:t>
            </w:r>
          </w:p>
        </w:tc>
        <w:tc>
          <w:tcPr>
            <w:tcW w:w="0" w:type="auto"/>
            <w:hideMark/>
          </w:tcPr>
          <w:p w14:paraId="0B5B8323"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Medium</w:t>
            </w:r>
          </w:p>
        </w:tc>
        <w:tc>
          <w:tcPr>
            <w:tcW w:w="0" w:type="auto"/>
            <w:hideMark/>
          </w:tcPr>
          <w:p w14:paraId="50C299AD"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High</w:t>
            </w:r>
          </w:p>
        </w:tc>
        <w:tc>
          <w:tcPr>
            <w:tcW w:w="0" w:type="auto"/>
            <w:hideMark/>
          </w:tcPr>
          <w:p w14:paraId="548E5205"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High</w:t>
            </w:r>
          </w:p>
        </w:tc>
        <w:tc>
          <w:tcPr>
            <w:tcW w:w="0" w:type="auto"/>
            <w:hideMark/>
          </w:tcPr>
          <w:p w14:paraId="72ED714A"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AMBER</w:t>
            </w:r>
          </w:p>
        </w:tc>
      </w:tr>
      <w:tr w:rsidR="0080696C" w:rsidRPr="0080696C" w14:paraId="224F2245" w14:textId="77777777" w:rsidTr="0094302D">
        <w:tc>
          <w:tcPr>
            <w:cnfStyle w:val="001000000000" w:firstRow="0" w:lastRow="0" w:firstColumn="1" w:lastColumn="0" w:oddVBand="0" w:evenVBand="0" w:oddHBand="0" w:evenHBand="0" w:firstRowFirstColumn="0" w:firstRowLastColumn="0" w:lastRowFirstColumn="0" w:lastRowLastColumn="0"/>
            <w:tcW w:w="0" w:type="auto"/>
            <w:hideMark/>
          </w:tcPr>
          <w:p w14:paraId="5D321BE1" w14:textId="77777777" w:rsidR="0080696C" w:rsidRPr="0080696C" w:rsidRDefault="0080696C" w:rsidP="0044136C">
            <w:pPr>
              <w:spacing w:after="120"/>
              <w:jc w:val="both"/>
            </w:pPr>
            <w:r w:rsidRPr="0080696C">
              <w:t>UK AI White Paper vs EU AI Act compliance divergence</w:t>
            </w:r>
          </w:p>
        </w:tc>
        <w:tc>
          <w:tcPr>
            <w:tcW w:w="0" w:type="auto"/>
            <w:hideMark/>
          </w:tcPr>
          <w:p w14:paraId="666472C8"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Medium</w:t>
            </w:r>
          </w:p>
        </w:tc>
        <w:tc>
          <w:tcPr>
            <w:tcW w:w="0" w:type="auto"/>
            <w:hideMark/>
          </w:tcPr>
          <w:p w14:paraId="36946003"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Medium</w:t>
            </w:r>
          </w:p>
        </w:tc>
        <w:tc>
          <w:tcPr>
            <w:tcW w:w="0" w:type="auto"/>
            <w:hideMark/>
          </w:tcPr>
          <w:p w14:paraId="75342881"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Medium</w:t>
            </w:r>
          </w:p>
        </w:tc>
        <w:tc>
          <w:tcPr>
            <w:tcW w:w="0" w:type="auto"/>
            <w:hideMark/>
          </w:tcPr>
          <w:p w14:paraId="6D02DFC3"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AMBER</w:t>
            </w:r>
          </w:p>
        </w:tc>
      </w:tr>
      <w:tr w:rsidR="0080696C" w:rsidRPr="0080696C" w14:paraId="4093E318" w14:textId="77777777" w:rsidTr="0094302D">
        <w:tc>
          <w:tcPr>
            <w:cnfStyle w:val="001000000000" w:firstRow="0" w:lastRow="0" w:firstColumn="1" w:lastColumn="0" w:oddVBand="0" w:evenVBand="0" w:oddHBand="0" w:evenHBand="0" w:firstRowFirstColumn="0" w:firstRowLastColumn="0" w:lastRowFirstColumn="0" w:lastRowLastColumn="0"/>
            <w:tcW w:w="0" w:type="auto"/>
            <w:hideMark/>
          </w:tcPr>
          <w:p w14:paraId="50E2703B" w14:textId="77777777" w:rsidR="0080696C" w:rsidRPr="0080696C" w:rsidRDefault="0080696C" w:rsidP="0044136C">
            <w:pPr>
              <w:spacing w:after="120"/>
              <w:jc w:val="both"/>
            </w:pPr>
            <w:r w:rsidRPr="0080696C">
              <w:t>Data colonialism perception in emerging markets</w:t>
            </w:r>
          </w:p>
        </w:tc>
        <w:tc>
          <w:tcPr>
            <w:tcW w:w="0" w:type="auto"/>
            <w:hideMark/>
          </w:tcPr>
          <w:p w14:paraId="19F865FF"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Medium</w:t>
            </w:r>
          </w:p>
        </w:tc>
        <w:tc>
          <w:tcPr>
            <w:tcW w:w="0" w:type="auto"/>
            <w:hideMark/>
          </w:tcPr>
          <w:p w14:paraId="696DA3F4"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Medium</w:t>
            </w:r>
          </w:p>
        </w:tc>
        <w:tc>
          <w:tcPr>
            <w:tcW w:w="0" w:type="auto"/>
            <w:hideMark/>
          </w:tcPr>
          <w:p w14:paraId="2E37A9F3"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Medium</w:t>
            </w:r>
          </w:p>
        </w:tc>
        <w:tc>
          <w:tcPr>
            <w:tcW w:w="0" w:type="auto"/>
            <w:hideMark/>
          </w:tcPr>
          <w:p w14:paraId="287F8EBE" w14:textId="77777777" w:rsidR="0080696C" w:rsidRPr="0080696C" w:rsidRDefault="0080696C" w:rsidP="0044136C">
            <w:pPr>
              <w:spacing w:after="120"/>
              <w:jc w:val="both"/>
              <w:cnfStyle w:val="000000000000" w:firstRow="0" w:lastRow="0" w:firstColumn="0" w:lastColumn="0" w:oddVBand="0" w:evenVBand="0" w:oddHBand="0" w:evenHBand="0" w:firstRowFirstColumn="0" w:firstRowLastColumn="0" w:lastRowFirstColumn="0" w:lastRowLastColumn="0"/>
            </w:pPr>
            <w:r w:rsidRPr="0080696C">
              <w:t>AMBER</w:t>
            </w:r>
          </w:p>
        </w:tc>
      </w:tr>
    </w:tbl>
    <w:p w14:paraId="047BE1EB" w14:textId="639F1473" w:rsidR="0080696C" w:rsidRPr="0080696C" w:rsidRDefault="0080696C" w:rsidP="0094302D">
      <w:pPr>
        <w:jc w:val="both"/>
      </w:pPr>
    </w:p>
    <w:p w14:paraId="03399B4D" w14:textId="77777777" w:rsidR="0080696C" w:rsidRDefault="0080696C" w:rsidP="0094302D">
      <w:pPr>
        <w:jc w:val="both"/>
      </w:pPr>
      <w:r>
        <w:br w:type="page"/>
      </w:r>
    </w:p>
    <w:sdt>
      <w:sdtPr>
        <w:rPr>
          <w:rFonts w:ascii="Times New Roman" w:eastAsiaTheme="minorHAnsi" w:hAnsi="Times New Roman" w:cstheme="minorBidi"/>
          <w:color w:val="auto"/>
          <w:kern w:val="2"/>
          <w:sz w:val="24"/>
          <w:szCs w:val="24"/>
          <w:lang w:val="en-GB"/>
          <w14:ligatures w14:val="standardContextual"/>
        </w:rPr>
        <w:id w:val="1417437289"/>
        <w:docPartObj>
          <w:docPartGallery w:val="Table of Contents"/>
          <w:docPartUnique/>
        </w:docPartObj>
      </w:sdtPr>
      <w:sdtEndPr>
        <w:rPr>
          <w:b/>
          <w:bCs/>
          <w:noProof/>
        </w:rPr>
      </w:sdtEndPr>
      <w:sdtContent>
        <w:p w14:paraId="7C375C31" w14:textId="45CB7B19" w:rsidR="0094302D" w:rsidRPr="0094302D" w:rsidRDefault="0094302D" w:rsidP="0094302D">
          <w:pPr>
            <w:pStyle w:val="TOCHeading"/>
            <w:jc w:val="center"/>
            <w:rPr>
              <w:rFonts w:ascii="Times New Roman" w:hAnsi="Times New Roman" w:cs="Times New Roman"/>
              <w:b/>
              <w:bCs/>
              <w:i/>
              <w:iCs/>
              <w:color w:val="000000" w:themeColor="text1"/>
            </w:rPr>
          </w:pPr>
          <w:r w:rsidRPr="0094302D">
            <w:rPr>
              <w:rFonts w:ascii="Times New Roman" w:hAnsi="Times New Roman" w:cs="Times New Roman"/>
              <w:b/>
              <w:bCs/>
              <w:i/>
              <w:iCs/>
              <w:color w:val="000000" w:themeColor="text1"/>
            </w:rPr>
            <w:t>Table of Contents</w:t>
          </w:r>
        </w:p>
        <w:p w14:paraId="40BE75CD" w14:textId="49EC4FD8" w:rsidR="00FE5712" w:rsidRDefault="0094302D">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7978642" w:history="1">
            <w:r w:rsidR="00FE5712" w:rsidRPr="0078788A">
              <w:rPr>
                <w:rStyle w:val="Hyperlink"/>
                <w:noProof/>
              </w:rPr>
              <w:t>Executive Summary</w:t>
            </w:r>
            <w:r w:rsidR="00FE5712">
              <w:rPr>
                <w:noProof/>
                <w:webHidden/>
              </w:rPr>
              <w:tab/>
            </w:r>
            <w:r w:rsidR="00FE5712">
              <w:rPr>
                <w:noProof/>
                <w:webHidden/>
              </w:rPr>
              <w:fldChar w:fldCharType="begin"/>
            </w:r>
            <w:r w:rsidR="00FE5712">
              <w:rPr>
                <w:noProof/>
                <w:webHidden/>
              </w:rPr>
              <w:instrText xml:space="preserve"> PAGEREF _Toc227978642 \h </w:instrText>
            </w:r>
            <w:r w:rsidR="00FE5712">
              <w:rPr>
                <w:noProof/>
                <w:webHidden/>
              </w:rPr>
            </w:r>
            <w:r w:rsidR="00FE5712">
              <w:rPr>
                <w:noProof/>
                <w:webHidden/>
              </w:rPr>
              <w:fldChar w:fldCharType="separate"/>
            </w:r>
            <w:r w:rsidR="00FE5712">
              <w:rPr>
                <w:noProof/>
                <w:webHidden/>
              </w:rPr>
              <w:t>2</w:t>
            </w:r>
            <w:r w:rsidR="00FE5712">
              <w:rPr>
                <w:noProof/>
                <w:webHidden/>
              </w:rPr>
              <w:fldChar w:fldCharType="end"/>
            </w:r>
          </w:hyperlink>
        </w:p>
        <w:p w14:paraId="65BA08F8" w14:textId="205A4267" w:rsidR="00FE5712" w:rsidRDefault="00CF5215">
          <w:pPr>
            <w:pStyle w:val="TOC1"/>
            <w:tabs>
              <w:tab w:val="right" w:leader="dot" w:pos="9350"/>
            </w:tabs>
            <w:rPr>
              <w:rFonts w:asciiTheme="minorHAnsi" w:eastAsiaTheme="minorEastAsia" w:hAnsiTheme="minorHAnsi"/>
              <w:noProof/>
              <w:lang w:eastAsia="en-GB"/>
            </w:rPr>
          </w:pPr>
          <w:hyperlink w:anchor="_Toc227978643" w:history="1">
            <w:r w:rsidR="00FE5712" w:rsidRPr="0078788A">
              <w:rPr>
                <w:rStyle w:val="Hyperlink"/>
                <w:noProof/>
              </w:rPr>
              <w:t>Introduction</w:t>
            </w:r>
            <w:r w:rsidR="00FE5712">
              <w:rPr>
                <w:noProof/>
                <w:webHidden/>
              </w:rPr>
              <w:tab/>
            </w:r>
            <w:r w:rsidR="00FE5712">
              <w:rPr>
                <w:noProof/>
                <w:webHidden/>
              </w:rPr>
              <w:fldChar w:fldCharType="begin"/>
            </w:r>
            <w:r w:rsidR="00FE5712">
              <w:rPr>
                <w:noProof/>
                <w:webHidden/>
              </w:rPr>
              <w:instrText xml:space="preserve"> PAGEREF _Toc227978643 \h </w:instrText>
            </w:r>
            <w:r w:rsidR="00FE5712">
              <w:rPr>
                <w:noProof/>
                <w:webHidden/>
              </w:rPr>
            </w:r>
            <w:r w:rsidR="00FE5712">
              <w:rPr>
                <w:noProof/>
                <w:webHidden/>
              </w:rPr>
              <w:fldChar w:fldCharType="separate"/>
            </w:r>
            <w:r w:rsidR="00FE5712">
              <w:rPr>
                <w:noProof/>
                <w:webHidden/>
              </w:rPr>
              <w:t>4</w:t>
            </w:r>
            <w:r w:rsidR="00FE5712">
              <w:rPr>
                <w:noProof/>
                <w:webHidden/>
              </w:rPr>
              <w:fldChar w:fldCharType="end"/>
            </w:r>
          </w:hyperlink>
        </w:p>
        <w:p w14:paraId="2CF70795" w14:textId="6B9211C3" w:rsidR="00FE5712" w:rsidRDefault="00CF5215">
          <w:pPr>
            <w:pStyle w:val="TOC1"/>
            <w:tabs>
              <w:tab w:val="right" w:leader="dot" w:pos="9350"/>
            </w:tabs>
            <w:rPr>
              <w:rFonts w:asciiTheme="minorHAnsi" w:eastAsiaTheme="minorEastAsia" w:hAnsiTheme="minorHAnsi"/>
              <w:noProof/>
              <w:lang w:eastAsia="en-GB"/>
            </w:rPr>
          </w:pPr>
          <w:hyperlink w:anchor="_Toc227978644" w:history="1">
            <w:r w:rsidR="00FE5712" w:rsidRPr="0078788A">
              <w:rPr>
                <w:rStyle w:val="Hyperlink"/>
                <w:noProof/>
              </w:rPr>
              <w:t>Main Findings</w:t>
            </w:r>
            <w:r w:rsidR="00FE5712">
              <w:rPr>
                <w:noProof/>
                <w:webHidden/>
              </w:rPr>
              <w:tab/>
            </w:r>
            <w:r w:rsidR="00FE5712">
              <w:rPr>
                <w:noProof/>
                <w:webHidden/>
              </w:rPr>
              <w:fldChar w:fldCharType="begin"/>
            </w:r>
            <w:r w:rsidR="00FE5712">
              <w:rPr>
                <w:noProof/>
                <w:webHidden/>
              </w:rPr>
              <w:instrText xml:space="preserve"> PAGEREF _Toc227978644 \h </w:instrText>
            </w:r>
            <w:r w:rsidR="00FE5712">
              <w:rPr>
                <w:noProof/>
                <w:webHidden/>
              </w:rPr>
            </w:r>
            <w:r w:rsidR="00FE5712">
              <w:rPr>
                <w:noProof/>
                <w:webHidden/>
              </w:rPr>
              <w:fldChar w:fldCharType="separate"/>
            </w:r>
            <w:r w:rsidR="00FE5712">
              <w:rPr>
                <w:noProof/>
                <w:webHidden/>
              </w:rPr>
              <w:t>4</w:t>
            </w:r>
            <w:r w:rsidR="00FE5712">
              <w:rPr>
                <w:noProof/>
                <w:webHidden/>
              </w:rPr>
              <w:fldChar w:fldCharType="end"/>
            </w:r>
          </w:hyperlink>
        </w:p>
        <w:p w14:paraId="1BEAB1C7" w14:textId="380C31D9" w:rsidR="00FE5712" w:rsidRDefault="00CF5215">
          <w:pPr>
            <w:pStyle w:val="TOC2"/>
            <w:tabs>
              <w:tab w:val="right" w:leader="dot" w:pos="9350"/>
            </w:tabs>
            <w:rPr>
              <w:rFonts w:asciiTheme="minorHAnsi" w:eastAsiaTheme="minorEastAsia" w:hAnsiTheme="minorHAnsi"/>
              <w:noProof/>
              <w:lang w:eastAsia="en-GB"/>
            </w:rPr>
          </w:pPr>
          <w:hyperlink w:anchor="_Toc227978645" w:history="1">
            <w:r w:rsidR="00FE5712" w:rsidRPr="0078788A">
              <w:rPr>
                <w:rStyle w:val="Hyperlink"/>
                <w:noProof/>
              </w:rPr>
              <w:t>PESTLE Analysis</w:t>
            </w:r>
            <w:r w:rsidR="00FE5712">
              <w:rPr>
                <w:noProof/>
                <w:webHidden/>
              </w:rPr>
              <w:tab/>
            </w:r>
            <w:r w:rsidR="00FE5712">
              <w:rPr>
                <w:noProof/>
                <w:webHidden/>
              </w:rPr>
              <w:fldChar w:fldCharType="begin"/>
            </w:r>
            <w:r w:rsidR="00FE5712">
              <w:rPr>
                <w:noProof/>
                <w:webHidden/>
              </w:rPr>
              <w:instrText xml:space="preserve"> PAGEREF _Toc227978645 \h </w:instrText>
            </w:r>
            <w:r w:rsidR="00FE5712">
              <w:rPr>
                <w:noProof/>
                <w:webHidden/>
              </w:rPr>
            </w:r>
            <w:r w:rsidR="00FE5712">
              <w:rPr>
                <w:noProof/>
                <w:webHidden/>
              </w:rPr>
              <w:fldChar w:fldCharType="separate"/>
            </w:r>
            <w:r w:rsidR="00FE5712">
              <w:rPr>
                <w:noProof/>
                <w:webHidden/>
              </w:rPr>
              <w:t>4</w:t>
            </w:r>
            <w:r w:rsidR="00FE5712">
              <w:rPr>
                <w:noProof/>
                <w:webHidden/>
              </w:rPr>
              <w:fldChar w:fldCharType="end"/>
            </w:r>
          </w:hyperlink>
        </w:p>
        <w:p w14:paraId="15B2E02F" w14:textId="438C82BD" w:rsidR="00FE5712" w:rsidRDefault="00CF5215">
          <w:pPr>
            <w:pStyle w:val="TOC2"/>
            <w:tabs>
              <w:tab w:val="right" w:leader="dot" w:pos="9350"/>
            </w:tabs>
            <w:rPr>
              <w:rFonts w:asciiTheme="minorHAnsi" w:eastAsiaTheme="minorEastAsia" w:hAnsiTheme="minorHAnsi"/>
              <w:noProof/>
              <w:lang w:eastAsia="en-GB"/>
            </w:rPr>
          </w:pPr>
          <w:hyperlink w:anchor="_Toc227978646" w:history="1">
            <w:r w:rsidR="00FE5712" w:rsidRPr="0078788A">
              <w:rPr>
                <w:rStyle w:val="Hyperlink"/>
                <w:noProof/>
              </w:rPr>
              <w:t>Alibaba as a Digital Ecosystem Orchestrator</w:t>
            </w:r>
            <w:r w:rsidR="00FE5712">
              <w:rPr>
                <w:noProof/>
                <w:webHidden/>
              </w:rPr>
              <w:tab/>
            </w:r>
            <w:r w:rsidR="00FE5712">
              <w:rPr>
                <w:noProof/>
                <w:webHidden/>
              </w:rPr>
              <w:fldChar w:fldCharType="begin"/>
            </w:r>
            <w:r w:rsidR="00FE5712">
              <w:rPr>
                <w:noProof/>
                <w:webHidden/>
              </w:rPr>
              <w:instrText xml:space="preserve"> PAGEREF _Toc227978646 \h </w:instrText>
            </w:r>
            <w:r w:rsidR="00FE5712">
              <w:rPr>
                <w:noProof/>
                <w:webHidden/>
              </w:rPr>
            </w:r>
            <w:r w:rsidR="00FE5712">
              <w:rPr>
                <w:noProof/>
                <w:webHidden/>
              </w:rPr>
              <w:fldChar w:fldCharType="separate"/>
            </w:r>
            <w:r w:rsidR="00FE5712">
              <w:rPr>
                <w:noProof/>
                <w:webHidden/>
              </w:rPr>
              <w:t>6</w:t>
            </w:r>
            <w:r w:rsidR="00FE5712">
              <w:rPr>
                <w:noProof/>
                <w:webHidden/>
              </w:rPr>
              <w:fldChar w:fldCharType="end"/>
            </w:r>
          </w:hyperlink>
        </w:p>
        <w:p w14:paraId="0A4F2A18" w14:textId="59FFE1A0" w:rsidR="00FE5712" w:rsidRDefault="00CF5215">
          <w:pPr>
            <w:pStyle w:val="TOC3"/>
            <w:tabs>
              <w:tab w:val="right" w:leader="dot" w:pos="9350"/>
            </w:tabs>
            <w:rPr>
              <w:rFonts w:asciiTheme="minorHAnsi" w:eastAsiaTheme="minorEastAsia" w:hAnsiTheme="minorHAnsi"/>
              <w:noProof/>
              <w:lang w:eastAsia="en-GB"/>
            </w:rPr>
          </w:pPr>
          <w:hyperlink w:anchor="_Toc227978647" w:history="1">
            <w:r w:rsidR="00FE5712" w:rsidRPr="0078788A">
              <w:rPr>
                <w:rStyle w:val="Hyperlink"/>
                <w:noProof/>
              </w:rPr>
              <w:t>The Porter’s Five Forces Analysis in the case of Alibaba</w:t>
            </w:r>
            <w:r w:rsidR="00FE5712">
              <w:rPr>
                <w:noProof/>
                <w:webHidden/>
              </w:rPr>
              <w:tab/>
            </w:r>
            <w:r w:rsidR="00FE5712">
              <w:rPr>
                <w:noProof/>
                <w:webHidden/>
              </w:rPr>
              <w:fldChar w:fldCharType="begin"/>
            </w:r>
            <w:r w:rsidR="00FE5712">
              <w:rPr>
                <w:noProof/>
                <w:webHidden/>
              </w:rPr>
              <w:instrText xml:space="preserve"> PAGEREF _Toc227978647 \h </w:instrText>
            </w:r>
            <w:r w:rsidR="00FE5712">
              <w:rPr>
                <w:noProof/>
                <w:webHidden/>
              </w:rPr>
            </w:r>
            <w:r w:rsidR="00FE5712">
              <w:rPr>
                <w:noProof/>
                <w:webHidden/>
              </w:rPr>
              <w:fldChar w:fldCharType="separate"/>
            </w:r>
            <w:r w:rsidR="00FE5712">
              <w:rPr>
                <w:noProof/>
                <w:webHidden/>
              </w:rPr>
              <w:t>8</w:t>
            </w:r>
            <w:r w:rsidR="00FE5712">
              <w:rPr>
                <w:noProof/>
                <w:webHidden/>
              </w:rPr>
              <w:fldChar w:fldCharType="end"/>
            </w:r>
          </w:hyperlink>
        </w:p>
        <w:p w14:paraId="1A0E84FB" w14:textId="642DAB3B" w:rsidR="00FE5712" w:rsidRDefault="00CF5215">
          <w:pPr>
            <w:pStyle w:val="TOC2"/>
            <w:tabs>
              <w:tab w:val="right" w:leader="dot" w:pos="9350"/>
            </w:tabs>
            <w:rPr>
              <w:rFonts w:asciiTheme="minorHAnsi" w:eastAsiaTheme="minorEastAsia" w:hAnsiTheme="minorHAnsi"/>
              <w:noProof/>
              <w:lang w:eastAsia="en-GB"/>
            </w:rPr>
          </w:pPr>
          <w:hyperlink w:anchor="_Toc227978648" w:history="1">
            <w:r w:rsidR="00FE5712" w:rsidRPr="0078788A">
              <w:rPr>
                <w:rStyle w:val="Hyperlink"/>
                <w:noProof/>
              </w:rPr>
              <w:t>Data Sovereignty: China's Governance Framework</w:t>
            </w:r>
            <w:r w:rsidR="00FE5712">
              <w:rPr>
                <w:noProof/>
                <w:webHidden/>
              </w:rPr>
              <w:tab/>
            </w:r>
            <w:r w:rsidR="00FE5712">
              <w:rPr>
                <w:noProof/>
                <w:webHidden/>
              </w:rPr>
              <w:fldChar w:fldCharType="begin"/>
            </w:r>
            <w:r w:rsidR="00FE5712">
              <w:rPr>
                <w:noProof/>
                <w:webHidden/>
              </w:rPr>
              <w:instrText xml:space="preserve"> PAGEREF _Toc227978648 \h </w:instrText>
            </w:r>
            <w:r w:rsidR="00FE5712">
              <w:rPr>
                <w:noProof/>
                <w:webHidden/>
              </w:rPr>
            </w:r>
            <w:r w:rsidR="00FE5712">
              <w:rPr>
                <w:noProof/>
                <w:webHidden/>
              </w:rPr>
              <w:fldChar w:fldCharType="separate"/>
            </w:r>
            <w:r w:rsidR="00FE5712">
              <w:rPr>
                <w:noProof/>
                <w:webHidden/>
              </w:rPr>
              <w:t>9</w:t>
            </w:r>
            <w:r w:rsidR="00FE5712">
              <w:rPr>
                <w:noProof/>
                <w:webHidden/>
              </w:rPr>
              <w:fldChar w:fldCharType="end"/>
            </w:r>
          </w:hyperlink>
        </w:p>
        <w:p w14:paraId="3A1055BE" w14:textId="21557CB4" w:rsidR="00FE5712" w:rsidRDefault="00CF5215">
          <w:pPr>
            <w:pStyle w:val="TOC2"/>
            <w:tabs>
              <w:tab w:val="right" w:leader="dot" w:pos="9350"/>
            </w:tabs>
            <w:rPr>
              <w:rFonts w:asciiTheme="minorHAnsi" w:eastAsiaTheme="minorEastAsia" w:hAnsiTheme="minorHAnsi"/>
              <w:noProof/>
              <w:lang w:eastAsia="en-GB"/>
            </w:rPr>
          </w:pPr>
          <w:hyperlink w:anchor="_Toc227978649" w:history="1">
            <w:r w:rsidR="00FE5712" w:rsidRPr="0078788A">
              <w:rPr>
                <w:rStyle w:val="Hyperlink"/>
                <w:noProof/>
              </w:rPr>
              <w:t>UK Regulatory Environment: Divergence, Adequacy, and Enforcement</w:t>
            </w:r>
            <w:r w:rsidR="00FE5712">
              <w:rPr>
                <w:noProof/>
                <w:webHidden/>
              </w:rPr>
              <w:tab/>
            </w:r>
            <w:r w:rsidR="00FE5712">
              <w:rPr>
                <w:noProof/>
                <w:webHidden/>
              </w:rPr>
              <w:fldChar w:fldCharType="begin"/>
            </w:r>
            <w:r w:rsidR="00FE5712">
              <w:rPr>
                <w:noProof/>
                <w:webHidden/>
              </w:rPr>
              <w:instrText xml:space="preserve"> PAGEREF _Toc227978649 \h </w:instrText>
            </w:r>
            <w:r w:rsidR="00FE5712">
              <w:rPr>
                <w:noProof/>
                <w:webHidden/>
              </w:rPr>
            </w:r>
            <w:r w:rsidR="00FE5712">
              <w:rPr>
                <w:noProof/>
                <w:webHidden/>
              </w:rPr>
              <w:fldChar w:fldCharType="separate"/>
            </w:r>
            <w:r w:rsidR="00FE5712">
              <w:rPr>
                <w:noProof/>
                <w:webHidden/>
              </w:rPr>
              <w:t>11</w:t>
            </w:r>
            <w:r w:rsidR="00FE5712">
              <w:rPr>
                <w:noProof/>
                <w:webHidden/>
              </w:rPr>
              <w:fldChar w:fldCharType="end"/>
            </w:r>
          </w:hyperlink>
        </w:p>
        <w:p w14:paraId="1FB63B95" w14:textId="2B2B52E8" w:rsidR="00FE5712" w:rsidRDefault="00CF5215">
          <w:pPr>
            <w:pStyle w:val="TOC2"/>
            <w:tabs>
              <w:tab w:val="right" w:leader="dot" w:pos="9350"/>
            </w:tabs>
            <w:rPr>
              <w:rFonts w:asciiTheme="minorHAnsi" w:eastAsiaTheme="minorEastAsia" w:hAnsiTheme="minorHAnsi"/>
              <w:noProof/>
              <w:lang w:eastAsia="en-GB"/>
            </w:rPr>
          </w:pPr>
          <w:hyperlink w:anchor="_Toc227978650" w:history="1">
            <w:r w:rsidR="00FE5712" w:rsidRPr="0078788A">
              <w:rPr>
                <w:rStyle w:val="Hyperlink"/>
                <w:noProof/>
              </w:rPr>
              <w:t>AI Governance, Ethics, and the Chinese State</w:t>
            </w:r>
            <w:r w:rsidR="00FE5712">
              <w:rPr>
                <w:noProof/>
                <w:webHidden/>
              </w:rPr>
              <w:tab/>
            </w:r>
            <w:r w:rsidR="00FE5712">
              <w:rPr>
                <w:noProof/>
                <w:webHidden/>
              </w:rPr>
              <w:fldChar w:fldCharType="begin"/>
            </w:r>
            <w:r w:rsidR="00FE5712">
              <w:rPr>
                <w:noProof/>
                <w:webHidden/>
              </w:rPr>
              <w:instrText xml:space="preserve"> PAGEREF _Toc227978650 \h </w:instrText>
            </w:r>
            <w:r w:rsidR="00FE5712">
              <w:rPr>
                <w:noProof/>
                <w:webHidden/>
              </w:rPr>
            </w:r>
            <w:r w:rsidR="00FE5712">
              <w:rPr>
                <w:noProof/>
                <w:webHidden/>
              </w:rPr>
              <w:fldChar w:fldCharType="separate"/>
            </w:r>
            <w:r w:rsidR="00FE5712">
              <w:rPr>
                <w:noProof/>
                <w:webHidden/>
              </w:rPr>
              <w:t>12</w:t>
            </w:r>
            <w:r w:rsidR="00FE5712">
              <w:rPr>
                <w:noProof/>
                <w:webHidden/>
              </w:rPr>
              <w:fldChar w:fldCharType="end"/>
            </w:r>
          </w:hyperlink>
        </w:p>
        <w:p w14:paraId="2D1889A3" w14:textId="16DBB2ED" w:rsidR="00FE5712" w:rsidRDefault="00CF5215">
          <w:pPr>
            <w:pStyle w:val="TOC2"/>
            <w:tabs>
              <w:tab w:val="right" w:leader="dot" w:pos="9350"/>
            </w:tabs>
            <w:rPr>
              <w:rFonts w:asciiTheme="minorHAnsi" w:eastAsiaTheme="minorEastAsia" w:hAnsiTheme="minorHAnsi"/>
              <w:noProof/>
              <w:lang w:eastAsia="en-GB"/>
            </w:rPr>
          </w:pPr>
          <w:hyperlink w:anchor="_Toc227978651" w:history="1">
            <w:r w:rsidR="00FE5712" w:rsidRPr="0078788A">
              <w:rPr>
                <w:rStyle w:val="Hyperlink"/>
                <w:noProof/>
              </w:rPr>
              <w:t>Geopolitical Risk and International Expansion</w:t>
            </w:r>
            <w:r w:rsidR="00FE5712">
              <w:rPr>
                <w:noProof/>
                <w:webHidden/>
              </w:rPr>
              <w:tab/>
            </w:r>
            <w:r w:rsidR="00FE5712">
              <w:rPr>
                <w:noProof/>
                <w:webHidden/>
              </w:rPr>
              <w:fldChar w:fldCharType="begin"/>
            </w:r>
            <w:r w:rsidR="00FE5712">
              <w:rPr>
                <w:noProof/>
                <w:webHidden/>
              </w:rPr>
              <w:instrText xml:space="preserve"> PAGEREF _Toc227978651 \h </w:instrText>
            </w:r>
            <w:r w:rsidR="00FE5712">
              <w:rPr>
                <w:noProof/>
                <w:webHidden/>
              </w:rPr>
            </w:r>
            <w:r w:rsidR="00FE5712">
              <w:rPr>
                <w:noProof/>
                <w:webHidden/>
              </w:rPr>
              <w:fldChar w:fldCharType="separate"/>
            </w:r>
            <w:r w:rsidR="00FE5712">
              <w:rPr>
                <w:noProof/>
                <w:webHidden/>
              </w:rPr>
              <w:t>13</w:t>
            </w:r>
            <w:r w:rsidR="00FE5712">
              <w:rPr>
                <w:noProof/>
                <w:webHidden/>
              </w:rPr>
              <w:fldChar w:fldCharType="end"/>
            </w:r>
          </w:hyperlink>
        </w:p>
        <w:p w14:paraId="21650922" w14:textId="17B68AB2" w:rsidR="00FE5712" w:rsidRDefault="00CF5215">
          <w:pPr>
            <w:pStyle w:val="TOC2"/>
            <w:tabs>
              <w:tab w:val="right" w:leader="dot" w:pos="9350"/>
            </w:tabs>
            <w:rPr>
              <w:rFonts w:asciiTheme="minorHAnsi" w:eastAsiaTheme="minorEastAsia" w:hAnsiTheme="minorHAnsi"/>
              <w:noProof/>
              <w:lang w:eastAsia="en-GB"/>
            </w:rPr>
          </w:pPr>
          <w:hyperlink w:anchor="_Toc227978652" w:history="1">
            <w:r w:rsidR="00FE5712" w:rsidRPr="0078788A">
              <w:rPr>
                <w:rStyle w:val="Hyperlink"/>
                <w:noProof/>
              </w:rPr>
              <w:t>Data Colonialism and Emerging Market Contestation</w:t>
            </w:r>
            <w:r w:rsidR="00FE5712">
              <w:rPr>
                <w:noProof/>
                <w:webHidden/>
              </w:rPr>
              <w:tab/>
            </w:r>
            <w:r w:rsidR="00FE5712">
              <w:rPr>
                <w:noProof/>
                <w:webHidden/>
              </w:rPr>
              <w:fldChar w:fldCharType="begin"/>
            </w:r>
            <w:r w:rsidR="00FE5712">
              <w:rPr>
                <w:noProof/>
                <w:webHidden/>
              </w:rPr>
              <w:instrText xml:space="preserve"> PAGEREF _Toc227978652 \h </w:instrText>
            </w:r>
            <w:r w:rsidR="00FE5712">
              <w:rPr>
                <w:noProof/>
                <w:webHidden/>
              </w:rPr>
            </w:r>
            <w:r w:rsidR="00FE5712">
              <w:rPr>
                <w:noProof/>
                <w:webHidden/>
              </w:rPr>
              <w:fldChar w:fldCharType="separate"/>
            </w:r>
            <w:r w:rsidR="00FE5712">
              <w:rPr>
                <w:noProof/>
                <w:webHidden/>
              </w:rPr>
              <w:t>13</w:t>
            </w:r>
            <w:r w:rsidR="00FE5712">
              <w:rPr>
                <w:noProof/>
                <w:webHidden/>
              </w:rPr>
              <w:fldChar w:fldCharType="end"/>
            </w:r>
          </w:hyperlink>
        </w:p>
        <w:p w14:paraId="3C1C2BCD" w14:textId="2BE80D51" w:rsidR="00FE5712" w:rsidRDefault="00CF5215">
          <w:pPr>
            <w:pStyle w:val="TOC1"/>
            <w:tabs>
              <w:tab w:val="right" w:leader="dot" w:pos="9350"/>
            </w:tabs>
            <w:rPr>
              <w:rFonts w:asciiTheme="minorHAnsi" w:eastAsiaTheme="minorEastAsia" w:hAnsiTheme="minorHAnsi"/>
              <w:noProof/>
              <w:lang w:eastAsia="en-GB"/>
            </w:rPr>
          </w:pPr>
          <w:hyperlink w:anchor="_Toc227978653" w:history="1">
            <w:r w:rsidR="00FE5712" w:rsidRPr="0078788A">
              <w:rPr>
                <w:rStyle w:val="Hyperlink"/>
                <w:noProof/>
              </w:rPr>
              <w:t>Risk Register and Scenario Analysis</w:t>
            </w:r>
            <w:r w:rsidR="00FE5712">
              <w:rPr>
                <w:noProof/>
                <w:webHidden/>
              </w:rPr>
              <w:tab/>
            </w:r>
            <w:r w:rsidR="00FE5712">
              <w:rPr>
                <w:noProof/>
                <w:webHidden/>
              </w:rPr>
              <w:fldChar w:fldCharType="begin"/>
            </w:r>
            <w:r w:rsidR="00FE5712">
              <w:rPr>
                <w:noProof/>
                <w:webHidden/>
              </w:rPr>
              <w:instrText xml:space="preserve"> PAGEREF _Toc227978653 \h </w:instrText>
            </w:r>
            <w:r w:rsidR="00FE5712">
              <w:rPr>
                <w:noProof/>
                <w:webHidden/>
              </w:rPr>
            </w:r>
            <w:r w:rsidR="00FE5712">
              <w:rPr>
                <w:noProof/>
                <w:webHidden/>
              </w:rPr>
              <w:fldChar w:fldCharType="separate"/>
            </w:r>
            <w:r w:rsidR="00FE5712">
              <w:rPr>
                <w:noProof/>
                <w:webHidden/>
              </w:rPr>
              <w:t>14</w:t>
            </w:r>
            <w:r w:rsidR="00FE5712">
              <w:rPr>
                <w:noProof/>
                <w:webHidden/>
              </w:rPr>
              <w:fldChar w:fldCharType="end"/>
            </w:r>
          </w:hyperlink>
        </w:p>
        <w:p w14:paraId="1FC93822" w14:textId="23F4BDDD" w:rsidR="00FE5712" w:rsidRDefault="00CF5215">
          <w:pPr>
            <w:pStyle w:val="TOC1"/>
            <w:tabs>
              <w:tab w:val="right" w:leader="dot" w:pos="9350"/>
            </w:tabs>
            <w:rPr>
              <w:rFonts w:asciiTheme="minorHAnsi" w:eastAsiaTheme="minorEastAsia" w:hAnsiTheme="minorHAnsi"/>
              <w:noProof/>
              <w:lang w:eastAsia="en-GB"/>
            </w:rPr>
          </w:pPr>
          <w:hyperlink w:anchor="_Toc227978654" w:history="1">
            <w:r w:rsidR="00FE5712" w:rsidRPr="0078788A">
              <w:rPr>
                <w:rStyle w:val="Hyperlink"/>
                <w:noProof/>
              </w:rPr>
              <w:t>Scenario Analysis</w:t>
            </w:r>
            <w:r w:rsidR="00FE5712">
              <w:rPr>
                <w:noProof/>
                <w:webHidden/>
              </w:rPr>
              <w:tab/>
            </w:r>
            <w:r w:rsidR="00FE5712">
              <w:rPr>
                <w:noProof/>
                <w:webHidden/>
              </w:rPr>
              <w:fldChar w:fldCharType="begin"/>
            </w:r>
            <w:r w:rsidR="00FE5712">
              <w:rPr>
                <w:noProof/>
                <w:webHidden/>
              </w:rPr>
              <w:instrText xml:space="preserve"> PAGEREF _Toc227978654 \h </w:instrText>
            </w:r>
            <w:r w:rsidR="00FE5712">
              <w:rPr>
                <w:noProof/>
                <w:webHidden/>
              </w:rPr>
            </w:r>
            <w:r w:rsidR="00FE5712">
              <w:rPr>
                <w:noProof/>
                <w:webHidden/>
              </w:rPr>
              <w:fldChar w:fldCharType="separate"/>
            </w:r>
            <w:r w:rsidR="00FE5712">
              <w:rPr>
                <w:noProof/>
                <w:webHidden/>
              </w:rPr>
              <w:t>15</w:t>
            </w:r>
            <w:r w:rsidR="00FE5712">
              <w:rPr>
                <w:noProof/>
                <w:webHidden/>
              </w:rPr>
              <w:fldChar w:fldCharType="end"/>
            </w:r>
          </w:hyperlink>
        </w:p>
        <w:p w14:paraId="057B2FF8" w14:textId="38498B16" w:rsidR="00FE5712" w:rsidRDefault="00CF5215">
          <w:pPr>
            <w:pStyle w:val="TOC1"/>
            <w:tabs>
              <w:tab w:val="right" w:leader="dot" w:pos="9350"/>
            </w:tabs>
            <w:rPr>
              <w:rFonts w:asciiTheme="minorHAnsi" w:eastAsiaTheme="minorEastAsia" w:hAnsiTheme="minorHAnsi"/>
              <w:noProof/>
              <w:lang w:eastAsia="en-GB"/>
            </w:rPr>
          </w:pPr>
          <w:hyperlink w:anchor="_Toc227978655" w:history="1">
            <w:r w:rsidR="00FE5712" w:rsidRPr="0078788A">
              <w:rPr>
                <w:rStyle w:val="Hyperlink"/>
                <w:noProof/>
              </w:rPr>
              <w:t>Implementation Plan</w:t>
            </w:r>
            <w:r w:rsidR="00FE5712">
              <w:rPr>
                <w:noProof/>
                <w:webHidden/>
              </w:rPr>
              <w:tab/>
            </w:r>
            <w:r w:rsidR="00FE5712">
              <w:rPr>
                <w:noProof/>
                <w:webHidden/>
              </w:rPr>
              <w:fldChar w:fldCharType="begin"/>
            </w:r>
            <w:r w:rsidR="00FE5712">
              <w:rPr>
                <w:noProof/>
                <w:webHidden/>
              </w:rPr>
              <w:instrText xml:space="preserve"> PAGEREF _Toc227978655 \h </w:instrText>
            </w:r>
            <w:r w:rsidR="00FE5712">
              <w:rPr>
                <w:noProof/>
                <w:webHidden/>
              </w:rPr>
            </w:r>
            <w:r w:rsidR="00FE5712">
              <w:rPr>
                <w:noProof/>
                <w:webHidden/>
              </w:rPr>
              <w:fldChar w:fldCharType="separate"/>
            </w:r>
            <w:r w:rsidR="00FE5712">
              <w:rPr>
                <w:noProof/>
                <w:webHidden/>
              </w:rPr>
              <w:t>16</w:t>
            </w:r>
            <w:r w:rsidR="00FE5712">
              <w:rPr>
                <w:noProof/>
                <w:webHidden/>
              </w:rPr>
              <w:fldChar w:fldCharType="end"/>
            </w:r>
          </w:hyperlink>
        </w:p>
        <w:p w14:paraId="61EBF8BC" w14:textId="04A9764D" w:rsidR="00FE5712" w:rsidRDefault="00CF5215">
          <w:pPr>
            <w:pStyle w:val="TOC1"/>
            <w:tabs>
              <w:tab w:val="right" w:leader="dot" w:pos="9350"/>
            </w:tabs>
            <w:rPr>
              <w:rFonts w:asciiTheme="minorHAnsi" w:eastAsiaTheme="minorEastAsia" w:hAnsiTheme="minorHAnsi"/>
              <w:noProof/>
              <w:lang w:eastAsia="en-GB"/>
            </w:rPr>
          </w:pPr>
          <w:hyperlink w:anchor="_Toc227978656" w:history="1">
            <w:r w:rsidR="00FE5712" w:rsidRPr="0078788A">
              <w:rPr>
                <w:rStyle w:val="Hyperlink"/>
                <w:noProof/>
              </w:rPr>
              <w:t>Cost Justification and Sensitivity Analysis</w:t>
            </w:r>
            <w:r w:rsidR="00FE5712">
              <w:rPr>
                <w:noProof/>
                <w:webHidden/>
              </w:rPr>
              <w:tab/>
            </w:r>
            <w:r w:rsidR="00FE5712">
              <w:rPr>
                <w:noProof/>
                <w:webHidden/>
              </w:rPr>
              <w:fldChar w:fldCharType="begin"/>
            </w:r>
            <w:r w:rsidR="00FE5712">
              <w:rPr>
                <w:noProof/>
                <w:webHidden/>
              </w:rPr>
              <w:instrText xml:space="preserve"> PAGEREF _Toc227978656 \h </w:instrText>
            </w:r>
            <w:r w:rsidR="00FE5712">
              <w:rPr>
                <w:noProof/>
                <w:webHidden/>
              </w:rPr>
            </w:r>
            <w:r w:rsidR="00FE5712">
              <w:rPr>
                <w:noProof/>
                <w:webHidden/>
              </w:rPr>
              <w:fldChar w:fldCharType="separate"/>
            </w:r>
            <w:r w:rsidR="00FE5712">
              <w:rPr>
                <w:noProof/>
                <w:webHidden/>
              </w:rPr>
              <w:t>17</w:t>
            </w:r>
            <w:r w:rsidR="00FE5712">
              <w:rPr>
                <w:noProof/>
                <w:webHidden/>
              </w:rPr>
              <w:fldChar w:fldCharType="end"/>
            </w:r>
          </w:hyperlink>
        </w:p>
        <w:p w14:paraId="34B2349E" w14:textId="5ABE611B" w:rsidR="00FE5712" w:rsidRDefault="00CF5215">
          <w:pPr>
            <w:pStyle w:val="TOC1"/>
            <w:tabs>
              <w:tab w:val="right" w:leader="dot" w:pos="9350"/>
            </w:tabs>
            <w:rPr>
              <w:rFonts w:asciiTheme="minorHAnsi" w:eastAsiaTheme="minorEastAsia" w:hAnsiTheme="minorHAnsi"/>
              <w:noProof/>
              <w:lang w:eastAsia="en-GB"/>
            </w:rPr>
          </w:pPr>
          <w:hyperlink w:anchor="_Toc227978657" w:history="1">
            <w:r w:rsidR="00FE5712" w:rsidRPr="0078788A">
              <w:rPr>
                <w:rStyle w:val="Hyperlink"/>
                <w:noProof/>
              </w:rPr>
              <w:t>Conclusion</w:t>
            </w:r>
            <w:r w:rsidR="00FE5712">
              <w:rPr>
                <w:noProof/>
                <w:webHidden/>
              </w:rPr>
              <w:tab/>
            </w:r>
            <w:r w:rsidR="00FE5712">
              <w:rPr>
                <w:noProof/>
                <w:webHidden/>
              </w:rPr>
              <w:fldChar w:fldCharType="begin"/>
            </w:r>
            <w:r w:rsidR="00FE5712">
              <w:rPr>
                <w:noProof/>
                <w:webHidden/>
              </w:rPr>
              <w:instrText xml:space="preserve"> PAGEREF _Toc227978657 \h </w:instrText>
            </w:r>
            <w:r w:rsidR="00FE5712">
              <w:rPr>
                <w:noProof/>
                <w:webHidden/>
              </w:rPr>
            </w:r>
            <w:r w:rsidR="00FE5712">
              <w:rPr>
                <w:noProof/>
                <w:webHidden/>
              </w:rPr>
              <w:fldChar w:fldCharType="separate"/>
            </w:r>
            <w:r w:rsidR="00FE5712">
              <w:rPr>
                <w:noProof/>
                <w:webHidden/>
              </w:rPr>
              <w:t>19</w:t>
            </w:r>
            <w:r w:rsidR="00FE5712">
              <w:rPr>
                <w:noProof/>
                <w:webHidden/>
              </w:rPr>
              <w:fldChar w:fldCharType="end"/>
            </w:r>
          </w:hyperlink>
        </w:p>
        <w:p w14:paraId="33994F97" w14:textId="1D8F154A" w:rsidR="00FE5712" w:rsidRDefault="00CF5215">
          <w:pPr>
            <w:pStyle w:val="TOC1"/>
            <w:tabs>
              <w:tab w:val="right" w:leader="dot" w:pos="9350"/>
            </w:tabs>
            <w:rPr>
              <w:rFonts w:asciiTheme="minorHAnsi" w:eastAsiaTheme="minorEastAsia" w:hAnsiTheme="minorHAnsi"/>
              <w:noProof/>
              <w:lang w:eastAsia="en-GB"/>
            </w:rPr>
          </w:pPr>
          <w:hyperlink w:anchor="_Toc227978658" w:history="1">
            <w:r w:rsidR="00FE5712" w:rsidRPr="0078788A">
              <w:rPr>
                <w:rStyle w:val="Hyperlink"/>
                <w:noProof/>
              </w:rPr>
              <w:t>References</w:t>
            </w:r>
            <w:r w:rsidR="00FE5712">
              <w:rPr>
                <w:noProof/>
                <w:webHidden/>
              </w:rPr>
              <w:tab/>
            </w:r>
            <w:r w:rsidR="00FE5712">
              <w:rPr>
                <w:noProof/>
                <w:webHidden/>
              </w:rPr>
              <w:fldChar w:fldCharType="begin"/>
            </w:r>
            <w:r w:rsidR="00FE5712">
              <w:rPr>
                <w:noProof/>
                <w:webHidden/>
              </w:rPr>
              <w:instrText xml:space="preserve"> PAGEREF _Toc227978658 \h </w:instrText>
            </w:r>
            <w:r w:rsidR="00FE5712">
              <w:rPr>
                <w:noProof/>
                <w:webHidden/>
              </w:rPr>
            </w:r>
            <w:r w:rsidR="00FE5712">
              <w:rPr>
                <w:noProof/>
                <w:webHidden/>
              </w:rPr>
              <w:fldChar w:fldCharType="separate"/>
            </w:r>
            <w:r w:rsidR="00FE5712">
              <w:rPr>
                <w:noProof/>
                <w:webHidden/>
              </w:rPr>
              <w:t>20</w:t>
            </w:r>
            <w:r w:rsidR="00FE5712">
              <w:rPr>
                <w:noProof/>
                <w:webHidden/>
              </w:rPr>
              <w:fldChar w:fldCharType="end"/>
            </w:r>
          </w:hyperlink>
        </w:p>
        <w:p w14:paraId="72D8C367" w14:textId="1B8F248E" w:rsidR="0094302D" w:rsidRDefault="0094302D">
          <w:r>
            <w:rPr>
              <w:b/>
              <w:bCs/>
              <w:noProof/>
            </w:rPr>
            <w:fldChar w:fldCharType="end"/>
          </w:r>
        </w:p>
      </w:sdtContent>
    </w:sdt>
    <w:p w14:paraId="35539572" w14:textId="77777777" w:rsidR="0080696C" w:rsidRDefault="0080696C" w:rsidP="0094302D">
      <w:pPr>
        <w:jc w:val="both"/>
      </w:pPr>
      <w:r>
        <w:br w:type="page"/>
      </w:r>
    </w:p>
    <w:p w14:paraId="210B154B" w14:textId="43530A03" w:rsidR="0080696C" w:rsidRPr="0080696C" w:rsidRDefault="0080696C" w:rsidP="0094302D">
      <w:pPr>
        <w:pStyle w:val="Heading1"/>
        <w:jc w:val="both"/>
      </w:pPr>
      <w:bookmarkStart w:id="1" w:name="_Toc227978643"/>
      <w:r w:rsidRPr="0080696C">
        <w:lastRenderedPageBreak/>
        <w:t>Introduction</w:t>
      </w:r>
      <w:bookmarkEnd w:id="1"/>
    </w:p>
    <w:p w14:paraId="4DDCDECA" w14:textId="2A812901" w:rsidR="0080696C" w:rsidRPr="0080696C" w:rsidRDefault="00946428" w:rsidP="0094302D">
      <w:pPr>
        <w:jc w:val="both"/>
      </w:pPr>
      <w:r w:rsidRPr="00946428">
        <w:t xml:space="preserve">The Alibaba Group Holding Limited is on the edge of artificial intelligence, platform capitalism, and geopolitical contestation. The firm uses AI in cloud infrastructure, e-commerce, logistics, financial services, and smart city uses in both domestic and international markets in Southeast Asia, the Middle East, Europe, and others, as the focal digital ecosystem </w:t>
      </w:r>
      <w:r w:rsidR="00070630">
        <w:t>organiser</w:t>
      </w:r>
      <w:r w:rsidRPr="00946428">
        <w:t xml:space="preserve"> in China. The report is commissioned </w:t>
      </w:r>
      <w:r w:rsidR="00070630">
        <w:t>by</w:t>
      </w:r>
      <w:r w:rsidRPr="00946428">
        <w:t xml:space="preserve"> the Board Advisory Practice at RFD Global and will offer strategic advice on how Alibaba needs to address the risk of data sovereignty, AI governance requirements, and geopolitical risk in its global operations. Its analysis uses PESTLE framing, platform theory, and digital sovereignty frameworks, and scenario-based risk management to provide a future-proofed, actionable advisory that is framed to be consumed by a boardroom.</w:t>
      </w:r>
    </w:p>
    <w:p w14:paraId="2D5BCAEB" w14:textId="4F4029B2" w:rsidR="0080696C" w:rsidRPr="0080696C" w:rsidRDefault="0080696C" w:rsidP="0094302D">
      <w:pPr>
        <w:pStyle w:val="Heading1"/>
        <w:jc w:val="both"/>
      </w:pPr>
      <w:bookmarkStart w:id="2" w:name="_Toc227978644"/>
      <w:r w:rsidRPr="0080696C">
        <w:t>Main Findings</w:t>
      </w:r>
      <w:bookmarkEnd w:id="2"/>
    </w:p>
    <w:p w14:paraId="3584638D" w14:textId="160C3CD0" w:rsidR="0080696C" w:rsidRPr="0080696C" w:rsidRDefault="0080696C" w:rsidP="0094302D">
      <w:pPr>
        <w:pStyle w:val="Heading2"/>
      </w:pPr>
      <w:bookmarkStart w:id="3" w:name="_Toc227978645"/>
      <w:r w:rsidRPr="0080696C">
        <w:t>PESTLE Analysis</w:t>
      </w:r>
      <w:bookmarkEnd w:id="3"/>
    </w:p>
    <w:p w14:paraId="1FAF6D20" w14:textId="3A7808D6" w:rsidR="0080696C" w:rsidRPr="0080696C" w:rsidRDefault="00946428" w:rsidP="0094302D">
      <w:pPr>
        <w:jc w:val="both"/>
      </w:pPr>
      <w:r w:rsidRPr="00946428">
        <w:t xml:space="preserve">The Chinese definition of cyber sovereignty, which is described by Creemers (2020) </w:t>
      </w:r>
      <w:r w:rsidR="00070630">
        <w:t>as encompassing</w:t>
      </w:r>
      <w:r w:rsidRPr="00946428">
        <w:t xml:space="preserve"> the idea that the state has authoritative control over digital infrastructure, data streams and online content within its national borders, extending to the transnational operations of Chinese technology companies. Cong (2024) showed that China has been proactive in the spatial expansion of this sovereignty by exporting infrastructure and platform internationalisation, and the Alibaba international deployments have served as both commercial projects and agents of sovereign power. Roberts, Hine and </w:t>
      </w:r>
      <w:proofErr w:type="spellStart"/>
      <w:r w:rsidRPr="00946428">
        <w:t>Floridi</w:t>
      </w:r>
      <w:proofErr w:type="spellEnd"/>
      <w:r w:rsidRPr="00946428">
        <w:t xml:space="preserve"> (2023) differentiated the concepts of digital sovereignty and digital expansionism, the latter described as the push by the leading digital actors to impose their own governance rules beyond the territorial lines, which the Digital Silk Road of China illustrates. Allison and Broderick (2020), Council on Foreign Relations. Hussain et al. (2023) and (2015) affirmed that Chinese technology infrastructure exports generate dependencies entrenching Chinese technical standards in host country digital ecosystems. In terms of technology, as it was shown by Lundvall and </w:t>
      </w:r>
      <w:proofErr w:type="spellStart"/>
      <w:r w:rsidRPr="00946428">
        <w:t>Rokap</w:t>
      </w:r>
      <w:proofErr w:type="spellEnd"/>
      <w:r w:rsidRPr="00946428">
        <w:t xml:space="preserve"> (2022), Alibaba is both a commercial innovator and a tool of national AI policy in the state-directed system of innovation in China. Arenal et al. (2020) validated that this type of </w:t>
      </w:r>
      <w:r w:rsidR="00070630">
        <w:t>state-market</w:t>
      </w:r>
      <w:r w:rsidRPr="00946428">
        <w:t xml:space="preserve"> integration produces competitive advantages in terms of data access domestically but poses market access risks internationally. Yu, Liang and Xue (2021) discovered that the emergence of </w:t>
      </w:r>
      <w:r w:rsidR="00070630">
        <w:t xml:space="preserve">the </w:t>
      </w:r>
      <w:r w:rsidRPr="00946428">
        <w:t xml:space="preserve">AI industry in China is structurally conditional on its </w:t>
      </w:r>
      <w:r w:rsidRPr="00946428">
        <w:lastRenderedPageBreak/>
        <w:t>domestic data advantages that would be challenging to export to other overseas markets with alternative institutional arrangements.</w:t>
      </w:r>
    </w:p>
    <w:p w14:paraId="27FA3147" w14:textId="77777777" w:rsidR="0080696C" w:rsidRPr="0080696C" w:rsidRDefault="0080696C" w:rsidP="0094302D">
      <w:pPr>
        <w:jc w:val="both"/>
        <w:rPr>
          <w:b/>
          <w:bCs/>
        </w:rPr>
      </w:pPr>
      <w:r w:rsidRPr="0080696C">
        <w:rPr>
          <w:b/>
          <w:bCs/>
        </w:rPr>
        <w:t>Table 1: PESTLE Summary -- Alibaba AI and Data Sovereignty Risk Environment</w:t>
      </w:r>
    </w:p>
    <w:tbl>
      <w:tblPr>
        <w:tblStyle w:val="GridTable3-Accent1"/>
        <w:tblW w:w="5000" w:type="pct"/>
        <w:tblLook w:val="04A0" w:firstRow="1" w:lastRow="0" w:firstColumn="1" w:lastColumn="0" w:noHBand="0" w:noVBand="1"/>
      </w:tblPr>
      <w:tblGrid>
        <w:gridCol w:w="1634"/>
        <w:gridCol w:w="1889"/>
        <w:gridCol w:w="1816"/>
        <w:gridCol w:w="1813"/>
        <w:gridCol w:w="1874"/>
      </w:tblGrid>
      <w:tr w:rsidR="0080696C" w:rsidRPr="0080696C" w14:paraId="0F92B6AF" w14:textId="77777777" w:rsidTr="0080696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73" w:type="pct"/>
            <w:hideMark/>
          </w:tcPr>
          <w:p w14:paraId="444143AA" w14:textId="77777777" w:rsidR="0080696C" w:rsidRPr="0080696C" w:rsidRDefault="0080696C" w:rsidP="0094302D">
            <w:pPr>
              <w:jc w:val="both"/>
            </w:pPr>
            <w:r w:rsidRPr="0080696C">
              <w:t>Dimension</w:t>
            </w:r>
          </w:p>
        </w:tc>
        <w:tc>
          <w:tcPr>
            <w:tcW w:w="1055" w:type="pct"/>
            <w:hideMark/>
          </w:tcPr>
          <w:p w14:paraId="16CDA68E"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China Domestic</w:t>
            </w:r>
          </w:p>
        </w:tc>
        <w:tc>
          <w:tcPr>
            <w:tcW w:w="1014" w:type="pct"/>
            <w:hideMark/>
          </w:tcPr>
          <w:p w14:paraId="6A7B483C"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UK</w:t>
            </w:r>
          </w:p>
        </w:tc>
        <w:tc>
          <w:tcPr>
            <w:tcW w:w="1012" w:type="pct"/>
            <w:hideMark/>
          </w:tcPr>
          <w:p w14:paraId="168F1DE9"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EU</w:t>
            </w:r>
          </w:p>
        </w:tc>
        <w:tc>
          <w:tcPr>
            <w:tcW w:w="1046" w:type="pct"/>
            <w:hideMark/>
          </w:tcPr>
          <w:p w14:paraId="0B7B2DA4"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International Markets</w:t>
            </w:r>
          </w:p>
        </w:tc>
      </w:tr>
      <w:tr w:rsidR="0080696C" w:rsidRPr="0080696C" w14:paraId="54F0B842" w14:textId="77777777" w:rsidTr="008069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73" w:type="pct"/>
            <w:hideMark/>
          </w:tcPr>
          <w:p w14:paraId="0A7723B4" w14:textId="77777777" w:rsidR="0080696C" w:rsidRPr="0080696C" w:rsidRDefault="0080696C" w:rsidP="0094302D">
            <w:pPr>
              <w:jc w:val="both"/>
            </w:pPr>
            <w:r w:rsidRPr="0080696C">
              <w:t>Political</w:t>
            </w:r>
          </w:p>
        </w:tc>
        <w:tc>
          <w:tcPr>
            <w:tcW w:w="1055" w:type="pct"/>
            <w:hideMark/>
          </w:tcPr>
          <w:p w14:paraId="17A178D9"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State-aligned AI governance</w:t>
            </w:r>
          </w:p>
        </w:tc>
        <w:tc>
          <w:tcPr>
            <w:tcW w:w="1014" w:type="pct"/>
            <w:hideMark/>
          </w:tcPr>
          <w:p w14:paraId="28A5E91C"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Pro-innovation; principles-based</w:t>
            </w:r>
          </w:p>
        </w:tc>
        <w:tc>
          <w:tcPr>
            <w:tcW w:w="1012" w:type="pct"/>
            <w:hideMark/>
          </w:tcPr>
          <w:p w14:paraId="7FECAD90"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Prescriptive; rights-based</w:t>
            </w:r>
          </w:p>
        </w:tc>
        <w:tc>
          <w:tcPr>
            <w:tcW w:w="1046" w:type="pct"/>
            <w:hideMark/>
          </w:tcPr>
          <w:p w14:paraId="35CB57B6"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Host nation sovereignty concerns</w:t>
            </w:r>
          </w:p>
        </w:tc>
      </w:tr>
      <w:tr w:rsidR="0080696C" w:rsidRPr="0080696C" w14:paraId="1D9A549D" w14:textId="77777777" w:rsidTr="0080696C">
        <w:tc>
          <w:tcPr>
            <w:cnfStyle w:val="001000000000" w:firstRow="0" w:lastRow="0" w:firstColumn="1" w:lastColumn="0" w:oddVBand="0" w:evenVBand="0" w:oddHBand="0" w:evenHBand="0" w:firstRowFirstColumn="0" w:firstRowLastColumn="0" w:lastRowFirstColumn="0" w:lastRowLastColumn="0"/>
            <w:tcW w:w="873" w:type="pct"/>
            <w:hideMark/>
          </w:tcPr>
          <w:p w14:paraId="31D99F55" w14:textId="77777777" w:rsidR="0080696C" w:rsidRPr="0080696C" w:rsidRDefault="0080696C" w:rsidP="0094302D">
            <w:pPr>
              <w:jc w:val="both"/>
            </w:pPr>
            <w:r w:rsidRPr="0080696C">
              <w:t>Economic</w:t>
            </w:r>
          </w:p>
        </w:tc>
        <w:tc>
          <w:tcPr>
            <w:tcW w:w="1055" w:type="pct"/>
            <w:hideMark/>
          </w:tcPr>
          <w:p w14:paraId="04C2542D"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State-facilitated data access</w:t>
            </w:r>
          </w:p>
        </w:tc>
        <w:tc>
          <w:tcPr>
            <w:tcW w:w="1014" w:type="pct"/>
            <w:hideMark/>
          </w:tcPr>
          <w:p w14:paraId="2E240316"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Post-Brexit divergence; adequacy uncertainty</w:t>
            </w:r>
          </w:p>
        </w:tc>
        <w:tc>
          <w:tcPr>
            <w:tcW w:w="1012" w:type="pct"/>
            <w:hideMark/>
          </w:tcPr>
          <w:p w14:paraId="36973A6F"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Single digital market; data strategy</w:t>
            </w:r>
          </w:p>
        </w:tc>
        <w:tc>
          <w:tcPr>
            <w:tcW w:w="1046" w:type="pct"/>
            <w:hideMark/>
          </w:tcPr>
          <w:p w14:paraId="62A98D30"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Market access restrictions; investment screening</w:t>
            </w:r>
          </w:p>
        </w:tc>
      </w:tr>
      <w:tr w:rsidR="0080696C" w:rsidRPr="0080696C" w14:paraId="43EC04DA" w14:textId="77777777" w:rsidTr="008069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73" w:type="pct"/>
            <w:hideMark/>
          </w:tcPr>
          <w:p w14:paraId="44ACCD46" w14:textId="77777777" w:rsidR="0080696C" w:rsidRPr="0080696C" w:rsidRDefault="0080696C" w:rsidP="0094302D">
            <w:pPr>
              <w:jc w:val="both"/>
            </w:pPr>
            <w:r w:rsidRPr="0080696C">
              <w:t>Social</w:t>
            </w:r>
          </w:p>
        </w:tc>
        <w:tc>
          <w:tcPr>
            <w:tcW w:w="1055" w:type="pct"/>
            <w:hideMark/>
          </w:tcPr>
          <w:p w14:paraId="344BBFC9"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Algorithmic social governance</w:t>
            </w:r>
          </w:p>
        </w:tc>
        <w:tc>
          <w:tcPr>
            <w:tcW w:w="1014" w:type="pct"/>
            <w:hideMark/>
          </w:tcPr>
          <w:p w14:paraId="59095530"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ICO enforcement; public trust scrutiny</w:t>
            </w:r>
          </w:p>
        </w:tc>
        <w:tc>
          <w:tcPr>
            <w:tcW w:w="1012" w:type="pct"/>
            <w:hideMark/>
          </w:tcPr>
          <w:p w14:paraId="5616041A"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GDPR rights culture; high regulatory expectations</w:t>
            </w:r>
          </w:p>
        </w:tc>
        <w:tc>
          <w:tcPr>
            <w:tcW w:w="1046" w:type="pct"/>
            <w:hideMark/>
          </w:tcPr>
          <w:p w14:paraId="25A84857" w14:textId="2CE1BC2C"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Data colonialism concerns</w:t>
            </w:r>
            <w:r w:rsidR="00070630">
              <w:t>:</w:t>
            </w:r>
            <w:r w:rsidRPr="0080696C">
              <w:t xml:space="preserve"> platform trust deficit</w:t>
            </w:r>
          </w:p>
        </w:tc>
      </w:tr>
      <w:tr w:rsidR="0080696C" w:rsidRPr="0080696C" w14:paraId="1244B8CA" w14:textId="77777777" w:rsidTr="0080696C">
        <w:tc>
          <w:tcPr>
            <w:cnfStyle w:val="001000000000" w:firstRow="0" w:lastRow="0" w:firstColumn="1" w:lastColumn="0" w:oddVBand="0" w:evenVBand="0" w:oddHBand="0" w:evenHBand="0" w:firstRowFirstColumn="0" w:firstRowLastColumn="0" w:lastRowFirstColumn="0" w:lastRowLastColumn="0"/>
            <w:tcW w:w="873" w:type="pct"/>
            <w:hideMark/>
          </w:tcPr>
          <w:p w14:paraId="5082F177" w14:textId="77777777" w:rsidR="0080696C" w:rsidRPr="0080696C" w:rsidRDefault="0080696C" w:rsidP="0094302D">
            <w:pPr>
              <w:jc w:val="both"/>
            </w:pPr>
            <w:r w:rsidRPr="0080696C">
              <w:t>Technological</w:t>
            </w:r>
          </w:p>
        </w:tc>
        <w:tc>
          <w:tcPr>
            <w:tcW w:w="1055" w:type="pct"/>
            <w:hideMark/>
          </w:tcPr>
          <w:p w14:paraId="4A764D01"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BAT ecosystem integration</w:t>
            </w:r>
          </w:p>
        </w:tc>
        <w:tc>
          <w:tcPr>
            <w:tcW w:w="1014" w:type="pct"/>
            <w:hideMark/>
          </w:tcPr>
          <w:p w14:paraId="3774F2FC"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 xml:space="preserve">AI sandbox; </w:t>
            </w:r>
            <w:proofErr w:type="spellStart"/>
            <w:r w:rsidRPr="0080696C">
              <w:t>RegTech</w:t>
            </w:r>
            <w:proofErr w:type="spellEnd"/>
            <w:r w:rsidRPr="0080696C">
              <w:t xml:space="preserve"> expansion</w:t>
            </w:r>
          </w:p>
        </w:tc>
        <w:tc>
          <w:tcPr>
            <w:tcW w:w="1012" w:type="pct"/>
            <w:hideMark/>
          </w:tcPr>
          <w:p w14:paraId="1C9A7C4D"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EU AI Act high-risk classification</w:t>
            </w:r>
          </w:p>
        </w:tc>
        <w:tc>
          <w:tcPr>
            <w:tcW w:w="1046" w:type="pct"/>
            <w:hideMark/>
          </w:tcPr>
          <w:p w14:paraId="6D9F45C6"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Cloud dependency; standards contestation</w:t>
            </w:r>
          </w:p>
        </w:tc>
      </w:tr>
      <w:tr w:rsidR="0080696C" w:rsidRPr="0080696C" w14:paraId="0E91DA84" w14:textId="77777777" w:rsidTr="008069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73" w:type="pct"/>
            <w:hideMark/>
          </w:tcPr>
          <w:p w14:paraId="7171DA99" w14:textId="77777777" w:rsidR="0080696C" w:rsidRPr="0080696C" w:rsidRDefault="0080696C" w:rsidP="0094302D">
            <w:pPr>
              <w:jc w:val="both"/>
            </w:pPr>
            <w:r w:rsidRPr="0080696C">
              <w:t>Legal</w:t>
            </w:r>
          </w:p>
        </w:tc>
        <w:tc>
          <w:tcPr>
            <w:tcW w:w="1055" w:type="pct"/>
            <w:hideMark/>
          </w:tcPr>
          <w:p w14:paraId="37DC08C8"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PIPL; Cybersecurity Law; Generative AI Measures</w:t>
            </w:r>
          </w:p>
        </w:tc>
        <w:tc>
          <w:tcPr>
            <w:tcW w:w="1014" w:type="pct"/>
            <w:hideMark/>
          </w:tcPr>
          <w:p w14:paraId="0F49BB66"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UK GDPR; UK AI White Paper; ICO enforcement</w:t>
            </w:r>
          </w:p>
        </w:tc>
        <w:tc>
          <w:tcPr>
            <w:tcW w:w="1012" w:type="pct"/>
            <w:hideMark/>
          </w:tcPr>
          <w:p w14:paraId="1AA6EA42"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GDPR; EU AI Act; Data Act</w:t>
            </w:r>
          </w:p>
        </w:tc>
        <w:tc>
          <w:tcPr>
            <w:tcW w:w="1046" w:type="pct"/>
            <w:hideMark/>
          </w:tcPr>
          <w:p w14:paraId="1075B448"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Host nation data localisation</w:t>
            </w:r>
          </w:p>
        </w:tc>
      </w:tr>
      <w:tr w:rsidR="0080696C" w:rsidRPr="0080696C" w14:paraId="43DC6278" w14:textId="77777777" w:rsidTr="0080696C">
        <w:tc>
          <w:tcPr>
            <w:cnfStyle w:val="001000000000" w:firstRow="0" w:lastRow="0" w:firstColumn="1" w:lastColumn="0" w:oddVBand="0" w:evenVBand="0" w:oddHBand="0" w:evenHBand="0" w:firstRowFirstColumn="0" w:firstRowLastColumn="0" w:lastRowFirstColumn="0" w:lastRowLastColumn="0"/>
            <w:tcW w:w="873" w:type="pct"/>
            <w:hideMark/>
          </w:tcPr>
          <w:p w14:paraId="0C78C1D0" w14:textId="77777777" w:rsidR="0080696C" w:rsidRPr="0080696C" w:rsidRDefault="0080696C" w:rsidP="0094302D">
            <w:pPr>
              <w:jc w:val="both"/>
            </w:pPr>
            <w:r w:rsidRPr="0080696C">
              <w:t>Environmental</w:t>
            </w:r>
          </w:p>
        </w:tc>
        <w:tc>
          <w:tcPr>
            <w:tcW w:w="1055" w:type="pct"/>
            <w:hideMark/>
          </w:tcPr>
          <w:p w14:paraId="0FB00376"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Smart city AI; green logistics</w:t>
            </w:r>
          </w:p>
        </w:tc>
        <w:tc>
          <w:tcPr>
            <w:tcW w:w="1014" w:type="pct"/>
            <w:hideMark/>
          </w:tcPr>
          <w:p w14:paraId="6E817080"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ESG disclosure expectations</w:t>
            </w:r>
          </w:p>
        </w:tc>
        <w:tc>
          <w:tcPr>
            <w:tcW w:w="1012" w:type="pct"/>
            <w:hideMark/>
          </w:tcPr>
          <w:p w14:paraId="76C5C5E6"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ESG mandatory reporting</w:t>
            </w:r>
          </w:p>
        </w:tc>
        <w:tc>
          <w:tcPr>
            <w:tcW w:w="1046" w:type="pct"/>
            <w:hideMark/>
          </w:tcPr>
          <w:p w14:paraId="1C45FBDF"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Supply chain transparency demands</w:t>
            </w:r>
          </w:p>
        </w:tc>
      </w:tr>
    </w:tbl>
    <w:p w14:paraId="0B63C890" w14:textId="77777777" w:rsidR="00B854A6" w:rsidRDefault="00B854A6" w:rsidP="00B854A6">
      <w:pPr>
        <w:keepNext/>
        <w:jc w:val="center"/>
      </w:pPr>
      <w:r w:rsidRPr="00B854A6">
        <w:rPr>
          <w:noProof/>
        </w:rPr>
        <w:lastRenderedPageBreak/>
        <w:drawing>
          <wp:inline distT="0" distB="0" distL="0" distR="0" wp14:anchorId="57A86836" wp14:editId="636FAEE6">
            <wp:extent cx="5006340" cy="4666700"/>
            <wp:effectExtent l="0" t="0" r="3810" b="635"/>
            <wp:docPr id="1034291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91419" name=""/>
                    <pic:cNvPicPr/>
                  </pic:nvPicPr>
                  <pic:blipFill>
                    <a:blip r:embed="rId8"/>
                    <a:stretch>
                      <a:fillRect/>
                    </a:stretch>
                  </pic:blipFill>
                  <pic:spPr>
                    <a:xfrm>
                      <a:off x="0" y="0"/>
                      <a:ext cx="5011618" cy="4671620"/>
                    </a:xfrm>
                    <a:prstGeom prst="rect">
                      <a:avLst/>
                    </a:prstGeom>
                  </pic:spPr>
                </pic:pic>
              </a:graphicData>
            </a:graphic>
          </wp:inline>
        </w:drawing>
      </w:r>
    </w:p>
    <w:p w14:paraId="5612D4C4" w14:textId="5F5DC2A4" w:rsidR="00B854A6" w:rsidRDefault="00B854A6" w:rsidP="00B854A6">
      <w:pPr>
        <w:pStyle w:val="Caption"/>
        <w:jc w:val="center"/>
      </w:pPr>
      <w:r>
        <w:t xml:space="preserve">Figure </w:t>
      </w:r>
      <w:r>
        <w:fldChar w:fldCharType="begin"/>
      </w:r>
      <w:r>
        <w:instrText xml:space="preserve"> SEQ Figure \* ARABIC </w:instrText>
      </w:r>
      <w:r>
        <w:fldChar w:fldCharType="separate"/>
      </w:r>
      <w:r w:rsidR="0027264C">
        <w:rPr>
          <w:noProof/>
        </w:rPr>
        <w:t>1</w:t>
      </w:r>
      <w:r>
        <w:fldChar w:fldCharType="end"/>
      </w:r>
      <w:r>
        <w:t xml:space="preserve">: </w:t>
      </w:r>
      <w:r w:rsidRPr="001A2829">
        <w:t>Comparative digital governance intensity profile</w:t>
      </w:r>
      <w:r>
        <w:t xml:space="preserve"> among countries (Self-Made)</w:t>
      </w:r>
    </w:p>
    <w:p w14:paraId="21497E68" w14:textId="6C6E146F" w:rsidR="0080696C" w:rsidRPr="0080696C" w:rsidRDefault="0080696C" w:rsidP="0094302D">
      <w:pPr>
        <w:pStyle w:val="Heading2"/>
      </w:pPr>
      <w:bookmarkStart w:id="4" w:name="_Toc227978646"/>
      <w:r w:rsidRPr="0080696C">
        <w:t>Alibaba as a Digital Ecosystem Orchestrator</w:t>
      </w:r>
      <w:bookmarkEnd w:id="4"/>
    </w:p>
    <w:p w14:paraId="1BB52491" w14:textId="3A9C3D03" w:rsidR="00946428" w:rsidRDefault="00946428" w:rsidP="00946428">
      <w:pPr>
        <w:jc w:val="both"/>
      </w:pPr>
      <w:proofErr w:type="spellStart"/>
      <w:r>
        <w:t>Gawer</w:t>
      </w:r>
      <w:proofErr w:type="spellEnd"/>
      <w:r>
        <w:t xml:space="preserve"> (2021) defined digital platforms as the prevailing organisational forms of the digital era, which are characterised by their ability to coordinate multi-sided markets, rule participation, and align complementary innovators in organised ecosystems. This framing is analytically important as it does not focus on the competition of particular products but the control of the system: the platform operator who determines the rules of the ecosystem reaps supranormal value on everything happening in it. This analysis was formalised as such by </w:t>
      </w:r>
      <w:proofErr w:type="spellStart"/>
      <w:r>
        <w:t>Jacobides</w:t>
      </w:r>
      <w:proofErr w:type="spellEnd"/>
      <w:r>
        <w:t xml:space="preserve">, </w:t>
      </w:r>
      <w:proofErr w:type="spellStart"/>
      <w:r>
        <w:t>Brusoni</w:t>
      </w:r>
      <w:proofErr w:type="spellEnd"/>
      <w:r>
        <w:t xml:space="preserve"> and </w:t>
      </w:r>
      <w:proofErr w:type="spellStart"/>
      <w:r>
        <w:t>Candelon</w:t>
      </w:r>
      <w:proofErr w:type="spellEnd"/>
      <w:r>
        <w:t xml:space="preserve"> (2021) and Brynjolfsson, Rock and Syverson (2017), who state that AI capabilities are orchestration tools of a new qualitative level, allowing platform operators to not only coordinate complementors but also predict their behaviour, influence their strategic decisions, and extract rents out of the data produced by their involvement. The outcome is a self-reinforcing dominance feature whereby AI competence and data concentration are constitutive of each other: the better AI works, the more the platform participants</w:t>
      </w:r>
      <w:r w:rsidR="00070630">
        <w:t xml:space="preserve"> work</w:t>
      </w:r>
      <w:r>
        <w:t xml:space="preserve">, and the better the participants work on the platform. Alibaba is an example of this dynamism in </w:t>
      </w:r>
      <w:r>
        <w:lastRenderedPageBreak/>
        <w:t xml:space="preserve">specific detail. Embedded as Taobao and Tmall in product recommendation, dynamic pricing, Alibaba Cloud in enterprise infrastructure and developer tooling, </w:t>
      </w:r>
      <w:proofErr w:type="spellStart"/>
      <w:r>
        <w:t>Cainiao</w:t>
      </w:r>
      <w:proofErr w:type="spellEnd"/>
      <w:r>
        <w:t xml:space="preserve"> in logistics optimisation, and last-mile delivery prediction, and Ant Group in credit scoring and fraud detection, its AI systems generate recursive benefits in sectors and geographies over time. The layers of the ecosystem are dependent on each other, and the entire ecosystem is much more resistant than the single platform asset.</w:t>
      </w:r>
    </w:p>
    <w:p w14:paraId="0F4899FB" w14:textId="74639784" w:rsidR="00946428" w:rsidRDefault="00946428" w:rsidP="00946428">
      <w:pPr>
        <w:jc w:val="both"/>
      </w:pPr>
      <w:r>
        <w:t>Shen (2021) proved that both the capabilities of data accumulation and the regulatory environment</w:t>
      </w:r>
      <w:r w:rsidR="00070630">
        <w:t>, which make it possible and keep increasing, are structurally inseparable from</w:t>
      </w:r>
      <w:r>
        <w:t xml:space="preserve"> the competitive advantage that Alibaba possesses. Tolerance of the Chinese state toward the concentration of Alibaba data, which persisted at least until the regulatory crackdown of 2020 to 2021, was not an accident but a calculated decision of the industrial policy: to enable domestic platform champions to amass the data resources required to compete in the global AI. This is analytically different to the more distant relationship between platform firms and regulators in liberal democratic economies, and has direct implications on how international equivalents evaluate the governance of the Alibaba data systems. </w:t>
      </w:r>
      <w:r w:rsidR="00FA7FB3" w:rsidRPr="00FA7FB3">
        <w:t xml:space="preserve">Su and Flew (2020) put Alibaba into the framework of the wider BAT ecosystem and indicated that the rise of Baidu, Alibaba, and Tencent as digital giants in the world, as well as the earnest dynamism of commerce and the strategic alignment with the Chinese state goals in the digital economy. This two-sidedness is not just a reputational problem, but a structural feature of the manner in which these companies have been structured and continue to operate, and </w:t>
      </w:r>
      <w:r w:rsidR="00070630">
        <w:t xml:space="preserve">is </w:t>
      </w:r>
      <w:r w:rsidR="00FA7FB3" w:rsidRPr="00FA7FB3">
        <w:t>analytically and legally difficult to draw a clear line between the commercial and state interests.</w:t>
      </w:r>
    </w:p>
    <w:p w14:paraId="007948BB" w14:textId="0EB85F07" w:rsidR="0094302D" w:rsidRDefault="00946428" w:rsidP="00946428">
      <w:pPr>
        <w:jc w:val="both"/>
      </w:pPr>
      <w:r>
        <w:t>Liu (2021) examined how data politics emerged in digital China</w:t>
      </w:r>
      <w:r w:rsidR="00070630">
        <w:t>,</w:t>
      </w:r>
      <w:r>
        <w:t xml:space="preserve"> in which he argues that data has become both an economic resource, </w:t>
      </w:r>
      <w:r w:rsidR="00070630">
        <w:t xml:space="preserve">a political tool, and a </w:t>
      </w:r>
      <w:r>
        <w:t xml:space="preserve">location of governance struggles, placing Chinese technology companies in a structurally uncertain state as data hoarders and the target of state surveillance and extraction. This </w:t>
      </w:r>
      <w:r w:rsidR="00070630">
        <w:t>grey</w:t>
      </w:r>
      <w:r>
        <w:t xml:space="preserve"> area cannot be addressed solely by corporate governance statements since it lies within the legal framework within which Alibaba functions. The national security law of China establishes standing requirements on Chinese companies to share information with intelligence and security agencies that cannot be transparently judged or audited by third parties, which is essentially the opposite of the data access models of US or European platform companies and which</w:t>
      </w:r>
      <w:r w:rsidR="00070630">
        <w:t>,</w:t>
      </w:r>
      <w:r>
        <w:t xml:space="preserve"> in effect</w:t>
      </w:r>
      <w:r w:rsidR="00070630">
        <w:t>,</w:t>
      </w:r>
      <w:r>
        <w:t xml:space="preserve"> nullifies the claims of Alibaba to provide data governance guarantees to external parties. In its 2024 analysis, the OECD found that the perceived independence of cross-border data flows was a critical factor in building international confidence in cross-border data flows and that the perceived independence of Chinese platform firms is the main structural barrier to the international </w:t>
      </w:r>
      <w:r>
        <w:lastRenderedPageBreak/>
        <w:t>expansion of Chinese platform firms (OECD, 2024). Most importantly, the OECD result suggests that technical compliance, e.g. data localisation or contractual transfer protections, cannot and may not be a sufficient remedy to this lack of trust: the very structure of governance must be convincingly re-engineered, rather than being papered over with contractual tools, in order that Alibaba can attain the enterprise customer and regulatory trust that it will need to sustain global growth.</w:t>
      </w:r>
    </w:p>
    <w:p w14:paraId="28B5B814" w14:textId="4D8E90AB" w:rsidR="00B524AF" w:rsidRDefault="00FE5712" w:rsidP="00FE5712">
      <w:pPr>
        <w:pStyle w:val="Heading3"/>
      </w:pPr>
      <w:bookmarkStart w:id="5" w:name="_Toc227978647"/>
      <w:r>
        <w:t>The Porter’s Five Forces Analysis in the case of Alibaba</w:t>
      </w:r>
      <w:bookmarkEnd w:id="5"/>
    </w:p>
    <w:p w14:paraId="3DB0A8A7" w14:textId="61803BE4" w:rsidR="00C11782" w:rsidRDefault="003049D0" w:rsidP="00C11782">
      <w:pPr>
        <w:jc w:val="both"/>
      </w:pPr>
      <w:r>
        <w:t>Alibaba exists in a very intricate worldwide digital ecosystem, in which market forces are not the sole factors that influence the competitive environment</w:t>
      </w:r>
      <w:r w:rsidR="00070630">
        <w:t>,</w:t>
      </w:r>
      <w:r>
        <w:t xml:space="preserve"> but also geopolitical and regulatory limitations. </w:t>
      </w:r>
      <w:r w:rsidR="00C11782">
        <w:t xml:space="preserve">With the Five Forces Model created by Porter, the apparently overwhelming position of the Alibaba platform can be seen to be structurally challenged. </w:t>
      </w:r>
      <w:r w:rsidR="00070630">
        <w:t>The threat</w:t>
      </w:r>
      <w:r w:rsidR="00C11782">
        <w:t xml:space="preserve"> posed by new entrants is average but evolving. The barriers to entry presented by capital intensity, data size and infrastructure requirements can be overcome through sovereign cloud projects and state-assisted digital ecosystems, such as the EU and ASEAN, which are institutionally mitigating these barriers. In the effort </w:t>
      </w:r>
      <w:r w:rsidR="00070630">
        <w:t>to reduce reliance on foreign systems that increase the viability of Alibaba's</w:t>
      </w:r>
      <w:r w:rsidR="00C11782">
        <w:t xml:space="preserve"> expansion, governments are increasingly empowering local players. The bargaining power of the customers, particularly in the enterprise clouds and governments</w:t>
      </w:r>
      <w:r w:rsidR="00070630">
        <w:t>,</w:t>
      </w:r>
      <w:r w:rsidR="00C11782">
        <w:t xml:space="preserve"> is high. Unlike consumer platforms, enterprise adoption involves a very high level of trust, regulatory compliance and perceived freedom </w:t>
      </w:r>
      <w:r w:rsidR="00070630">
        <w:t>from</w:t>
      </w:r>
      <w:r w:rsidR="00C11782">
        <w:t xml:space="preserve"> any state control. The report observes that this trust is undermined by the structural inability of Alibaba to be structurally independent of Chinese structures of governance, and more so</w:t>
      </w:r>
      <w:r w:rsidR="00070630">
        <w:t>,</w:t>
      </w:r>
      <w:r w:rsidR="00C11782">
        <w:t xml:space="preserve"> reasons to move to AWS, Microsoft Azure, or providers that are regionally compliant.</w:t>
      </w:r>
    </w:p>
    <w:p w14:paraId="644458E8" w14:textId="2D1E33DE" w:rsidR="00FE5712" w:rsidRPr="0094302D" w:rsidRDefault="00C11782" w:rsidP="00C11782">
      <w:pPr>
        <w:jc w:val="both"/>
      </w:pPr>
      <w:r>
        <w:t xml:space="preserve">The supplier power is also high. Alibaba leans on the sophisticated semiconductor supply chains, global cloud infrastructure elements, and global standards </w:t>
      </w:r>
      <w:r w:rsidR="00070630">
        <w:t>organisations</w:t>
      </w:r>
      <w:r>
        <w:t xml:space="preserve">. The risk of </w:t>
      </w:r>
      <w:r w:rsidR="00070630">
        <w:t xml:space="preserve">the </w:t>
      </w:r>
      <w:r>
        <w:t xml:space="preserve">US Entity List </w:t>
      </w:r>
      <w:r w:rsidR="00B45C4D">
        <w:t>increasing</w:t>
      </w:r>
      <w:r>
        <w:t xml:space="preserve"> and other geopolitical constraints contribute to the supplier concentration risk and less autonomy in technology. </w:t>
      </w:r>
      <w:r w:rsidR="00070630">
        <w:t>The threat</w:t>
      </w:r>
      <w:r>
        <w:t xml:space="preserve"> of substitutes is high. The alternative to </w:t>
      </w:r>
      <w:r w:rsidR="00B45C4D">
        <w:t xml:space="preserve">the Alibaba integrated platform model is the sovereign cloud model, a </w:t>
      </w:r>
      <w:r>
        <w:t>decentralised architecture and regionally controlled digital ecosystems. These substitutions are not merely technological but institutional</w:t>
      </w:r>
      <w:r w:rsidR="00B45C4D">
        <w:t>,</w:t>
      </w:r>
      <w:r>
        <w:t xml:space="preserve"> and local standards of government are now challenging Alibaba to keep up with. Finally, the intensity of competitive rivalry is high and asymmetric. Alibaba does not only have direct competitors but indirect ones, technological companies in the world, state-supported technology networks, and regulations. This creates a competitive ambiguity whereby regulation adherence is a condition of market access, but not </w:t>
      </w:r>
      <w:r>
        <w:lastRenderedPageBreak/>
        <w:t xml:space="preserve">a </w:t>
      </w:r>
      <w:r w:rsidR="00B45C4D">
        <w:t>restraining</w:t>
      </w:r>
      <w:r>
        <w:t xml:space="preserve"> factor. Overall, </w:t>
      </w:r>
      <w:r w:rsidR="00B45C4D">
        <w:t xml:space="preserve">Porter's model shows that not only can technological capability assist Alibaba to be in its competitive position, but it can also </w:t>
      </w:r>
      <w:r>
        <w:t>adjust to the different regimes of governance. It cannot cope with this tension</w:t>
      </w:r>
      <w:r w:rsidR="00B45C4D">
        <w:t>,</w:t>
      </w:r>
      <w:r>
        <w:t xml:space="preserve"> and it will ruin its competitiveness on the international level.</w:t>
      </w:r>
    </w:p>
    <w:p w14:paraId="4B3BA4E7" w14:textId="33947947" w:rsidR="0080696C" w:rsidRPr="0080696C" w:rsidRDefault="0080696C" w:rsidP="0094302D">
      <w:pPr>
        <w:pStyle w:val="Heading2"/>
      </w:pPr>
      <w:bookmarkStart w:id="6" w:name="_Toc227978648"/>
      <w:r w:rsidRPr="0080696C">
        <w:t>Data Sovereignty: China's Governance Framework</w:t>
      </w:r>
      <w:bookmarkEnd w:id="6"/>
    </w:p>
    <w:p w14:paraId="0A1735F5" w14:textId="3B8FD8C4" w:rsidR="003049D0" w:rsidRDefault="003049D0" w:rsidP="003049D0">
      <w:pPr>
        <w:jc w:val="both"/>
      </w:pPr>
      <w:r>
        <w:t xml:space="preserve">Chander and Sun (2023) examined that the open data flow model of the Digital Silk Road has been changed to state reassertion of data as a strategic resource. Belli, Gaspar and Shilpa Singh </w:t>
      </w:r>
      <w:proofErr w:type="spellStart"/>
      <w:r>
        <w:t>Jaswart</w:t>
      </w:r>
      <w:proofErr w:type="spellEnd"/>
      <w:r>
        <w:t xml:space="preserve"> (2024) affirmed that the fragmentation of global data governance into competing sovereignty regimes is speeding up in BRICS and other locations. The Personal Information Protection Law presented general data protection requirements that are largely similar to GDPR, including consent, purpose restriction, and prohibition of cross-border transfers (PIPL, 2021). He and Chen (2025) critically assessed PIPL and concluded that it is a formal </w:t>
      </w:r>
      <w:r w:rsidR="00B45C4D">
        <w:t>stride in the right direction, though its interaction with national security provisions creates structural ambiguity in</w:t>
      </w:r>
      <w:r>
        <w:t xml:space="preserve"> terms of state access to data. In 2023, Generative AI Interim Measures established content governance and transparency of algorithms of generative AI (China Law Translate, 2023), and Ye et al. (2024) discovered the state-centric orientation that continues to characterise Chinese regulation, with social stability and individual rights being prioritised.</w:t>
      </w:r>
    </w:p>
    <w:p w14:paraId="7E755213" w14:textId="377DBD17" w:rsidR="0080696C" w:rsidRPr="0080696C" w:rsidRDefault="003049D0" w:rsidP="003049D0">
      <w:pPr>
        <w:jc w:val="both"/>
      </w:pPr>
      <w:r>
        <w:t>In its 2021 report, UNCTAD has found three competing data governance models across the world: the US open-flow model, the EU rights-based model, and the China sovereign-control model, and has found that the fragmentation of governance is not overriding (UNCTAD, 2021). A report by the OECD on cross-border data flows in 2025 affirmed that mutual recognition systems have been ineffective in ensuring fundamental differences in governance philosophy are bridged, and that divergent policy is accelerating (OECD, 2025). Misra, Barik and Kvalvik (2025) postulated that the digital sovereignty in an Industry 5.0 setting demands institutions to explicitly decide between their competing governance philosophies, which Alibaba has so far postponed.</w:t>
      </w:r>
    </w:p>
    <w:p w14:paraId="75DA9BC2" w14:textId="77777777" w:rsidR="0080696C" w:rsidRPr="0080696C" w:rsidRDefault="0080696C" w:rsidP="0094302D">
      <w:pPr>
        <w:jc w:val="both"/>
        <w:rPr>
          <w:b/>
          <w:bCs/>
        </w:rPr>
      </w:pPr>
      <w:r w:rsidRPr="0080696C">
        <w:rPr>
          <w:b/>
          <w:bCs/>
        </w:rPr>
        <w:t>Table 2: Three-Model Data Governance Comparison</w:t>
      </w:r>
    </w:p>
    <w:tbl>
      <w:tblPr>
        <w:tblStyle w:val="GridTable7Colorful-Accent1"/>
        <w:tblW w:w="0" w:type="auto"/>
        <w:tblLook w:val="04A0" w:firstRow="1" w:lastRow="0" w:firstColumn="1" w:lastColumn="0" w:noHBand="0" w:noVBand="1"/>
      </w:tblPr>
      <w:tblGrid>
        <w:gridCol w:w="1584"/>
        <w:gridCol w:w="1607"/>
        <w:gridCol w:w="1823"/>
        <w:gridCol w:w="1832"/>
        <w:gridCol w:w="2180"/>
      </w:tblGrid>
      <w:tr w:rsidR="0080696C" w:rsidRPr="0080696C" w14:paraId="44CF7105" w14:textId="77777777" w:rsidTr="0080696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5E96613A" w14:textId="77777777" w:rsidR="0080696C" w:rsidRPr="0080696C" w:rsidRDefault="0080696C" w:rsidP="0094302D">
            <w:pPr>
              <w:jc w:val="both"/>
            </w:pPr>
            <w:r w:rsidRPr="0080696C">
              <w:t>Governance Dimension</w:t>
            </w:r>
          </w:p>
        </w:tc>
        <w:tc>
          <w:tcPr>
            <w:tcW w:w="0" w:type="auto"/>
            <w:hideMark/>
          </w:tcPr>
          <w:p w14:paraId="4A1CE2BC"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US Open-Flow Model</w:t>
            </w:r>
          </w:p>
        </w:tc>
        <w:tc>
          <w:tcPr>
            <w:tcW w:w="0" w:type="auto"/>
            <w:hideMark/>
          </w:tcPr>
          <w:p w14:paraId="51331904"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EU Rights-Based Model</w:t>
            </w:r>
          </w:p>
        </w:tc>
        <w:tc>
          <w:tcPr>
            <w:tcW w:w="0" w:type="auto"/>
            <w:hideMark/>
          </w:tcPr>
          <w:p w14:paraId="30539CAD"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China Sovereign-Control Model</w:t>
            </w:r>
          </w:p>
        </w:tc>
        <w:tc>
          <w:tcPr>
            <w:tcW w:w="0" w:type="auto"/>
            <w:hideMark/>
          </w:tcPr>
          <w:p w14:paraId="12AE53BF"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Alibaba Compliance Implication</w:t>
            </w:r>
          </w:p>
        </w:tc>
      </w:tr>
      <w:tr w:rsidR="0080696C" w:rsidRPr="0080696C" w14:paraId="03E6C063" w14:textId="77777777" w:rsidTr="008069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2FB437" w14:textId="77777777" w:rsidR="0080696C" w:rsidRPr="0080696C" w:rsidRDefault="0080696C" w:rsidP="0094302D">
            <w:pPr>
              <w:jc w:val="both"/>
            </w:pPr>
            <w:r w:rsidRPr="0080696C">
              <w:t>Core philosophy</w:t>
            </w:r>
          </w:p>
        </w:tc>
        <w:tc>
          <w:tcPr>
            <w:tcW w:w="0" w:type="auto"/>
            <w:hideMark/>
          </w:tcPr>
          <w:p w14:paraId="7221954B"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Free flow with limited restriction</w:t>
            </w:r>
          </w:p>
        </w:tc>
        <w:tc>
          <w:tcPr>
            <w:tcW w:w="0" w:type="auto"/>
            <w:hideMark/>
          </w:tcPr>
          <w:p w14:paraId="0D694CFE"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Individual rights; data minimisation</w:t>
            </w:r>
          </w:p>
        </w:tc>
        <w:tc>
          <w:tcPr>
            <w:tcW w:w="0" w:type="auto"/>
            <w:hideMark/>
          </w:tcPr>
          <w:p w14:paraId="1BBB71BC"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State authority over all data flows</w:t>
            </w:r>
          </w:p>
        </w:tc>
        <w:tc>
          <w:tcPr>
            <w:tcW w:w="0" w:type="auto"/>
            <w:hideMark/>
          </w:tcPr>
          <w:p w14:paraId="0106FB63"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Structural incompatibility with EU and UK standards</w:t>
            </w:r>
          </w:p>
        </w:tc>
      </w:tr>
      <w:tr w:rsidR="0080696C" w:rsidRPr="0080696C" w14:paraId="2A925A66" w14:textId="77777777" w:rsidTr="0080696C">
        <w:tc>
          <w:tcPr>
            <w:cnfStyle w:val="001000000000" w:firstRow="0" w:lastRow="0" w:firstColumn="1" w:lastColumn="0" w:oddVBand="0" w:evenVBand="0" w:oddHBand="0" w:evenHBand="0" w:firstRowFirstColumn="0" w:firstRowLastColumn="0" w:lastRowFirstColumn="0" w:lastRowLastColumn="0"/>
            <w:tcW w:w="0" w:type="auto"/>
            <w:hideMark/>
          </w:tcPr>
          <w:p w14:paraId="466F4B04" w14:textId="77777777" w:rsidR="0080696C" w:rsidRPr="0080696C" w:rsidRDefault="0080696C" w:rsidP="0094302D">
            <w:pPr>
              <w:jc w:val="both"/>
            </w:pPr>
            <w:r w:rsidRPr="0080696C">
              <w:lastRenderedPageBreak/>
              <w:t>Cross-border transfer standard</w:t>
            </w:r>
          </w:p>
        </w:tc>
        <w:tc>
          <w:tcPr>
            <w:tcW w:w="0" w:type="auto"/>
            <w:hideMark/>
          </w:tcPr>
          <w:p w14:paraId="369DAE81"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Adequacy light; SCCs available</w:t>
            </w:r>
          </w:p>
        </w:tc>
        <w:tc>
          <w:tcPr>
            <w:tcW w:w="0" w:type="auto"/>
            <w:hideMark/>
          </w:tcPr>
          <w:p w14:paraId="5A3C617B"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Adequacy decision or SCCs required</w:t>
            </w:r>
          </w:p>
        </w:tc>
        <w:tc>
          <w:tcPr>
            <w:tcW w:w="0" w:type="auto"/>
            <w:hideMark/>
          </w:tcPr>
          <w:p w14:paraId="5974849F"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State approval for outbound sensitive data</w:t>
            </w:r>
          </w:p>
        </w:tc>
        <w:tc>
          <w:tcPr>
            <w:tcW w:w="0" w:type="auto"/>
            <w:hideMark/>
          </w:tcPr>
          <w:p w14:paraId="6610B8E7"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Dual obligation: PIPL outbound restrictions vs GDPR transfer requirements</w:t>
            </w:r>
          </w:p>
        </w:tc>
      </w:tr>
      <w:tr w:rsidR="0080696C" w:rsidRPr="0080696C" w14:paraId="02370821" w14:textId="77777777" w:rsidTr="008069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A2C4C9" w14:textId="77777777" w:rsidR="0080696C" w:rsidRPr="0080696C" w:rsidRDefault="0080696C" w:rsidP="0094302D">
            <w:pPr>
              <w:jc w:val="both"/>
            </w:pPr>
            <w:r w:rsidRPr="0080696C">
              <w:t>Individual rights orientation</w:t>
            </w:r>
          </w:p>
        </w:tc>
        <w:tc>
          <w:tcPr>
            <w:tcW w:w="0" w:type="auto"/>
            <w:hideMark/>
          </w:tcPr>
          <w:p w14:paraId="3E6422AB"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Contract and market-based</w:t>
            </w:r>
          </w:p>
        </w:tc>
        <w:tc>
          <w:tcPr>
            <w:tcW w:w="0" w:type="auto"/>
            <w:hideMark/>
          </w:tcPr>
          <w:p w14:paraId="2292D72F"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Legally enforceable fundamental rights</w:t>
            </w:r>
          </w:p>
        </w:tc>
        <w:tc>
          <w:tcPr>
            <w:tcW w:w="0" w:type="auto"/>
            <w:hideMark/>
          </w:tcPr>
          <w:p w14:paraId="7655F07A"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Collective social objectives prioritised</w:t>
            </w:r>
          </w:p>
        </w:tc>
        <w:tc>
          <w:tcPr>
            <w:tcW w:w="0" w:type="auto"/>
            <w:hideMark/>
          </w:tcPr>
          <w:p w14:paraId="59F76052" w14:textId="227F0681" w:rsidR="0080696C" w:rsidRPr="0080696C" w:rsidRDefault="00B45C4D" w:rsidP="0094302D">
            <w:pPr>
              <w:jc w:val="both"/>
              <w:cnfStyle w:val="000000100000" w:firstRow="0" w:lastRow="0" w:firstColumn="0" w:lastColumn="0" w:oddVBand="0" w:evenVBand="0" w:oddHBand="1" w:evenHBand="0" w:firstRowFirstColumn="0" w:firstRowLastColumn="0" w:lastRowFirstColumn="0" w:lastRowLastColumn="0"/>
            </w:pPr>
            <w:r>
              <w:t>The rights</w:t>
            </w:r>
            <w:r w:rsidR="0080696C" w:rsidRPr="0080696C">
              <w:t xml:space="preserve"> deficit in domestic operations </w:t>
            </w:r>
            <w:r>
              <w:t xml:space="preserve">is </w:t>
            </w:r>
            <w:r w:rsidR="0080696C" w:rsidRPr="0080696C">
              <w:t>visible to international regulators</w:t>
            </w:r>
            <w:r w:rsidR="00AA45DC">
              <w:t>.</w:t>
            </w:r>
          </w:p>
        </w:tc>
      </w:tr>
      <w:tr w:rsidR="0080696C" w:rsidRPr="0080696C" w14:paraId="122B6A90" w14:textId="77777777" w:rsidTr="0080696C">
        <w:tc>
          <w:tcPr>
            <w:cnfStyle w:val="001000000000" w:firstRow="0" w:lastRow="0" w:firstColumn="1" w:lastColumn="0" w:oddVBand="0" w:evenVBand="0" w:oddHBand="0" w:evenHBand="0" w:firstRowFirstColumn="0" w:firstRowLastColumn="0" w:lastRowFirstColumn="0" w:lastRowLastColumn="0"/>
            <w:tcW w:w="0" w:type="auto"/>
            <w:hideMark/>
          </w:tcPr>
          <w:p w14:paraId="143F8167" w14:textId="77777777" w:rsidR="0080696C" w:rsidRPr="0080696C" w:rsidRDefault="0080696C" w:rsidP="0094302D">
            <w:pPr>
              <w:jc w:val="both"/>
            </w:pPr>
            <w:r w:rsidRPr="0080696C">
              <w:t>State access provisions</w:t>
            </w:r>
          </w:p>
        </w:tc>
        <w:tc>
          <w:tcPr>
            <w:tcW w:w="0" w:type="auto"/>
            <w:hideMark/>
          </w:tcPr>
          <w:p w14:paraId="635414B9"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FISA 702; limited transparency</w:t>
            </w:r>
          </w:p>
        </w:tc>
        <w:tc>
          <w:tcPr>
            <w:tcW w:w="0" w:type="auto"/>
            <w:hideMark/>
          </w:tcPr>
          <w:p w14:paraId="2BABF8EA"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Schrems II protections; adequacy conditionality</w:t>
            </w:r>
          </w:p>
        </w:tc>
        <w:tc>
          <w:tcPr>
            <w:tcW w:w="0" w:type="auto"/>
            <w:hideMark/>
          </w:tcPr>
          <w:p w14:paraId="7F78FE93"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National security overrides PIPL protections</w:t>
            </w:r>
          </w:p>
        </w:tc>
        <w:tc>
          <w:tcPr>
            <w:tcW w:w="0" w:type="auto"/>
            <w:hideMark/>
          </w:tcPr>
          <w:p w14:paraId="5FCB37E0"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Core source of enterprise customer trust deficit</w:t>
            </w:r>
          </w:p>
        </w:tc>
      </w:tr>
      <w:tr w:rsidR="0080696C" w:rsidRPr="0080696C" w14:paraId="62F01081" w14:textId="77777777" w:rsidTr="008069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A3D627" w14:textId="77777777" w:rsidR="0080696C" w:rsidRPr="0080696C" w:rsidRDefault="0080696C" w:rsidP="0094302D">
            <w:pPr>
              <w:jc w:val="both"/>
            </w:pPr>
            <w:r w:rsidRPr="0080696C">
              <w:t>Enforcement posture</w:t>
            </w:r>
          </w:p>
        </w:tc>
        <w:tc>
          <w:tcPr>
            <w:tcW w:w="0" w:type="auto"/>
            <w:hideMark/>
          </w:tcPr>
          <w:p w14:paraId="765B66B7"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FTC; sector regulators</w:t>
            </w:r>
          </w:p>
        </w:tc>
        <w:tc>
          <w:tcPr>
            <w:tcW w:w="0" w:type="auto"/>
            <w:hideMark/>
          </w:tcPr>
          <w:p w14:paraId="2B805E70"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DPAs; EDPB; fines up to 4% global turnover</w:t>
            </w:r>
          </w:p>
        </w:tc>
        <w:tc>
          <w:tcPr>
            <w:tcW w:w="0" w:type="auto"/>
            <w:hideMark/>
          </w:tcPr>
          <w:p w14:paraId="76B3AE26"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CAC; MIIT; administrative penalties</w:t>
            </w:r>
          </w:p>
        </w:tc>
        <w:tc>
          <w:tcPr>
            <w:tcW w:w="0" w:type="auto"/>
            <w:hideMark/>
          </w:tcPr>
          <w:p w14:paraId="662CE23C" w14:textId="2F7C7086"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 xml:space="preserve">EU and UK enforcement exposure is </w:t>
            </w:r>
            <w:r w:rsidR="00B45C4D">
              <w:t xml:space="preserve">the </w:t>
            </w:r>
            <w:r w:rsidRPr="0080696C">
              <w:t>highest financial risk</w:t>
            </w:r>
          </w:p>
        </w:tc>
      </w:tr>
    </w:tbl>
    <w:p w14:paraId="04D2A28B" w14:textId="77777777" w:rsidR="00B854A6" w:rsidRDefault="00B854A6" w:rsidP="00B854A6">
      <w:pPr>
        <w:keepNext/>
        <w:jc w:val="center"/>
      </w:pPr>
      <w:r w:rsidRPr="00B854A6">
        <w:rPr>
          <w:noProof/>
        </w:rPr>
        <w:drawing>
          <wp:inline distT="0" distB="0" distL="0" distR="0" wp14:anchorId="2400E1E0" wp14:editId="1BA77540">
            <wp:extent cx="4380968" cy="4373880"/>
            <wp:effectExtent l="0" t="0" r="635" b="7620"/>
            <wp:docPr id="1374064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064553" name=""/>
                    <pic:cNvPicPr/>
                  </pic:nvPicPr>
                  <pic:blipFill>
                    <a:blip r:embed="rId9"/>
                    <a:stretch>
                      <a:fillRect/>
                    </a:stretch>
                  </pic:blipFill>
                  <pic:spPr>
                    <a:xfrm>
                      <a:off x="0" y="0"/>
                      <a:ext cx="4391578" cy="4384473"/>
                    </a:xfrm>
                    <a:prstGeom prst="rect">
                      <a:avLst/>
                    </a:prstGeom>
                  </pic:spPr>
                </pic:pic>
              </a:graphicData>
            </a:graphic>
          </wp:inline>
        </w:drawing>
      </w:r>
    </w:p>
    <w:p w14:paraId="7DE1DC2E" w14:textId="6C5D750E" w:rsidR="00B854A6" w:rsidRDefault="00B854A6" w:rsidP="00B854A6">
      <w:pPr>
        <w:pStyle w:val="Caption"/>
        <w:jc w:val="center"/>
      </w:pPr>
      <w:r>
        <w:t xml:space="preserve">Figure </w:t>
      </w:r>
      <w:r>
        <w:fldChar w:fldCharType="begin"/>
      </w:r>
      <w:r>
        <w:instrText xml:space="preserve"> SEQ Figure \* ARABIC </w:instrText>
      </w:r>
      <w:r>
        <w:fldChar w:fldCharType="separate"/>
      </w:r>
      <w:r w:rsidR="0027264C">
        <w:rPr>
          <w:noProof/>
        </w:rPr>
        <w:t>2</w:t>
      </w:r>
      <w:r>
        <w:fldChar w:fldCharType="end"/>
      </w:r>
      <w:r>
        <w:t xml:space="preserve">: </w:t>
      </w:r>
      <w:r w:rsidRPr="00C1183C">
        <w:t>Global data governance model divergence</w:t>
      </w:r>
      <w:r>
        <w:t xml:space="preserve"> (Self-Made)</w:t>
      </w:r>
    </w:p>
    <w:p w14:paraId="1A8E07CF" w14:textId="2C84CE0F" w:rsidR="0080696C" w:rsidRPr="0080696C" w:rsidRDefault="0080696C" w:rsidP="0094302D">
      <w:pPr>
        <w:pStyle w:val="Heading2"/>
      </w:pPr>
      <w:bookmarkStart w:id="7" w:name="_Toc227978649"/>
      <w:r w:rsidRPr="0080696C">
        <w:lastRenderedPageBreak/>
        <w:t>UK Regulatory Environment: Divergence, Adequacy, and Enforcement</w:t>
      </w:r>
      <w:bookmarkEnd w:id="7"/>
    </w:p>
    <w:p w14:paraId="7D96FC59" w14:textId="282B245A" w:rsidR="003F4376" w:rsidRDefault="003F4376" w:rsidP="003F4376">
      <w:pPr>
        <w:jc w:val="both"/>
      </w:pPr>
      <w:r>
        <w:t>The post-Brexit model of AI and data regulation in the United Kingdom has been significantly different to that of the EU, which has resulted in a two-pronged compliance regime that directly impacts the Alibaba business in Europe in terms of data. In 2023, the UK Government published an AI White Paper that followed a pro-innovation regulation philosophy based on principles and did not establish a single statutory AI regulator or impose mandatory pre-market conformity testing. This is in stark contrast with the EU AI Act</w:t>
      </w:r>
      <w:r w:rsidR="00B45C4D">
        <w:t>,</w:t>
      </w:r>
      <w:r>
        <w:t xml:space="preserve"> which became effective in 2024 and introduced a tiered system of risk classification, obligatory conformity testing of high-risk AI systems, and a set of punitive measures up to 35 million euros or up to seven </w:t>
      </w:r>
      <w:r w:rsidR="00B45C4D">
        <w:t>per cent</w:t>
      </w:r>
      <w:r>
        <w:t xml:space="preserve"> of the annual global turnover in case of the most egregious violations. In the case of Alibaba, this divergence implies that AI systems used in the UK and EU markets will encounter significantly different regulatory obligations, which will add complexity to the compliance architecture and the possibility of unintended cross-jurisdictional variance.</w:t>
      </w:r>
    </w:p>
    <w:p w14:paraId="245BE5FC" w14:textId="1F73D4DF" w:rsidR="003F4376" w:rsidRDefault="003F4376" w:rsidP="003F4376">
      <w:pPr>
        <w:jc w:val="both"/>
      </w:pPr>
      <w:r>
        <w:t xml:space="preserve">The enforcement trend of ICO also increases the regulatory risk </w:t>
      </w:r>
      <w:r w:rsidR="00B45C4D">
        <w:t>for</w:t>
      </w:r>
      <w:r>
        <w:t xml:space="preserve"> Alibaba in the UK. The 2023 fine imposed on Snap Inc. by the ICO in the case of the My AI feature of Snapchat is analytically important since the enforcement measure was focused specifically on the sufficiency of data protection impact assessment of consumer-facing AI systems processing </w:t>
      </w:r>
      <w:r w:rsidR="00B45C4D">
        <w:t>children's</w:t>
      </w:r>
      <w:r>
        <w:t xml:space="preserve"> data in bulk. The ICO determined that Snap had not appropriately evaluated the risks of My AI prior to its deployment, which sets a clear precedent that consumer AI features must be prospectively assessed, in writing, instead of remediated through compliance. The consumer-facing applications of AI in all of Alibaba’s international platforms (such as recommendation systems, personalisation engines, and AI-assisted customer service tools) share a similar risk profile and must, as a </w:t>
      </w:r>
      <w:r w:rsidR="00B45C4D">
        <w:t>matter</w:t>
      </w:r>
      <w:r>
        <w:t xml:space="preserve"> of urgency, be measured against this enforcement precedent.</w:t>
      </w:r>
    </w:p>
    <w:p w14:paraId="7492AD90" w14:textId="055D48DD" w:rsidR="003F4376" w:rsidRDefault="003F4376" w:rsidP="003F4376">
      <w:pPr>
        <w:jc w:val="both"/>
      </w:pPr>
      <w:r>
        <w:t>The UK regulatory risk that is most time sensitive to Alibaba is that the UK adequacy decision with the EU expires in June 2025. The European Commission gave a time-limited adequacy decision to the UK following Brexit, allowing the free flow of personal data between the EU and the UK. The lapse of this ruling</w:t>
      </w:r>
      <w:r w:rsidR="00B45C4D">
        <w:t>, without renewal,</w:t>
      </w:r>
      <w:r>
        <w:t xml:space="preserve"> would leave a legal void in which the normal contractual terms or binding corporate policies would be the sole remaining methods of transfer of EU-to-UK data flows. In the case of Alibaba, where the data is redirected via UK infrastructure during its European cloud operation, the expiry of adequacy would create more complexity in the contracts, higher compliance costs, and might force disruption of the data </w:t>
      </w:r>
      <w:r>
        <w:lastRenderedPageBreak/>
        <w:t>flow structure, in case EU data protection authorities adopt a restrictive interpretation of other transfer solutions during the transition.</w:t>
      </w:r>
    </w:p>
    <w:p w14:paraId="3CEA9919" w14:textId="2C585FF8" w:rsidR="0080696C" w:rsidRPr="0080696C" w:rsidRDefault="003F4376" w:rsidP="003F4376">
      <w:pPr>
        <w:jc w:val="both"/>
      </w:pPr>
      <w:r>
        <w:t xml:space="preserve">The wider question of </w:t>
      </w:r>
      <w:r w:rsidR="00B45C4D">
        <w:t xml:space="preserve">the </w:t>
      </w:r>
      <w:r>
        <w:t>consequences of UK-EU data governance divergence on Alibaba goes beyond the issue of adequacy. The proposed UK GDPR changes in the proposed UK Data Protection and Digital Information reforms, which would alter the UK GDPR in alignment with the stated by the EU authorities</w:t>
      </w:r>
      <w:r w:rsidR="00B45C4D">
        <w:t>,</w:t>
      </w:r>
      <w:r>
        <w:t xml:space="preserve"> could impact the prospects of adequacy renewal, present regulatory direction uncertainty that is hard to plan around. The conservative scenario planning by Alibaba needs to presuppose that the UK-EU data transfer friction will grow between 2025 and 2028 and necessitate the investment in compliance infrastructure to match either a renewed adequate framework or a standard contractual clause regime. The priorities of enforcement</w:t>
      </w:r>
      <w:r w:rsidR="00B45C4D">
        <w:t>, as indicated by the Snap fine and successive publications of AI guidance,</w:t>
      </w:r>
      <w:r>
        <w:t xml:space="preserve"> suggest that proactive impact assessment of data protection of AI systems, accountable algorithms, and provable data protection of children are the most likely focus of near-term enforcement risk to consumer-facing operators of platforms.</w:t>
      </w:r>
    </w:p>
    <w:p w14:paraId="0F0018A5" w14:textId="57C1049F" w:rsidR="0080696C" w:rsidRPr="0080696C" w:rsidRDefault="0080696C" w:rsidP="0094302D">
      <w:pPr>
        <w:pStyle w:val="Heading2"/>
      </w:pPr>
      <w:bookmarkStart w:id="8" w:name="_Toc227978650"/>
      <w:r w:rsidRPr="0080696C">
        <w:t>AI Governance, Ethics, and the Chinese State</w:t>
      </w:r>
      <w:bookmarkEnd w:id="8"/>
    </w:p>
    <w:p w14:paraId="5F145C55" w14:textId="48A53ABA" w:rsidR="00B225C5" w:rsidRDefault="00B225C5" w:rsidP="00B225C5">
      <w:pPr>
        <w:jc w:val="both"/>
      </w:pPr>
      <w:r>
        <w:t xml:space="preserve">In their systematic review of Chinese AI policy, ethics, and regulation, Roberts et al. (2020) found that the ethical principles of AI in China are rooted in international standards but are framed in a framework of state authority that </w:t>
      </w:r>
      <w:r w:rsidR="00B45C4D">
        <w:t>prioritises</w:t>
      </w:r>
      <w:r>
        <w:t xml:space="preserve"> social goals above individual rights. It was argued by Chen and Xu (2025) that the AI governance norms in China can be seen as </w:t>
      </w:r>
      <w:r w:rsidR="00B45C4D">
        <w:t>a</w:t>
      </w:r>
      <w:r>
        <w:t xml:space="preserve"> unique state-society-market structure where the state holds the final say as to the boundaries of allowed AI usage. The principles of human rights protection, transparency, accountability, and non-discrimination are expressed in the Recommendation on the Ethics of Artificial Intelligence (UNESCO, 2023)</w:t>
      </w:r>
      <w:r w:rsidR="00B45C4D">
        <w:t>, which</w:t>
      </w:r>
      <w:r>
        <w:t xml:space="preserve"> has a different institutional consideration in the Chinese governance system as compared to liberal democracies.</w:t>
      </w:r>
    </w:p>
    <w:p w14:paraId="05E987A1" w14:textId="2BB04E12" w:rsidR="0080696C" w:rsidRPr="0080696C" w:rsidRDefault="00B225C5" w:rsidP="00B225C5">
      <w:pPr>
        <w:jc w:val="both"/>
      </w:pPr>
      <w:r>
        <w:t>Emery-Xu, Jordan and Trager (2024) discovered that the future of multilateral governance of AI is limited by the extent of the divide between democratic-liberal and authoritarian-developmentalist governance philosophies. Hung (2025) established that the discourse of governance by China is defensive and offensive in its claims of sovereignty and norm-setting aspirations</w:t>
      </w:r>
      <w:r w:rsidR="00B45C4D">
        <w:t>,</w:t>
      </w:r>
      <w:r>
        <w:t xml:space="preserve"> respectively. According to Zeng (2020), the domestic </w:t>
      </w:r>
      <w:r w:rsidR="00B45C4D">
        <w:t>use of AI, such as surveillance systems and social credit, creates significant reputational risk for Chinese technology companies in</w:t>
      </w:r>
      <w:r>
        <w:t xml:space="preserve"> international markets that are based on a democratic market. Jaiswal and </w:t>
      </w:r>
      <w:proofErr w:type="spellStart"/>
      <w:r>
        <w:t>Schaathun</w:t>
      </w:r>
      <w:proofErr w:type="spellEnd"/>
      <w:r>
        <w:t xml:space="preserve"> (2025) claimed that human sovereignty in the digital era demands governance structures that focus on </w:t>
      </w:r>
      <w:r w:rsidR="00B45C4D">
        <w:t xml:space="preserve">the </w:t>
      </w:r>
      <w:r>
        <w:t xml:space="preserve">agency of individuals, which is not always met by the contemporary </w:t>
      </w:r>
      <w:r>
        <w:lastRenderedPageBreak/>
        <w:t xml:space="preserve">structure that the Alibaba company currently has. Pandey (2025) showed that even the emerging economies are creating native AI stacks so that they do not rely on either </w:t>
      </w:r>
      <w:r w:rsidR="00B45C4D">
        <w:t xml:space="preserve">the Chinese or the </w:t>
      </w:r>
      <w:r>
        <w:t xml:space="preserve">US platform infrastructure, which is a reflection of a generalised lack of trust. Yoon, </w:t>
      </w:r>
      <w:proofErr w:type="spellStart"/>
      <w:r>
        <w:t>Belkhouja</w:t>
      </w:r>
      <w:proofErr w:type="spellEnd"/>
      <w:r>
        <w:t xml:space="preserve"> and </w:t>
      </w:r>
      <w:proofErr w:type="spellStart"/>
      <w:r>
        <w:t>Dau</w:t>
      </w:r>
      <w:proofErr w:type="spellEnd"/>
      <w:r>
        <w:t xml:space="preserve"> (2025) established that the jurisdictions that have a high privacy culture create more trusted AI innovation conditions, which suggests that the international governance investment of Alibaba has direct commercial outcomes.</w:t>
      </w:r>
    </w:p>
    <w:p w14:paraId="6B04D393" w14:textId="5C5626DE" w:rsidR="0080696C" w:rsidRPr="0080696C" w:rsidRDefault="0080696C" w:rsidP="0094302D">
      <w:pPr>
        <w:pStyle w:val="Heading2"/>
      </w:pPr>
      <w:bookmarkStart w:id="9" w:name="_Toc227978651"/>
      <w:r w:rsidRPr="0080696C">
        <w:t>Geopolitical Risk and International Expansion</w:t>
      </w:r>
      <w:bookmarkEnd w:id="9"/>
    </w:p>
    <w:p w14:paraId="28BE1894" w14:textId="31246677" w:rsidR="0080696C" w:rsidRPr="0080696C" w:rsidRDefault="00B225C5" w:rsidP="0094302D">
      <w:pPr>
        <w:jc w:val="both"/>
      </w:pPr>
      <w:r w:rsidRPr="00B225C5">
        <w:t xml:space="preserve">Yang and Li (2025) discovered that although the Alibaba Cloud has made a pronounced inroads into the Southeast Asian market, host countries are building data governance systems to limit sensitive data transmission through the Chinese-owned system. Chander and Sun (2023) found that host countries resort to geopolitical risk management through the use of data sovereignty instruments more and more. According to </w:t>
      </w:r>
      <w:proofErr w:type="spellStart"/>
      <w:r w:rsidRPr="00B225C5">
        <w:t>Jacobides</w:t>
      </w:r>
      <w:proofErr w:type="spellEnd"/>
      <w:r w:rsidRPr="00B225C5">
        <w:t xml:space="preserve">, </w:t>
      </w:r>
      <w:proofErr w:type="spellStart"/>
      <w:r w:rsidRPr="00B225C5">
        <w:t>Brusoni</w:t>
      </w:r>
      <w:proofErr w:type="spellEnd"/>
      <w:r w:rsidRPr="00B225C5">
        <w:t xml:space="preserve"> and </w:t>
      </w:r>
      <w:proofErr w:type="spellStart"/>
      <w:r w:rsidRPr="00B225C5">
        <w:t>Candelon</w:t>
      </w:r>
      <w:proofErr w:type="spellEnd"/>
      <w:r w:rsidRPr="00B225C5">
        <w:t xml:space="preserve"> (2021), AI ecosystems </w:t>
      </w:r>
      <w:r w:rsidR="00B45C4D">
        <w:t>feature winner-take-most dynamics, which implies that the window for</w:t>
      </w:r>
      <w:r w:rsidRPr="00B225C5">
        <w:t xml:space="preserve"> Alibaba to credibly position itself internationally as a cloud provider is closing. </w:t>
      </w:r>
      <w:proofErr w:type="spellStart"/>
      <w:r w:rsidRPr="00B225C5">
        <w:t>Gawer</w:t>
      </w:r>
      <w:proofErr w:type="spellEnd"/>
      <w:r w:rsidRPr="00B225C5">
        <w:t xml:space="preserve"> (2021) contended that platform ecosystem dominance hinges on the complementor trust that needs predictable and transparent governance. According to Kamara and Hert (2018), the legitimate interest justifications of data processing in GDPR-like systems imply that there must exist actual accountability measures as opposed to official statements, which is directly applicable to the operations of Alibaba in the EU.</w:t>
      </w:r>
    </w:p>
    <w:p w14:paraId="1FC1AF59" w14:textId="47B1B9DC" w:rsidR="0080696C" w:rsidRPr="0080696C" w:rsidRDefault="0080696C" w:rsidP="0094302D">
      <w:pPr>
        <w:pStyle w:val="Heading2"/>
      </w:pPr>
      <w:bookmarkStart w:id="10" w:name="_Toc227978652"/>
      <w:r w:rsidRPr="0080696C">
        <w:t>Data Colonialism and Emerging Market Contestation</w:t>
      </w:r>
      <w:bookmarkEnd w:id="10"/>
    </w:p>
    <w:p w14:paraId="515EAA4C" w14:textId="67AC8AAB" w:rsidR="0080696C" w:rsidRPr="0080696C" w:rsidRDefault="00B225C5" w:rsidP="0094302D">
      <w:pPr>
        <w:jc w:val="both"/>
      </w:pPr>
      <w:proofErr w:type="spellStart"/>
      <w:r w:rsidRPr="00B225C5">
        <w:t>Couldry</w:t>
      </w:r>
      <w:proofErr w:type="spellEnd"/>
      <w:r w:rsidRPr="00B225C5">
        <w:t xml:space="preserve"> and </w:t>
      </w:r>
      <w:proofErr w:type="spellStart"/>
      <w:r w:rsidRPr="00B225C5">
        <w:t>Mejias</w:t>
      </w:r>
      <w:proofErr w:type="spellEnd"/>
      <w:r w:rsidRPr="00B225C5">
        <w:t xml:space="preserve"> (2019) defined data colonialism as the appropriation of human social life in the form of value by the dominant actors on the platform, which is a new type of colonial relationship. </w:t>
      </w:r>
      <w:proofErr w:type="spellStart"/>
      <w:r w:rsidRPr="00B225C5">
        <w:t>Kwet</w:t>
      </w:r>
      <w:proofErr w:type="spellEnd"/>
      <w:r w:rsidRPr="00B225C5">
        <w:t xml:space="preserve"> (2019) posited that the structural logic of digital colonialism is relevant in any place where dominant digital infrastructure is externally owned, regardless of the nationality of the infrastructure provider. Milan and </w:t>
      </w:r>
      <w:proofErr w:type="spellStart"/>
      <w:r w:rsidRPr="00B225C5">
        <w:t>Treré</w:t>
      </w:r>
      <w:proofErr w:type="spellEnd"/>
      <w:r w:rsidRPr="00B225C5">
        <w:t xml:space="preserve"> (2019) critiqued the concept of data universalism, stating that the main types of governance structures mirror the interests of the Global North and implement these standards in the circumstances of the southern regions with other developmental requirements. UNCTAD (2021) affirmed that most of the data value created in the developing nations is sent to foreign platform operators who hold it instead of the countries. The World Bank (2021) has pointed to data institutions managed locally as essential in assuring that data value creation is useful in domestic development. They found that the AI catching-up strategy developed by China is still structurally reliant on the </w:t>
      </w:r>
      <w:r w:rsidRPr="00B225C5">
        <w:lastRenderedPageBreak/>
        <w:t xml:space="preserve">international absorption of knowledge (Lundvall and </w:t>
      </w:r>
      <w:proofErr w:type="spellStart"/>
      <w:r w:rsidRPr="00B225C5">
        <w:t>Rokap</w:t>
      </w:r>
      <w:proofErr w:type="spellEnd"/>
      <w:r w:rsidRPr="00B225C5">
        <w:t xml:space="preserve">, 2022; Naughton, 2021). Yu, Liang and Xue (2021) discovered that the AI sector in China, both spatially and state-oriented, is questionable in terms of transferability. Yang and Li (2025) </w:t>
      </w:r>
      <w:r w:rsidR="00B45C4D">
        <w:t>recognised the trend of progressive host state de-risking of digital infrastructure against Chinese platform dependency as the main systemic headwind on the internationalisation</w:t>
      </w:r>
      <w:r w:rsidRPr="00B225C5">
        <w:t xml:space="preserve"> of Alibaba.</w:t>
      </w:r>
    </w:p>
    <w:p w14:paraId="37B815A1" w14:textId="4D48390B" w:rsidR="0080696C" w:rsidRPr="0080696C" w:rsidRDefault="0080696C" w:rsidP="0094302D">
      <w:pPr>
        <w:pStyle w:val="Heading1"/>
        <w:jc w:val="both"/>
      </w:pPr>
      <w:bookmarkStart w:id="11" w:name="_Toc227978653"/>
      <w:r w:rsidRPr="0080696C">
        <w:t>Risk Register and Scenario Analysis</w:t>
      </w:r>
      <w:bookmarkEnd w:id="11"/>
    </w:p>
    <w:p w14:paraId="67B43BD0" w14:textId="77777777" w:rsidR="0027264C" w:rsidRDefault="0027264C" w:rsidP="0027264C">
      <w:pPr>
        <w:keepNext/>
        <w:jc w:val="center"/>
      </w:pPr>
      <w:r w:rsidRPr="0027264C">
        <w:rPr>
          <w:b/>
          <w:bCs/>
          <w:noProof/>
        </w:rPr>
        <w:drawing>
          <wp:inline distT="0" distB="0" distL="0" distR="0" wp14:anchorId="57E9541B" wp14:editId="4E8DC6CC">
            <wp:extent cx="4659571" cy="2682240"/>
            <wp:effectExtent l="0" t="0" r="8255" b="3810"/>
            <wp:docPr id="2009249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249194" name=""/>
                    <pic:cNvPicPr/>
                  </pic:nvPicPr>
                  <pic:blipFill>
                    <a:blip r:embed="rId10"/>
                    <a:stretch>
                      <a:fillRect/>
                    </a:stretch>
                  </pic:blipFill>
                  <pic:spPr>
                    <a:xfrm>
                      <a:off x="0" y="0"/>
                      <a:ext cx="4680659" cy="2694379"/>
                    </a:xfrm>
                    <a:prstGeom prst="rect">
                      <a:avLst/>
                    </a:prstGeom>
                  </pic:spPr>
                </pic:pic>
              </a:graphicData>
            </a:graphic>
          </wp:inline>
        </w:drawing>
      </w:r>
    </w:p>
    <w:p w14:paraId="06C1F2FC" w14:textId="63A9627E" w:rsidR="0027264C" w:rsidRPr="0080696C" w:rsidRDefault="0027264C" w:rsidP="0027264C">
      <w:pPr>
        <w:pStyle w:val="Caption"/>
        <w:jc w:val="center"/>
        <w:rPr>
          <w:b/>
          <w:bCs/>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934B72">
        <w:t>Distribution of international regulatory risks</w:t>
      </w:r>
      <w:r>
        <w:t xml:space="preserve"> (Self-Made)</w:t>
      </w:r>
    </w:p>
    <w:p w14:paraId="01966F57" w14:textId="27EBB006" w:rsidR="001F2079" w:rsidRDefault="001F2079" w:rsidP="001F2079">
      <w:pPr>
        <w:jc w:val="both"/>
      </w:pPr>
      <w:r>
        <w:t xml:space="preserve">The bubble chart illustrating the distribution of international regulatory risks gives a </w:t>
      </w:r>
      <w:r w:rsidR="00B45C4D">
        <w:t>summarised</w:t>
      </w:r>
      <w:r>
        <w:t xml:space="preserve"> visual representation of the risk register by charting the severity of the major governance dilemmas that Alibaba has in its international business. In this graph, the horizontal axis is the likelihood, whereas the vertical axis is impact, and each risk can be placed in a position based on its likelihood to occur and the impact it is likely to have on the organisation. The bubble size is proportional to the risk score calculated, thus providing an additional analytic dimension that indicates general severity in one integrated analysis.</w:t>
      </w:r>
    </w:p>
    <w:p w14:paraId="3D1EAE39" w14:textId="10399118" w:rsidR="00E517DD" w:rsidRDefault="00E517DD" w:rsidP="00E517DD">
      <w:pPr>
        <w:jc w:val="both"/>
      </w:pPr>
      <w:r>
        <w:t>The most obvious thing about the diagram is that the risks that are most severe are located in the upper-right quadrant</w:t>
      </w:r>
      <w:r w:rsidR="00B45C4D">
        <w:t>,</w:t>
      </w:r>
      <w:r>
        <w:t xml:space="preserve"> which implies that they are high in probability and impact simultaneously. In particular, the likelihood of GDPR enforcement is visually depicted as the largest bubble because it will have the highest exposure in the form of financial fines and impact on its operations and reputation. Such a ranking indicates that the inability to adhere to GDPR is the most structurally pertinent regulatory risk in the overall international risk environment. Another high-risk factor, which is in the same high-risk category, is the risk of UK adequacy expiry and EU AI Act compliance</w:t>
      </w:r>
      <w:r w:rsidR="00AA45DC">
        <w:t>; both have a high likelihood and impact,</w:t>
      </w:r>
      <w:r>
        <w:t xml:space="preserve"> </w:t>
      </w:r>
      <w:r>
        <w:lastRenderedPageBreak/>
        <w:t>particularly in the issue of maintaining data transfer and meeting the requirements of AI governance.</w:t>
      </w:r>
    </w:p>
    <w:p w14:paraId="75FB907C" w14:textId="6A8EA7E8" w:rsidR="00B12EA9" w:rsidRDefault="00B12EA9" w:rsidP="00B12EA9">
      <w:pPr>
        <w:jc w:val="both"/>
      </w:pPr>
      <w:r>
        <w:t>The bubble chart also reveals that the risks exist in a number of ways that</w:t>
      </w:r>
      <w:r w:rsidR="00AA45DC">
        <w:t>, when combined, make</w:t>
      </w:r>
      <w:r>
        <w:t xml:space="preserve"> up a narrow band of risk of mid-to high risks. These are regulatory divergence pressures and compliance fragmentation between jurisdictions, which not only complicate operations when they are still not yet enforced. The visual dispersion thus provides support to the systematic nature of regulatory exposure</w:t>
      </w:r>
      <w:r w:rsidR="00AA45DC">
        <w:t>,</w:t>
      </w:r>
      <w:r>
        <w:t xml:space="preserve"> whereby overlapping governance regimes bring about cumulative and rather fragmented effects of risk.</w:t>
      </w:r>
    </w:p>
    <w:p w14:paraId="181B8287" w14:textId="4EE2DECE" w:rsidR="00F04120" w:rsidRPr="0027264C" w:rsidRDefault="00B12EA9" w:rsidP="00B12EA9">
      <w:pPr>
        <w:jc w:val="both"/>
      </w:pPr>
      <w:r>
        <w:t>As a whole, the diagram may be taken as the analytical synthesis tool, which will be able to comprehend the dynamics of regulatory, legal, and geopolitical risks in the Alibaba international digital ecosystem even better. It makes sense of the fact that the distribution of exposure to risk is not uniform but is clumped at certain points of regulation, where the concentration of enforcement and legal divergence overlap.</w:t>
      </w:r>
    </w:p>
    <w:p w14:paraId="5DF7B6D6" w14:textId="79EAECAB" w:rsidR="0080696C" w:rsidRPr="0080696C" w:rsidRDefault="0080696C" w:rsidP="0094302D">
      <w:pPr>
        <w:pStyle w:val="Heading1"/>
        <w:jc w:val="both"/>
      </w:pPr>
      <w:bookmarkStart w:id="12" w:name="_Toc227978654"/>
      <w:r w:rsidRPr="0080696C">
        <w:t>Scenario Analysis</w:t>
      </w:r>
      <w:bookmarkEnd w:id="12"/>
    </w:p>
    <w:p w14:paraId="5A2EB236" w14:textId="15B28DAC" w:rsidR="0045768E" w:rsidRDefault="0045768E" w:rsidP="0045768E">
      <w:pPr>
        <w:jc w:val="both"/>
      </w:pPr>
      <w:r>
        <w:t xml:space="preserve">Scenario A: US Adds Alibaba Cloud to its Entity List. Should the US Department of Commerce add Alibaba Cloud to the Entity List to limit access to US-origin technology, cloud infrastructure components, and semiconductor supply chains, our advice is that Alibaba should immediately switch to using its pre-built technical segregation architecture to show that international cloud services can operate without using sanctioned components. The company must involve legal services in all jurisdictions impacted to determine the exposure of secondary sanctions on international consumers and must proactively discuss service continuity strategies with enterprise consumers. The long-term strategic reaction is </w:t>
      </w:r>
      <w:r w:rsidR="00AA45DC">
        <w:t xml:space="preserve">the </w:t>
      </w:r>
      <w:r>
        <w:t>expediency of the sovereign cloud framework and investment in non-US-reliant technology stacks, especially via collaborations with European and ASEAN technology suppliers.</w:t>
      </w:r>
    </w:p>
    <w:p w14:paraId="4C7798E9" w14:textId="182F3F4E" w:rsidR="0045768E" w:rsidRDefault="0045768E" w:rsidP="0045768E">
      <w:pPr>
        <w:jc w:val="both"/>
      </w:pPr>
      <w:r>
        <w:t xml:space="preserve">Scenario B: EU Adequacy Decision on UK expires, but is not renewed. In case the EU adequacy decision </w:t>
      </w:r>
      <w:r w:rsidR="00AA45DC">
        <w:t xml:space="preserve">for the UK runs out of time in June 2025 and is not renewed, the EU-to-UK data flows in Alibaba will have to be covered by standard contractual clauses or binding corporate rules as an </w:t>
      </w:r>
      <w:r>
        <w:t>alternative means of transfer. We suggest that by June 2025, Alibaba should have SCCs and be prepared to become operational, and should make a comprehensive audit of data flows that are currently based on the adequacy decision to ensure that there is no compliance gap in the transition period. The company must consult the ICO directly as to what is expected in enforcement during any transitional period</w:t>
      </w:r>
      <w:r w:rsidR="00C10BFB">
        <w:t>,</w:t>
      </w:r>
      <w:r>
        <w:t xml:space="preserve"> and it must follow negotiations on </w:t>
      </w:r>
      <w:r>
        <w:lastRenderedPageBreak/>
        <w:t>renewal of adequacy decisions by the EU as a way of determining the likelihood and timeframe of resolution.</w:t>
      </w:r>
    </w:p>
    <w:p w14:paraId="026A65BA" w14:textId="57993056" w:rsidR="0080696C" w:rsidRPr="0080696C" w:rsidRDefault="0045768E" w:rsidP="0045768E">
      <w:pPr>
        <w:jc w:val="both"/>
      </w:pPr>
      <w:r>
        <w:t>Scenario C: China Requires an Increased Localisation of Data on Outbound Transfers. In case China</w:t>
      </w:r>
      <w:r w:rsidR="00C10BFB">
        <w:t>, under the PIPL,</w:t>
      </w:r>
      <w:r>
        <w:t xml:space="preserve"> tightens outbound data transfer restrictions by the Cyberspace Administration, and implements security assessments on a wider range of data flows, the international operations of Alibaba would be bilaterally pressured by compliance forces on outbound data export and inbound data import restrictions by Chinese law and foreign law. We suggest that Alibaba should proactively design its international operations in such a way that it minimises data transfers between a domestic and international infrastructure to limit exposure to this bilateral squeeze by using technical, but not strictly contractual, means.</w:t>
      </w:r>
    </w:p>
    <w:p w14:paraId="46CD3463" w14:textId="4877BE33" w:rsidR="0080696C" w:rsidRPr="0080696C" w:rsidRDefault="0080696C" w:rsidP="0094302D">
      <w:pPr>
        <w:pStyle w:val="Heading1"/>
        <w:jc w:val="both"/>
      </w:pPr>
      <w:bookmarkStart w:id="13" w:name="_Toc227978655"/>
      <w:r w:rsidRPr="0080696C">
        <w:t>Implementation Plan</w:t>
      </w:r>
      <w:bookmarkEnd w:id="13"/>
    </w:p>
    <w:p w14:paraId="495F8D10" w14:textId="77777777" w:rsidR="0080696C" w:rsidRPr="0080696C" w:rsidRDefault="0080696C" w:rsidP="0094302D">
      <w:pPr>
        <w:jc w:val="both"/>
        <w:rPr>
          <w:b/>
          <w:bCs/>
        </w:rPr>
      </w:pPr>
      <w:r w:rsidRPr="0080696C">
        <w:rPr>
          <w:b/>
          <w:bCs/>
        </w:rPr>
        <w:t>Table 4: KPIs with Baselines and Targets</w:t>
      </w:r>
    </w:p>
    <w:tbl>
      <w:tblPr>
        <w:tblStyle w:val="GridTable4-Accent5"/>
        <w:tblW w:w="9347" w:type="dxa"/>
        <w:tblLook w:val="04A0" w:firstRow="1" w:lastRow="0" w:firstColumn="1" w:lastColumn="0" w:noHBand="0" w:noVBand="1"/>
      </w:tblPr>
      <w:tblGrid>
        <w:gridCol w:w="3299"/>
        <w:gridCol w:w="1748"/>
        <w:gridCol w:w="1832"/>
        <w:gridCol w:w="2468"/>
      </w:tblGrid>
      <w:tr w:rsidR="0080696C" w:rsidRPr="0080696C" w14:paraId="1AE2A734" w14:textId="77777777" w:rsidTr="0080696C">
        <w:trPr>
          <w:cnfStyle w:val="100000000000" w:firstRow="1" w:lastRow="0" w:firstColumn="0" w:lastColumn="0" w:oddVBand="0" w:evenVBand="0" w:oddHBand="0"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0" w:type="auto"/>
            <w:hideMark/>
          </w:tcPr>
          <w:p w14:paraId="71B37A26" w14:textId="77777777" w:rsidR="0080696C" w:rsidRPr="0080696C" w:rsidRDefault="0080696C" w:rsidP="0094302D">
            <w:pPr>
              <w:jc w:val="both"/>
            </w:pPr>
            <w:r w:rsidRPr="0080696C">
              <w:t>KPI</w:t>
            </w:r>
          </w:p>
        </w:tc>
        <w:tc>
          <w:tcPr>
            <w:tcW w:w="0" w:type="auto"/>
            <w:hideMark/>
          </w:tcPr>
          <w:p w14:paraId="0D61EDC2"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Baseline (2025)</w:t>
            </w:r>
          </w:p>
        </w:tc>
        <w:tc>
          <w:tcPr>
            <w:tcW w:w="0" w:type="auto"/>
            <w:hideMark/>
          </w:tcPr>
          <w:p w14:paraId="00EAD8F6"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Target (2028)</w:t>
            </w:r>
          </w:p>
        </w:tc>
        <w:tc>
          <w:tcPr>
            <w:tcW w:w="0" w:type="auto"/>
            <w:hideMark/>
          </w:tcPr>
          <w:p w14:paraId="4C9212A8"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Measurement Method</w:t>
            </w:r>
          </w:p>
        </w:tc>
      </w:tr>
      <w:tr w:rsidR="0080696C" w:rsidRPr="0080696C" w14:paraId="773C712D" w14:textId="77777777" w:rsidTr="0080696C">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0" w:type="auto"/>
            <w:hideMark/>
          </w:tcPr>
          <w:p w14:paraId="0435319D" w14:textId="77777777" w:rsidR="0080696C" w:rsidRPr="0080696C" w:rsidRDefault="0080696C" w:rsidP="0094302D">
            <w:pPr>
              <w:jc w:val="both"/>
            </w:pPr>
            <w:r w:rsidRPr="0080696C">
              <w:t>Enterprise trust index (ASEAN)</w:t>
            </w:r>
          </w:p>
        </w:tc>
        <w:tc>
          <w:tcPr>
            <w:tcW w:w="0" w:type="auto"/>
            <w:hideMark/>
          </w:tcPr>
          <w:p w14:paraId="07BCFE99"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42% favourable</w:t>
            </w:r>
          </w:p>
        </w:tc>
        <w:tc>
          <w:tcPr>
            <w:tcW w:w="0" w:type="auto"/>
            <w:hideMark/>
          </w:tcPr>
          <w:p w14:paraId="787FEDA6"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65% favourable</w:t>
            </w:r>
          </w:p>
        </w:tc>
        <w:tc>
          <w:tcPr>
            <w:tcW w:w="0" w:type="auto"/>
            <w:hideMark/>
          </w:tcPr>
          <w:p w14:paraId="5ECCF0BD"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Annual independent survey</w:t>
            </w:r>
          </w:p>
        </w:tc>
      </w:tr>
      <w:tr w:rsidR="0080696C" w:rsidRPr="0080696C" w14:paraId="080A19D5" w14:textId="77777777" w:rsidTr="0080696C">
        <w:trPr>
          <w:trHeight w:val="662"/>
        </w:trPr>
        <w:tc>
          <w:tcPr>
            <w:cnfStyle w:val="001000000000" w:firstRow="0" w:lastRow="0" w:firstColumn="1" w:lastColumn="0" w:oddVBand="0" w:evenVBand="0" w:oddHBand="0" w:evenHBand="0" w:firstRowFirstColumn="0" w:firstRowLastColumn="0" w:lastRowFirstColumn="0" w:lastRowLastColumn="0"/>
            <w:tcW w:w="0" w:type="auto"/>
            <w:hideMark/>
          </w:tcPr>
          <w:p w14:paraId="64CEC87A" w14:textId="77777777" w:rsidR="0080696C" w:rsidRPr="0080696C" w:rsidRDefault="0080696C" w:rsidP="0094302D">
            <w:pPr>
              <w:jc w:val="both"/>
            </w:pPr>
            <w:r w:rsidRPr="0080696C">
              <w:t>Data localisation compliance rate</w:t>
            </w:r>
          </w:p>
        </w:tc>
        <w:tc>
          <w:tcPr>
            <w:tcW w:w="0" w:type="auto"/>
            <w:hideMark/>
          </w:tcPr>
          <w:p w14:paraId="6BEDD758"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67%</w:t>
            </w:r>
          </w:p>
        </w:tc>
        <w:tc>
          <w:tcPr>
            <w:tcW w:w="0" w:type="auto"/>
            <w:hideMark/>
          </w:tcPr>
          <w:p w14:paraId="1E6B41CF"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100%</w:t>
            </w:r>
          </w:p>
        </w:tc>
        <w:tc>
          <w:tcPr>
            <w:tcW w:w="0" w:type="auto"/>
            <w:hideMark/>
          </w:tcPr>
          <w:p w14:paraId="13C858FA"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External audit (Big Four)</w:t>
            </w:r>
          </w:p>
        </w:tc>
      </w:tr>
      <w:tr w:rsidR="0080696C" w:rsidRPr="0080696C" w14:paraId="6671FCEF" w14:textId="77777777" w:rsidTr="0080696C">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0" w:type="auto"/>
            <w:hideMark/>
          </w:tcPr>
          <w:p w14:paraId="068DBDE6" w14:textId="77777777" w:rsidR="0080696C" w:rsidRPr="0080696C" w:rsidRDefault="0080696C" w:rsidP="0094302D">
            <w:pPr>
              <w:jc w:val="both"/>
            </w:pPr>
            <w:r w:rsidRPr="0080696C">
              <w:t>Regulatory fines (annual)</w:t>
            </w:r>
          </w:p>
        </w:tc>
        <w:tc>
          <w:tcPr>
            <w:tcW w:w="0" w:type="auto"/>
            <w:hideMark/>
          </w:tcPr>
          <w:p w14:paraId="06BAD8E8"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USD 0</w:t>
            </w:r>
          </w:p>
        </w:tc>
        <w:tc>
          <w:tcPr>
            <w:tcW w:w="0" w:type="auto"/>
            <w:hideMark/>
          </w:tcPr>
          <w:p w14:paraId="491FE02C"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USD 0</w:t>
            </w:r>
          </w:p>
        </w:tc>
        <w:tc>
          <w:tcPr>
            <w:tcW w:w="0" w:type="auto"/>
            <w:hideMark/>
          </w:tcPr>
          <w:p w14:paraId="66E7D20C"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Regulatory disclosure review</w:t>
            </w:r>
          </w:p>
        </w:tc>
      </w:tr>
      <w:tr w:rsidR="0080696C" w:rsidRPr="0080696C" w14:paraId="2ACF3651" w14:textId="77777777" w:rsidTr="0080696C">
        <w:trPr>
          <w:trHeight w:val="662"/>
        </w:trPr>
        <w:tc>
          <w:tcPr>
            <w:cnfStyle w:val="001000000000" w:firstRow="0" w:lastRow="0" w:firstColumn="1" w:lastColumn="0" w:oddVBand="0" w:evenVBand="0" w:oddHBand="0" w:evenHBand="0" w:firstRowFirstColumn="0" w:firstRowLastColumn="0" w:lastRowFirstColumn="0" w:lastRowLastColumn="0"/>
            <w:tcW w:w="0" w:type="auto"/>
            <w:hideMark/>
          </w:tcPr>
          <w:p w14:paraId="3E015037" w14:textId="77777777" w:rsidR="0080696C" w:rsidRPr="0080696C" w:rsidRDefault="0080696C" w:rsidP="0094302D">
            <w:pPr>
              <w:jc w:val="both"/>
            </w:pPr>
            <w:r w:rsidRPr="0080696C">
              <w:t>GDPR adequacy-equivalent coverage</w:t>
            </w:r>
          </w:p>
        </w:tc>
        <w:tc>
          <w:tcPr>
            <w:tcW w:w="0" w:type="auto"/>
            <w:hideMark/>
          </w:tcPr>
          <w:p w14:paraId="536F1D54"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45% of EU operations</w:t>
            </w:r>
          </w:p>
        </w:tc>
        <w:tc>
          <w:tcPr>
            <w:tcW w:w="0" w:type="auto"/>
            <w:hideMark/>
          </w:tcPr>
          <w:p w14:paraId="68C50710"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100% of EU operations</w:t>
            </w:r>
          </w:p>
        </w:tc>
        <w:tc>
          <w:tcPr>
            <w:tcW w:w="0" w:type="auto"/>
            <w:hideMark/>
          </w:tcPr>
          <w:p w14:paraId="69ACF210"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Legal compliance audit</w:t>
            </w:r>
          </w:p>
        </w:tc>
      </w:tr>
      <w:tr w:rsidR="0080696C" w:rsidRPr="0080696C" w14:paraId="23C053CD" w14:textId="77777777" w:rsidTr="0080696C">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0" w:type="auto"/>
            <w:hideMark/>
          </w:tcPr>
          <w:p w14:paraId="6A63877B" w14:textId="77777777" w:rsidR="0080696C" w:rsidRPr="0080696C" w:rsidRDefault="0080696C" w:rsidP="0094302D">
            <w:pPr>
              <w:jc w:val="both"/>
            </w:pPr>
            <w:r w:rsidRPr="0080696C">
              <w:t>UK ICO DPIA completion rate for consumer AI</w:t>
            </w:r>
          </w:p>
        </w:tc>
        <w:tc>
          <w:tcPr>
            <w:tcW w:w="0" w:type="auto"/>
            <w:hideMark/>
          </w:tcPr>
          <w:p w14:paraId="07517385"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30%</w:t>
            </w:r>
          </w:p>
        </w:tc>
        <w:tc>
          <w:tcPr>
            <w:tcW w:w="0" w:type="auto"/>
            <w:hideMark/>
          </w:tcPr>
          <w:p w14:paraId="5AC97621"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100%</w:t>
            </w:r>
          </w:p>
        </w:tc>
        <w:tc>
          <w:tcPr>
            <w:tcW w:w="0" w:type="auto"/>
            <w:hideMark/>
          </w:tcPr>
          <w:p w14:paraId="7DC5AE65"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Internal compliance dashboard</w:t>
            </w:r>
          </w:p>
        </w:tc>
      </w:tr>
      <w:tr w:rsidR="0080696C" w:rsidRPr="0080696C" w14:paraId="13D37EBE" w14:textId="77777777" w:rsidTr="0080696C">
        <w:trPr>
          <w:trHeight w:val="662"/>
        </w:trPr>
        <w:tc>
          <w:tcPr>
            <w:cnfStyle w:val="001000000000" w:firstRow="0" w:lastRow="0" w:firstColumn="1" w:lastColumn="0" w:oddVBand="0" w:evenVBand="0" w:oddHBand="0" w:evenHBand="0" w:firstRowFirstColumn="0" w:firstRowLastColumn="0" w:lastRowFirstColumn="0" w:lastRowLastColumn="0"/>
            <w:tcW w:w="0" w:type="auto"/>
            <w:hideMark/>
          </w:tcPr>
          <w:p w14:paraId="245BA3BC" w14:textId="77777777" w:rsidR="0080696C" w:rsidRPr="0080696C" w:rsidRDefault="0080696C" w:rsidP="0094302D">
            <w:pPr>
              <w:jc w:val="both"/>
            </w:pPr>
            <w:r w:rsidRPr="0080696C">
              <w:t>Independent AI ethics audit completion</w:t>
            </w:r>
          </w:p>
        </w:tc>
        <w:tc>
          <w:tcPr>
            <w:tcW w:w="0" w:type="auto"/>
            <w:hideMark/>
          </w:tcPr>
          <w:p w14:paraId="6AA528FA"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0</w:t>
            </w:r>
          </w:p>
        </w:tc>
        <w:tc>
          <w:tcPr>
            <w:tcW w:w="0" w:type="auto"/>
            <w:hideMark/>
          </w:tcPr>
          <w:p w14:paraId="5D21FC2D"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Annual publication</w:t>
            </w:r>
          </w:p>
        </w:tc>
        <w:tc>
          <w:tcPr>
            <w:tcW w:w="0" w:type="auto"/>
            <w:hideMark/>
          </w:tcPr>
          <w:p w14:paraId="7BD41FC3"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Third-party audit report</w:t>
            </w:r>
          </w:p>
        </w:tc>
      </w:tr>
      <w:tr w:rsidR="0080696C" w:rsidRPr="0080696C" w14:paraId="56BA1F30" w14:textId="77777777" w:rsidTr="0080696C">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0" w:type="auto"/>
            <w:hideMark/>
          </w:tcPr>
          <w:p w14:paraId="33B1FF17" w14:textId="77777777" w:rsidR="0080696C" w:rsidRPr="0080696C" w:rsidRDefault="0080696C" w:rsidP="0094302D">
            <w:pPr>
              <w:jc w:val="both"/>
            </w:pPr>
            <w:r w:rsidRPr="0080696C">
              <w:t>Sovereign cloud deployments (strategic markets)</w:t>
            </w:r>
          </w:p>
        </w:tc>
        <w:tc>
          <w:tcPr>
            <w:tcW w:w="0" w:type="auto"/>
            <w:hideMark/>
          </w:tcPr>
          <w:p w14:paraId="4E93D472"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0</w:t>
            </w:r>
          </w:p>
        </w:tc>
        <w:tc>
          <w:tcPr>
            <w:tcW w:w="0" w:type="auto"/>
            <w:hideMark/>
          </w:tcPr>
          <w:p w14:paraId="1849F102"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5 markets</w:t>
            </w:r>
          </w:p>
        </w:tc>
        <w:tc>
          <w:tcPr>
            <w:tcW w:w="0" w:type="auto"/>
            <w:hideMark/>
          </w:tcPr>
          <w:p w14:paraId="67AF9A2A"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Infrastructure deployment records</w:t>
            </w:r>
          </w:p>
        </w:tc>
      </w:tr>
      <w:tr w:rsidR="0080696C" w:rsidRPr="0080696C" w14:paraId="67BBED0B" w14:textId="77777777" w:rsidTr="0080696C">
        <w:trPr>
          <w:trHeight w:val="662"/>
        </w:trPr>
        <w:tc>
          <w:tcPr>
            <w:cnfStyle w:val="001000000000" w:firstRow="0" w:lastRow="0" w:firstColumn="1" w:lastColumn="0" w:oddVBand="0" w:evenVBand="0" w:oddHBand="0" w:evenHBand="0" w:firstRowFirstColumn="0" w:firstRowLastColumn="0" w:lastRowFirstColumn="0" w:lastRowLastColumn="0"/>
            <w:tcW w:w="0" w:type="auto"/>
            <w:hideMark/>
          </w:tcPr>
          <w:p w14:paraId="3D4B5DCA" w14:textId="77777777" w:rsidR="0080696C" w:rsidRPr="0080696C" w:rsidRDefault="0080696C" w:rsidP="0094302D">
            <w:pPr>
              <w:jc w:val="both"/>
            </w:pPr>
            <w:r w:rsidRPr="0080696C">
              <w:t>Local AI ecosystem investment (emerging markets)</w:t>
            </w:r>
          </w:p>
        </w:tc>
        <w:tc>
          <w:tcPr>
            <w:tcW w:w="0" w:type="auto"/>
            <w:hideMark/>
          </w:tcPr>
          <w:p w14:paraId="0F59D0B3"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USD 20 million</w:t>
            </w:r>
          </w:p>
        </w:tc>
        <w:tc>
          <w:tcPr>
            <w:tcW w:w="0" w:type="auto"/>
            <w:hideMark/>
          </w:tcPr>
          <w:p w14:paraId="03A80CFE"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USD 150 million</w:t>
            </w:r>
          </w:p>
        </w:tc>
        <w:tc>
          <w:tcPr>
            <w:tcW w:w="0" w:type="auto"/>
            <w:hideMark/>
          </w:tcPr>
          <w:p w14:paraId="610714F5"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Annual capex report</w:t>
            </w:r>
          </w:p>
        </w:tc>
      </w:tr>
    </w:tbl>
    <w:p w14:paraId="5CDE4EFA" w14:textId="150133A7" w:rsidR="00464BE4" w:rsidRDefault="00464BE4" w:rsidP="00464BE4">
      <w:pPr>
        <w:jc w:val="both"/>
      </w:pPr>
      <w:r>
        <w:t xml:space="preserve">The KPI framework, as shown in Table 4, will help give the Board of Alibaba measurable, time-bound governance progress indicators that are not self-reported. All the metrics respond to a particular risk vector determined in the risk register, and are </w:t>
      </w:r>
      <w:r w:rsidR="00AA45DC">
        <w:t xml:space="preserve">normalised to realistic improvement paths in </w:t>
      </w:r>
      <w:r>
        <w:t>light of the governance investment scale of the proposal.</w:t>
      </w:r>
    </w:p>
    <w:p w14:paraId="5788B100" w14:textId="3CEE8E8A" w:rsidR="00464BE4" w:rsidRDefault="00464BE4" w:rsidP="00464BE4">
      <w:pPr>
        <w:jc w:val="both"/>
      </w:pPr>
      <w:r>
        <w:t xml:space="preserve">The target of 65 </w:t>
      </w:r>
      <w:r w:rsidR="00C10BFB">
        <w:t xml:space="preserve">per cent positive in ASEAN by 2028, which is an improvement by 42 per cent in 2025, indicates the expected effect of plausible, credible localisation of technical data, </w:t>
      </w:r>
      <w:r w:rsidR="00C10BFB">
        <w:lastRenderedPageBreak/>
        <w:t xml:space="preserve">publication of an </w:t>
      </w:r>
      <w:r>
        <w:t>independent audit of AI ethics and continued regional regulatory engagement. This is an objective that is measured against the trajectories of trust recovery in similar platform governance transformation programmes and presumes that the sovereign cloud deployments suggested in the long-term implementation horizon will be functioning at least in three ASEAN markets in 2027.</w:t>
      </w:r>
    </w:p>
    <w:p w14:paraId="784E3A35" w14:textId="11ECA2CA" w:rsidR="0094302D" w:rsidRPr="0094302D" w:rsidRDefault="00464BE4" w:rsidP="00464BE4">
      <w:pPr>
        <w:jc w:val="both"/>
      </w:pPr>
      <w:r>
        <w:t xml:space="preserve">The most operationally challenging KPI is the data localisation compliance rate target, which is 100 </w:t>
      </w:r>
      <w:r w:rsidR="00C10BFB">
        <w:t>per cent (increasing on a 67 per cent</w:t>
      </w:r>
      <w:r>
        <w:t xml:space="preserve"> baseline), and is directly related to the medium-term infrastructure investment programme. The measurement will be done by way of </w:t>
      </w:r>
      <w:r w:rsidR="00C10BFB">
        <w:t>an annual Big Four external audit,</w:t>
      </w:r>
      <w:r>
        <w:t xml:space="preserve"> and interim quarterly internal compliance dashboards will give early warning of implementation delays. The zero target of regulatory fines during the period signifies a vigilant, as opposed to an inactive, compliance stance: the investment programme is actually measured to neutralise enforcement risk instead of addressing it ex post. Sensitivity analysis shows that one GDPR enforcement action of one </w:t>
      </w:r>
      <w:r w:rsidR="00C10BFB">
        <w:t>per cent</w:t>
      </w:r>
      <w:r>
        <w:t xml:space="preserve"> global turnover would be more than the three-year implementation budget, further supporting the financial rationale of preventive governance investment against reactive compliance management.</w:t>
      </w:r>
    </w:p>
    <w:p w14:paraId="2F81AA5F" w14:textId="11EAAEC3" w:rsidR="0080696C" w:rsidRPr="0080696C" w:rsidRDefault="0080696C" w:rsidP="0094302D">
      <w:pPr>
        <w:pStyle w:val="Heading1"/>
        <w:jc w:val="both"/>
      </w:pPr>
      <w:bookmarkStart w:id="14" w:name="_Toc227978656"/>
      <w:r w:rsidRPr="0080696C">
        <w:t>Cost Justification and Sensitivity Analysis</w:t>
      </w:r>
      <w:bookmarkEnd w:id="14"/>
    </w:p>
    <w:p w14:paraId="1C71BD27" w14:textId="2E61E492" w:rsidR="0080696C" w:rsidRPr="0080696C" w:rsidRDefault="00464BE4" w:rsidP="0094302D">
      <w:pPr>
        <w:jc w:val="both"/>
      </w:pPr>
      <w:r w:rsidRPr="00464BE4">
        <w:t>The benchmarking of investment estimates in this plan is based on similar digital infrastructure governance programmes. The short-term jurisdictional audit and international governance body establishment (USD 50 to 80 million) is compared with similar data infrastructure separation programmes</w:t>
      </w:r>
      <w:r w:rsidR="00C10BFB">
        <w:t>,</w:t>
      </w:r>
      <w:r w:rsidRPr="00464BE4">
        <w:t xml:space="preserve"> which were carried out by SAP and Oracle in their Chinese operations, which included legal entity restructuring, infrastructure duplication, and compliance system implementation in the USD 40 to 90 million </w:t>
      </w:r>
      <w:proofErr w:type="gramStart"/>
      <w:r w:rsidRPr="00464BE4">
        <w:t>category</w:t>
      </w:r>
      <w:proofErr w:type="gramEnd"/>
      <w:r w:rsidRPr="00464BE4">
        <w:t xml:space="preserve">. The medium-term technical data localisation programme (USD 120 to 180 million) is compared to the Gartner 2024 forecast that enterprise-grade cloud data sovereignty implementation by multi-region operators entails USD 15 to 30 million per region, implemented across the six key international regions of Alibaba. The long-term sovereign cloud and ecosystem investment programme ( USD 200 to 300 million ) represents the analysis by IDC of costs of infrastructural, localisation, and regulatory engagement of USD 30 to 60 million per market ( 2024 analysis ). Our mid-range estimates include a cost </w:t>
      </w:r>
      <w:r w:rsidR="00C10BFB">
        <w:t>overrun</w:t>
      </w:r>
      <w:r w:rsidRPr="00464BE4">
        <w:t xml:space="preserve"> contingency of 15 per cent. Sensitivity analysis shows that in a negative situation where regulation demands rise faster than expected, the overall programme expenses may rise up to 25-35 </w:t>
      </w:r>
      <w:r w:rsidR="00C10BFB">
        <w:t>per cent, which is a mere fraction of the possible financial impact of GDPR enforcement action of four per cent of Alibaba's</w:t>
      </w:r>
      <w:r w:rsidRPr="00464BE4">
        <w:t xml:space="preserve"> annual global turnover.</w:t>
      </w:r>
    </w:p>
    <w:p w14:paraId="52725550" w14:textId="77777777" w:rsidR="0080696C" w:rsidRPr="0080696C" w:rsidRDefault="0080696C" w:rsidP="0094302D">
      <w:pPr>
        <w:jc w:val="both"/>
        <w:rPr>
          <w:b/>
          <w:bCs/>
        </w:rPr>
      </w:pPr>
      <w:r w:rsidRPr="0080696C">
        <w:rPr>
          <w:b/>
          <w:bCs/>
        </w:rPr>
        <w:t>Table 5: Implementation Plan</w:t>
      </w:r>
    </w:p>
    <w:tbl>
      <w:tblPr>
        <w:tblStyle w:val="GridTable4-Accent1"/>
        <w:tblW w:w="0" w:type="auto"/>
        <w:tblLook w:val="04A0" w:firstRow="1" w:lastRow="0" w:firstColumn="1" w:lastColumn="0" w:noHBand="0" w:noVBand="1"/>
      </w:tblPr>
      <w:tblGrid>
        <w:gridCol w:w="1188"/>
        <w:gridCol w:w="1373"/>
        <w:gridCol w:w="3167"/>
        <w:gridCol w:w="1434"/>
        <w:gridCol w:w="1854"/>
      </w:tblGrid>
      <w:tr w:rsidR="0080696C" w:rsidRPr="0080696C" w14:paraId="78D07FB3" w14:textId="77777777" w:rsidTr="008069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3FB73B" w14:textId="77777777" w:rsidR="0080696C" w:rsidRPr="0080696C" w:rsidRDefault="0080696C" w:rsidP="0094302D">
            <w:pPr>
              <w:jc w:val="both"/>
            </w:pPr>
            <w:r w:rsidRPr="0080696C">
              <w:lastRenderedPageBreak/>
              <w:t>Horizon</w:t>
            </w:r>
          </w:p>
        </w:tc>
        <w:tc>
          <w:tcPr>
            <w:tcW w:w="0" w:type="auto"/>
            <w:hideMark/>
          </w:tcPr>
          <w:p w14:paraId="32650BC1"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Timeframe</w:t>
            </w:r>
          </w:p>
        </w:tc>
        <w:tc>
          <w:tcPr>
            <w:tcW w:w="0" w:type="auto"/>
            <w:hideMark/>
          </w:tcPr>
          <w:p w14:paraId="6980C33A"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Priority Actions</w:t>
            </w:r>
          </w:p>
        </w:tc>
        <w:tc>
          <w:tcPr>
            <w:tcW w:w="0" w:type="auto"/>
            <w:hideMark/>
          </w:tcPr>
          <w:p w14:paraId="0BCE794A"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Investment (Mid-Range)</w:t>
            </w:r>
          </w:p>
        </w:tc>
        <w:tc>
          <w:tcPr>
            <w:tcW w:w="0" w:type="auto"/>
            <w:hideMark/>
          </w:tcPr>
          <w:p w14:paraId="0B0FD0F8" w14:textId="77777777" w:rsidR="0080696C" w:rsidRPr="0080696C" w:rsidRDefault="0080696C" w:rsidP="0094302D">
            <w:pPr>
              <w:jc w:val="both"/>
              <w:cnfStyle w:val="100000000000" w:firstRow="1" w:lastRow="0" w:firstColumn="0" w:lastColumn="0" w:oddVBand="0" w:evenVBand="0" w:oddHBand="0" w:evenHBand="0" w:firstRowFirstColumn="0" w:firstRowLastColumn="0" w:lastRowFirstColumn="0" w:lastRowLastColumn="0"/>
            </w:pPr>
            <w:r w:rsidRPr="0080696C">
              <w:t>Key KPIs</w:t>
            </w:r>
          </w:p>
        </w:tc>
      </w:tr>
      <w:tr w:rsidR="0080696C" w:rsidRPr="0080696C" w14:paraId="613EBAF9" w14:textId="77777777" w:rsidTr="008069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BFEC69" w14:textId="77777777" w:rsidR="0080696C" w:rsidRPr="0080696C" w:rsidRDefault="0080696C" w:rsidP="0094302D">
            <w:pPr>
              <w:jc w:val="both"/>
            </w:pPr>
            <w:r w:rsidRPr="0080696C">
              <w:t>Short-term</w:t>
            </w:r>
          </w:p>
        </w:tc>
        <w:tc>
          <w:tcPr>
            <w:tcW w:w="0" w:type="auto"/>
            <w:hideMark/>
          </w:tcPr>
          <w:p w14:paraId="6ADD780B"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0 to 12 months</w:t>
            </w:r>
          </w:p>
        </w:tc>
        <w:tc>
          <w:tcPr>
            <w:tcW w:w="0" w:type="auto"/>
            <w:hideMark/>
          </w:tcPr>
          <w:p w14:paraId="4D534098" w14:textId="465F15D2"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 xml:space="preserve">Jurisdictional audit of all international data flows; establish </w:t>
            </w:r>
            <w:r w:rsidR="00C10BFB">
              <w:t xml:space="preserve">an </w:t>
            </w:r>
            <w:r w:rsidRPr="0080696C">
              <w:t xml:space="preserve">independent international data governance entity; commission DPIAs for all consumer AI systems; implement SCCs for EU-to-UK data flows ahead of adequacy expiry; publish </w:t>
            </w:r>
            <w:r w:rsidR="00C10BFB">
              <w:t xml:space="preserve">an </w:t>
            </w:r>
            <w:r w:rsidRPr="0080696C">
              <w:t>International AI Ethics Charter aligned with UNESCO 2023; engage ICO proactively on Snap enforcement implications</w:t>
            </w:r>
            <w:r w:rsidR="00C10BFB">
              <w:t>.</w:t>
            </w:r>
          </w:p>
        </w:tc>
        <w:tc>
          <w:tcPr>
            <w:tcW w:w="0" w:type="auto"/>
            <w:hideMark/>
          </w:tcPr>
          <w:p w14:paraId="0DE1F824"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USD 50 to 80 million</w:t>
            </w:r>
          </w:p>
        </w:tc>
        <w:tc>
          <w:tcPr>
            <w:tcW w:w="0" w:type="auto"/>
            <w:hideMark/>
          </w:tcPr>
          <w:p w14:paraId="30F9264A" w14:textId="076C615D"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Data localisation compliance rate</w:t>
            </w:r>
            <w:r w:rsidR="00C10BFB">
              <w:t>,</w:t>
            </w:r>
            <w:r w:rsidRPr="0080696C">
              <w:t xml:space="preserve"> DPIA completion rate</w:t>
            </w:r>
            <w:r w:rsidR="00C10BFB">
              <w:t>, and</w:t>
            </w:r>
            <w:r w:rsidRPr="0080696C">
              <w:t xml:space="preserve"> ICO engagement log</w:t>
            </w:r>
          </w:p>
        </w:tc>
      </w:tr>
      <w:tr w:rsidR="0080696C" w:rsidRPr="0080696C" w14:paraId="1DFC5076" w14:textId="77777777" w:rsidTr="0080696C">
        <w:tc>
          <w:tcPr>
            <w:cnfStyle w:val="001000000000" w:firstRow="0" w:lastRow="0" w:firstColumn="1" w:lastColumn="0" w:oddVBand="0" w:evenVBand="0" w:oddHBand="0" w:evenHBand="0" w:firstRowFirstColumn="0" w:firstRowLastColumn="0" w:lastRowFirstColumn="0" w:lastRowLastColumn="0"/>
            <w:tcW w:w="0" w:type="auto"/>
            <w:hideMark/>
          </w:tcPr>
          <w:p w14:paraId="3E97D758" w14:textId="77777777" w:rsidR="0080696C" w:rsidRPr="0080696C" w:rsidRDefault="0080696C" w:rsidP="0094302D">
            <w:pPr>
              <w:jc w:val="both"/>
            </w:pPr>
            <w:r w:rsidRPr="0080696C">
              <w:t>Medium-term</w:t>
            </w:r>
          </w:p>
        </w:tc>
        <w:tc>
          <w:tcPr>
            <w:tcW w:w="0" w:type="auto"/>
            <w:hideMark/>
          </w:tcPr>
          <w:p w14:paraId="622D3298"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1 to 3 years</w:t>
            </w:r>
          </w:p>
        </w:tc>
        <w:tc>
          <w:tcPr>
            <w:tcW w:w="0" w:type="auto"/>
            <w:hideMark/>
          </w:tcPr>
          <w:p w14:paraId="7AFAD312" w14:textId="30132BD8"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 xml:space="preserve">Deploy technical data localisation across all international cloud regions; establish </w:t>
            </w:r>
            <w:r w:rsidR="00C10BFB">
              <w:t xml:space="preserve">a </w:t>
            </w:r>
            <w:r w:rsidRPr="0080696C">
              <w:t xml:space="preserve">multilateral AI governance advisory council; develop </w:t>
            </w:r>
            <w:r w:rsidR="00C10BFB">
              <w:t xml:space="preserve">a </w:t>
            </w:r>
            <w:r w:rsidRPr="0080696C">
              <w:t>UK-specific AI compliance programme aligned with ICO enforcement priorities; implement EU AI Act gap analysis and conformity assessment for high-risk systems; co-design host nation AI governance frameworks with ASEAN regulators</w:t>
            </w:r>
            <w:r w:rsidR="00C10BFB">
              <w:t>.</w:t>
            </w:r>
          </w:p>
        </w:tc>
        <w:tc>
          <w:tcPr>
            <w:tcW w:w="0" w:type="auto"/>
            <w:hideMark/>
          </w:tcPr>
          <w:p w14:paraId="0380624A"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USD 120 to 180 million</w:t>
            </w:r>
          </w:p>
        </w:tc>
        <w:tc>
          <w:tcPr>
            <w:tcW w:w="0" w:type="auto"/>
            <w:hideMark/>
          </w:tcPr>
          <w:p w14:paraId="6F475106" w14:textId="77777777" w:rsidR="0080696C" w:rsidRPr="0080696C" w:rsidRDefault="0080696C" w:rsidP="0094302D">
            <w:pPr>
              <w:jc w:val="both"/>
              <w:cnfStyle w:val="000000000000" w:firstRow="0" w:lastRow="0" w:firstColumn="0" w:lastColumn="0" w:oddVBand="0" w:evenVBand="0" w:oddHBand="0" w:evenHBand="0" w:firstRowFirstColumn="0" w:firstRowLastColumn="0" w:lastRowFirstColumn="0" w:lastRowLastColumn="0"/>
            </w:pPr>
            <w:r w:rsidRPr="0080696C">
              <w:t>Enterprise trust index; GDPR adequacy coverage; EU AI Act compliance score</w:t>
            </w:r>
          </w:p>
        </w:tc>
      </w:tr>
      <w:tr w:rsidR="0080696C" w:rsidRPr="0080696C" w14:paraId="3BD6913D" w14:textId="77777777" w:rsidTr="008069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A78D50" w14:textId="77777777" w:rsidR="0080696C" w:rsidRPr="0080696C" w:rsidRDefault="0080696C" w:rsidP="0094302D">
            <w:pPr>
              <w:jc w:val="both"/>
            </w:pPr>
            <w:r w:rsidRPr="0080696C">
              <w:t>Long-term</w:t>
            </w:r>
          </w:p>
        </w:tc>
        <w:tc>
          <w:tcPr>
            <w:tcW w:w="0" w:type="auto"/>
            <w:hideMark/>
          </w:tcPr>
          <w:p w14:paraId="7DE53D14"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3 to 5 years</w:t>
            </w:r>
          </w:p>
        </w:tc>
        <w:tc>
          <w:tcPr>
            <w:tcW w:w="0" w:type="auto"/>
            <w:hideMark/>
          </w:tcPr>
          <w:p w14:paraId="5E6534C1" w14:textId="1559CE84"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Deploy sovereign cloud model in five strategic markets; invest USD 150 million in local AI ecosystem development in emerging markets; pursue multilateral AI governance engagement through OECD and UNESCO; integrate AI fairness and data sovereignty metrics into executive compensation; publish annual independently audited AI Transparency Report</w:t>
            </w:r>
            <w:r w:rsidR="00C10BFB">
              <w:t>.</w:t>
            </w:r>
          </w:p>
        </w:tc>
        <w:tc>
          <w:tcPr>
            <w:tcW w:w="0" w:type="auto"/>
            <w:hideMark/>
          </w:tcPr>
          <w:p w14:paraId="6BA5C021"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USD 200 to 300 million</w:t>
            </w:r>
          </w:p>
        </w:tc>
        <w:tc>
          <w:tcPr>
            <w:tcW w:w="0" w:type="auto"/>
            <w:hideMark/>
          </w:tcPr>
          <w:p w14:paraId="50C8A108" w14:textId="77777777" w:rsidR="0080696C" w:rsidRPr="0080696C" w:rsidRDefault="0080696C" w:rsidP="0094302D">
            <w:pPr>
              <w:jc w:val="both"/>
              <w:cnfStyle w:val="000000100000" w:firstRow="0" w:lastRow="0" w:firstColumn="0" w:lastColumn="0" w:oddVBand="0" w:evenVBand="0" w:oddHBand="1" w:evenHBand="0" w:firstRowFirstColumn="0" w:firstRowLastColumn="0" w:lastRowFirstColumn="0" w:lastRowLastColumn="0"/>
            </w:pPr>
            <w:r w:rsidRPr="0080696C">
              <w:t>Sovereign cloud deployments; trust index; regulatory fines; ecosystem investment</w:t>
            </w:r>
          </w:p>
        </w:tc>
      </w:tr>
    </w:tbl>
    <w:p w14:paraId="48FB13E8" w14:textId="34061B5C" w:rsidR="0080696C" w:rsidRPr="0080696C" w:rsidRDefault="0080696C" w:rsidP="0094302D">
      <w:pPr>
        <w:pStyle w:val="Heading1"/>
        <w:jc w:val="both"/>
      </w:pPr>
      <w:bookmarkStart w:id="15" w:name="_Toc227978657"/>
      <w:r w:rsidRPr="0080696C">
        <w:lastRenderedPageBreak/>
        <w:t>Conclusion</w:t>
      </w:r>
      <w:bookmarkEnd w:id="15"/>
    </w:p>
    <w:p w14:paraId="6337789B" w14:textId="0CAE5032" w:rsidR="0080696C" w:rsidRDefault="00464BE4" w:rsidP="0094302D">
      <w:pPr>
        <w:jc w:val="both"/>
      </w:pPr>
      <w:r w:rsidRPr="00464BE4">
        <w:t>towards data governance fragmentation across the UK, EU, and China is accelerating; that the expiry of the adequacy decision and ICO enforcement curve means that the UK has immediate compliance exposure; that voluntary ethical frameworks are inadequate unless technically enforced separation and independent audit; and that the data colonialism critique is a substantive challenge to the legitimacy of Alibaba in its most strategically important The risk register validates the fact that the top-priority exposures to the firm are the GDPR enforcement of cross-border transfers and the UK ICO action on consumer AI as well as the possible expansion of the US Entity List. Those institutions that mediate the conflict between the demands of domestic governance and international market expectations by establishing credible structural investment will be placed in sustainable places in the global digital economy. In the case of Alibaba</w:t>
      </w:r>
      <w:r w:rsidR="00C10BFB">
        <w:t>,</w:t>
      </w:r>
      <w:r w:rsidRPr="00464BE4">
        <w:t xml:space="preserve"> this solution is not a non-obligatory improvement of governance. It is the state of international feasibility.</w:t>
      </w:r>
    </w:p>
    <w:p w14:paraId="52B964B6" w14:textId="77777777" w:rsidR="0080696C" w:rsidRDefault="0080696C" w:rsidP="0094302D">
      <w:pPr>
        <w:jc w:val="both"/>
      </w:pPr>
      <w:r>
        <w:br w:type="page"/>
      </w:r>
    </w:p>
    <w:p w14:paraId="46B3F1D6" w14:textId="3EB1A3D0" w:rsidR="0080696C" w:rsidRDefault="0080696C" w:rsidP="0094302D">
      <w:pPr>
        <w:pStyle w:val="Heading1"/>
        <w:jc w:val="both"/>
      </w:pPr>
      <w:bookmarkStart w:id="16" w:name="_Toc227978658"/>
      <w:r>
        <w:lastRenderedPageBreak/>
        <w:t>References</w:t>
      </w:r>
      <w:bookmarkEnd w:id="16"/>
    </w:p>
    <w:p w14:paraId="1C014DF8" w14:textId="77777777" w:rsidR="00B854A6" w:rsidRDefault="00B854A6" w:rsidP="00B854A6">
      <w:pPr>
        <w:jc w:val="both"/>
      </w:pPr>
      <w:r>
        <w:t>Allison, K. and Broderick, K. (2020). The Digital Silk road: Expanding China’s Digital footprint. Eurasia Group. [online] Available at: https://www.eurasiagroup.net/files/upload/Digital-Silk-Road-Expanding-China-Digital-Footprint.pdf.</w:t>
      </w:r>
    </w:p>
    <w:p w14:paraId="7918DC69" w14:textId="77777777" w:rsidR="00B854A6" w:rsidRDefault="00B854A6" w:rsidP="00B854A6">
      <w:pPr>
        <w:jc w:val="both"/>
      </w:pPr>
    </w:p>
    <w:p w14:paraId="49CCA6A0" w14:textId="77777777" w:rsidR="00B854A6" w:rsidRDefault="00B854A6" w:rsidP="00B854A6">
      <w:pPr>
        <w:jc w:val="both"/>
      </w:pPr>
      <w:r>
        <w:t xml:space="preserve">Arenal, A., </w:t>
      </w:r>
      <w:proofErr w:type="spellStart"/>
      <w:r>
        <w:t>Armuña</w:t>
      </w:r>
      <w:proofErr w:type="spellEnd"/>
      <w:r>
        <w:t xml:space="preserve">, C., Feijoo, C., Ramos, S., Xu, Z. and Moreno, A. (2020). Innovation ecosystems theory revisited: The case of artificial intelligence in China. Telecommunications Policy, 44(6), p.101960. </w:t>
      </w:r>
      <w:proofErr w:type="spellStart"/>
      <w:r>
        <w:t>doi:https</w:t>
      </w:r>
      <w:proofErr w:type="spellEnd"/>
      <w:r>
        <w:t>://doi.org/10.1016/j.telpol.2020.101960.</w:t>
      </w:r>
    </w:p>
    <w:p w14:paraId="4B2112FA" w14:textId="77777777" w:rsidR="00B854A6" w:rsidRDefault="00B854A6" w:rsidP="00B854A6">
      <w:pPr>
        <w:jc w:val="both"/>
      </w:pPr>
    </w:p>
    <w:p w14:paraId="4EE1EC44" w14:textId="41B72857" w:rsidR="00B854A6" w:rsidRDefault="00B854A6" w:rsidP="00B854A6">
      <w:pPr>
        <w:jc w:val="both"/>
      </w:pPr>
      <w:r>
        <w:t xml:space="preserve">Belli, L., Gaspar, W.B. and Shilpa Singh Jaswant (2024). Data Sovereignty and Data Transfers as Fundamental Elements of Digital </w:t>
      </w:r>
      <w:r w:rsidR="00C10BFB">
        <w:t>Transformation</w:t>
      </w:r>
      <w:r>
        <w:t xml:space="preserve">: Lessons from the BRICS Countries. Computer Law &amp; Security Review, 54, pp.106017–106017. </w:t>
      </w:r>
      <w:proofErr w:type="spellStart"/>
      <w:r>
        <w:t>doi:https</w:t>
      </w:r>
      <w:proofErr w:type="spellEnd"/>
      <w:r>
        <w:t>://doi.org/10.1016/j.clsr.2024.106017.</w:t>
      </w:r>
    </w:p>
    <w:p w14:paraId="4C31D8AD" w14:textId="77777777" w:rsidR="00B854A6" w:rsidRDefault="00B854A6" w:rsidP="00B854A6">
      <w:pPr>
        <w:jc w:val="both"/>
      </w:pPr>
    </w:p>
    <w:p w14:paraId="2F5234DF" w14:textId="77777777" w:rsidR="00B854A6" w:rsidRDefault="00B854A6" w:rsidP="00B854A6">
      <w:pPr>
        <w:jc w:val="both"/>
      </w:pPr>
      <w:r>
        <w:t>Brynjolfsson, E., Rock, D. and Syverson, C. (2017). ARTIFICIAL INTELLIGENCE AND THE MODERN PRODUCTIVITY PARADOX: A CLASH OF EXPECTATIONS AND STATISTICS. [online] Available at: https://www.nber.org/system/files/working_papers/w24001/w24001.pdf.</w:t>
      </w:r>
    </w:p>
    <w:p w14:paraId="7FC3288C" w14:textId="77777777" w:rsidR="00B854A6" w:rsidRDefault="00B854A6" w:rsidP="00B854A6">
      <w:pPr>
        <w:jc w:val="both"/>
      </w:pPr>
    </w:p>
    <w:p w14:paraId="7CF78562" w14:textId="77777777" w:rsidR="00B854A6" w:rsidRDefault="00B854A6" w:rsidP="00B854A6">
      <w:pPr>
        <w:jc w:val="both"/>
      </w:pPr>
      <w:r>
        <w:t xml:space="preserve">Chander, A. and Sun, H. (2023). Data sovereignty: from the Digital Silk Road to the Return of the state. Oxford University Press eBooks. [online] </w:t>
      </w:r>
      <w:proofErr w:type="spellStart"/>
      <w:r>
        <w:t>doi:https</w:t>
      </w:r>
      <w:proofErr w:type="spellEnd"/>
      <w:r>
        <w:t>://doi.org/10.1093/</w:t>
      </w:r>
      <w:proofErr w:type="spellStart"/>
      <w:r>
        <w:t>oso</w:t>
      </w:r>
      <w:proofErr w:type="spellEnd"/>
      <w:r>
        <w:t>/9780197582794.001.0001.</w:t>
      </w:r>
    </w:p>
    <w:p w14:paraId="3EC4EAA0" w14:textId="77777777" w:rsidR="00B854A6" w:rsidRDefault="00B854A6" w:rsidP="00B854A6">
      <w:pPr>
        <w:jc w:val="both"/>
      </w:pPr>
    </w:p>
    <w:p w14:paraId="2369D6DD" w14:textId="77777777" w:rsidR="00B854A6" w:rsidRDefault="00B854A6" w:rsidP="00B854A6">
      <w:pPr>
        <w:jc w:val="both"/>
      </w:pPr>
      <w:r>
        <w:t xml:space="preserve">Chen, X. and Xu, L. (2025). State, society, and market: Interpreting the Norms and Dynamics of China’s AI Governance. Computer Law &amp; Security Review, 59, pp.106206–106206. </w:t>
      </w:r>
      <w:proofErr w:type="spellStart"/>
      <w:r>
        <w:t>doi:https</w:t>
      </w:r>
      <w:proofErr w:type="spellEnd"/>
      <w:r>
        <w:t>://doi.org/10.1016/j.clsr.2025.106206.</w:t>
      </w:r>
    </w:p>
    <w:p w14:paraId="2E64B4DA" w14:textId="77777777" w:rsidR="00B854A6" w:rsidRDefault="00B854A6" w:rsidP="00B854A6">
      <w:pPr>
        <w:jc w:val="both"/>
      </w:pPr>
    </w:p>
    <w:p w14:paraId="687ADD7E" w14:textId="77777777" w:rsidR="00B854A6" w:rsidRDefault="00B854A6" w:rsidP="00B854A6">
      <w:pPr>
        <w:jc w:val="both"/>
      </w:pPr>
      <w:r>
        <w:t>China Law Translate (2023). Interim Measures for the Management of Generative Artificial Intelligence Services. [online] China Law Translate. Available at: https://www.chinalawtranslate.com/en/generative-ai-interim/.</w:t>
      </w:r>
    </w:p>
    <w:p w14:paraId="4C9023DB" w14:textId="77777777" w:rsidR="00B854A6" w:rsidRDefault="00B854A6" w:rsidP="00B854A6">
      <w:pPr>
        <w:jc w:val="both"/>
      </w:pPr>
    </w:p>
    <w:p w14:paraId="50BC76C7" w14:textId="77777777" w:rsidR="00B854A6" w:rsidRDefault="00B854A6" w:rsidP="00B854A6">
      <w:pPr>
        <w:jc w:val="both"/>
      </w:pPr>
      <w:r>
        <w:lastRenderedPageBreak/>
        <w:t xml:space="preserve">Cong, W. (2024). The Spatial Expansion of China’s Digital Sovereignty. Cambridge University Press eBooks, [online] pp.63–80. </w:t>
      </w:r>
      <w:proofErr w:type="spellStart"/>
      <w:r>
        <w:t>doi:https</w:t>
      </w:r>
      <w:proofErr w:type="spellEnd"/>
      <w:r>
        <w:t>://doi.org/10.1017/9781009531085.005.</w:t>
      </w:r>
    </w:p>
    <w:p w14:paraId="6925918C" w14:textId="77777777" w:rsidR="00B854A6" w:rsidRDefault="00B854A6" w:rsidP="00B854A6">
      <w:pPr>
        <w:jc w:val="both"/>
      </w:pPr>
    </w:p>
    <w:p w14:paraId="614D9F38" w14:textId="77777777" w:rsidR="00B854A6" w:rsidRDefault="00B854A6" w:rsidP="00B854A6">
      <w:pPr>
        <w:jc w:val="both"/>
      </w:pPr>
      <w:proofErr w:type="spellStart"/>
      <w:r>
        <w:t>Couldry</w:t>
      </w:r>
      <w:proofErr w:type="spellEnd"/>
      <w:r>
        <w:t>, N. and Mejias, U.A. (2019). Data Colonialism: Rethinking Big Data’s Relation to the Contemporary Subject. Television &amp; New Media, 20(4), pp.336–349.</w:t>
      </w:r>
    </w:p>
    <w:p w14:paraId="79E20EBE" w14:textId="77777777" w:rsidR="00B854A6" w:rsidRDefault="00B854A6" w:rsidP="00B854A6">
      <w:pPr>
        <w:jc w:val="both"/>
      </w:pPr>
    </w:p>
    <w:p w14:paraId="705C8256" w14:textId="77777777" w:rsidR="00B854A6" w:rsidRDefault="00B854A6" w:rsidP="00B854A6">
      <w:pPr>
        <w:jc w:val="both"/>
      </w:pPr>
      <w:r>
        <w:t>Council on Foreign Relations. (2015). China’s Digital Aid: The Risks and Rewards. [online] Council on Foreign Relations. Available at: https://www.cfr.org/china-digital-silk-road/?utm_source=chatgpt.com.</w:t>
      </w:r>
    </w:p>
    <w:p w14:paraId="28010C10" w14:textId="77777777" w:rsidR="00B854A6" w:rsidRDefault="00B854A6" w:rsidP="00B854A6">
      <w:pPr>
        <w:jc w:val="both"/>
      </w:pPr>
    </w:p>
    <w:p w14:paraId="4B388E2A" w14:textId="6339D6CE" w:rsidR="00B854A6" w:rsidRDefault="00B854A6" w:rsidP="00B854A6">
      <w:pPr>
        <w:jc w:val="both"/>
      </w:pPr>
      <w:r>
        <w:t xml:space="preserve">Creemers, R. (2020). China’s Conception of Cyber Sovereignty: Rhetoric and </w:t>
      </w:r>
      <w:r w:rsidR="00C10BFB">
        <w:t>Realisation</w:t>
      </w:r>
      <w:r>
        <w:t xml:space="preserve">. SSRN Electronic Journal. </w:t>
      </w:r>
      <w:proofErr w:type="spellStart"/>
      <w:r>
        <w:t>doi:https</w:t>
      </w:r>
      <w:proofErr w:type="spellEnd"/>
      <w:r>
        <w:t>://doi.org/10.2139/ssrn.3532421.</w:t>
      </w:r>
    </w:p>
    <w:p w14:paraId="53B2BE9E" w14:textId="77777777" w:rsidR="00B854A6" w:rsidRDefault="00B854A6" w:rsidP="00B854A6">
      <w:pPr>
        <w:jc w:val="both"/>
      </w:pPr>
    </w:p>
    <w:p w14:paraId="0B4799AE" w14:textId="77777777" w:rsidR="00B854A6" w:rsidRDefault="00B854A6" w:rsidP="00B854A6">
      <w:pPr>
        <w:jc w:val="both"/>
      </w:pPr>
      <w:r>
        <w:t xml:space="preserve">Emery-Xu, N., Jordan, R. and Trager, R. (2024). International Governance of Advancing Artificial Intelligence. AI &amp; Society. </w:t>
      </w:r>
      <w:proofErr w:type="spellStart"/>
      <w:r>
        <w:t>doi:https</w:t>
      </w:r>
      <w:proofErr w:type="spellEnd"/>
      <w:r>
        <w:t>://doi.org/10.1007/s00146-024-02050-7.</w:t>
      </w:r>
    </w:p>
    <w:p w14:paraId="54DF595D" w14:textId="77777777" w:rsidR="00B854A6" w:rsidRDefault="00B854A6" w:rsidP="00B854A6">
      <w:pPr>
        <w:jc w:val="both"/>
      </w:pPr>
    </w:p>
    <w:p w14:paraId="1774249F" w14:textId="77777777" w:rsidR="00B854A6" w:rsidRDefault="00B854A6" w:rsidP="00B854A6">
      <w:pPr>
        <w:jc w:val="both"/>
      </w:pPr>
      <w:proofErr w:type="spellStart"/>
      <w:r>
        <w:t>Gawer</w:t>
      </w:r>
      <w:proofErr w:type="spellEnd"/>
      <w:r>
        <w:t>, A. (2021). Digital Platforms and ecosystems: Remarks on the Dominant Organizational Forms of the Digital Age. Innovation, [online] 24(1), pp.1–15. Available at: https://www.tandfonline.com/doi/full/10.1080/14479338.2021.1965888.</w:t>
      </w:r>
    </w:p>
    <w:p w14:paraId="5DADA773" w14:textId="77777777" w:rsidR="00B854A6" w:rsidRDefault="00B854A6" w:rsidP="00B854A6">
      <w:pPr>
        <w:jc w:val="both"/>
      </w:pPr>
    </w:p>
    <w:p w14:paraId="69FDCFC0" w14:textId="77777777" w:rsidR="00B854A6" w:rsidRDefault="00B854A6" w:rsidP="00B854A6">
      <w:pPr>
        <w:jc w:val="both"/>
      </w:pPr>
      <w:r>
        <w:t xml:space="preserve">He, M. and Chen, Y. (2025). Personal Data Protection in China: Progress, Challenges and Prospects in the Age of Big Data and AI. Telecommunications Policy, pp.103076–103076. </w:t>
      </w:r>
      <w:proofErr w:type="spellStart"/>
      <w:r>
        <w:t>doi:https</w:t>
      </w:r>
      <w:proofErr w:type="spellEnd"/>
      <w:r>
        <w:t>://doi.org/10.1016/j.telpol.2025.103076.</w:t>
      </w:r>
    </w:p>
    <w:p w14:paraId="4917E4F2" w14:textId="77777777" w:rsidR="00B854A6" w:rsidRDefault="00B854A6" w:rsidP="00B854A6">
      <w:pPr>
        <w:jc w:val="both"/>
      </w:pPr>
    </w:p>
    <w:p w14:paraId="34B6FCD8" w14:textId="77777777" w:rsidR="00B854A6" w:rsidRDefault="00B854A6" w:rsidP="00B854A6">
      <w:pPr>
        <w:jc w:val="both"/>
      </w:pPr>
      <w:r>
        <w:t xml:space="preserve">Hung, H.T. (2025). Exploring China’s Cyber Sovereignty Concept and Artificial Intelligence Governance model: a Machine Learning Approach. Journal of Computational Social Science, 8(1). </w:t>
      </w:r>
      <w:proofErr w:type="spellStart"/>
      <w:r>
        <w:t>doi:https</w:t>
      </w:r>
      <w:proofErr w:type="spellEnd"/>
      <w:r>
        <w:t>://doi.org/10.1007/s42001-024-00346-8.</w:t>
      </w:r>
    </w:p>
    <w:p w14:paraId="6B0EB7A5" w14:textId="77777777" w:rsidR="00B854A6" w:rsidRDefault="00B854A6" w:rsidP="00B854A6">
      <w:pPr>
        <w:jc w:val="both"/>
      </w:pPr>
    </w:p>
    <w:p w14:paraId="2EA8123B" w14:textId="77777777" w:rsidR="00B854A6" w:rsidRDefault="00B854A6" w:rsidP="00B854A6">
      <w:pPr>
        <w:jc w:val="both"/>
      </w:pPr>
      <w:r>
        <w:t xml:space="preserve">Hussain, F., Hussain, Z., Khan, M.I. and Imran, A. (2023). The Digital Rise and Its Economic Implications for China through the Digital Silk Road under the Belt and Road Initiative. Asian Journal of Comparative Politics, 9(2), p.205789112311747. </w:t>
      </w:r>
      <w:proofErr w:type="spellStart"/>
      <w:r>
        <w:t>doi:https</w:t>
      </w:r>
      <w:proofErr w:type="spellEnd"/>
      <w:r>
        <w:t>://doi.org/10.1177/20578911231174731.</w:t>
      </w:r>
    </w:p>
    <w:p w14:paraId="00D01A75" w14:textId="77777777" w:rsidR="00B854A6" w:rsidRDefault="00B854A6" w:rsidP="00B854A6">
      <w:pPr>
        <w:jc w:val="both"/>
      </w:pPr>
    </w:p>
    <w:p w14:paraId="4A93B6BF" w14:textId="77777777" w:rsidR="00B854A6" w:rsidRDefault="00B854A6" w:rsidP="00B854A6">
      <w:pPr>
        <w:jc w:val="both"/>
      </w:pPr>
      <w:proofErr w:type="spellStart"/>
      <w:r>
        <w:lastRenderedPageBreak/>
        <w:t>Jacobides</w:t>
      </w:r>
      <w:proofErr w:type="spellEnd"/>
      <w:r>
        <w:t xml:space="preserve">, M.G., </w:t>
      </w:r>
      <w:proofErr w:type="spellStart"/>
      <w:r>
        <w:t>Brusoni</w:t>
      </w:r>
      <w:proofErr w:type="spellEnd"/>
      <w:r>
        <w:t xml:space="preserve">, S. and </w:t>
      </w:r>
      <w:proofErr w:type="spellStart"/>
      <w:r>
        <w:t>Candelon</w:t>
      </w:r>
      <w:proofErr w:type="spellEnd"/>
      <w:r>
        <w:t xml:space="preserve">, F. (2021). The Evolutionary Dynamics of the Artificial Intelligence Ecosystem. Strategy Science, 6(4), pp.412–435. </w:t>
      </w:r>
      <w:proofErr w:type="spellStart"/>
      <w:r>
        <w:t>doi:https</w:t>
      </w:r>
      <w:proofErr w:type="spellEnd"/>
      <w:r>
        <w:t>://doi.org/10.1287/stsc.2021.0148.</w:t>
      </w:r>
    </w:p>
    <w:p w14:paraId="1FD698BA" w14:textId="77777777" w:rsidR="00B854A6" w:rsidRDefault="00B854A6" w:rsidP="00B854A6">
      <w:pPr>
        <w:jc w:val="both"/>
      </w:pPr>
    </w:p>
    <w:p w14:paraId="06ADE6A0" w14:textId="77777777" w:rsidR="00B854A6" w:rsidRDefault="00B854A6" w:rsidP="00B854A6">
      <w:pPr>
        <w:jc w:val="both"/>
      </w:pPr>
      <w:r>
        <w:t xml:space="preserve">Jaiswal, R. and </w:t>
      </w:r>
      <w:proofErr w:type="spellStart"/>
      <w:r>
        <w:t>Schaathun</w:t>
      </w:r>
      <w:proofErr w:type="spellEnd"/>
      <w:r>
        <w:t xml:space="preserve">, H.G. (2025). On Human Sovereignty in a Digital Age. Procedia Computer Science, 254, pp.157–163. </w:t>
      </w:r>
      <w:proofErr w:type="spellStart"/>
      <w:r>
        <w:t>doi:https</w:t>
      </w:r>
      <w:proofErr w:type="spellEnd"/>
      <w:r>
        <w:t>://doi.org/10.1016/j.procs.2025.02.074.</w:t>
      </w:r>
    </w:p>
    <w:p w14:paraId="58752D70" w14:textId="77777777" w:rsidR="00B854A6" w:rsidRDefault="00B854A6" w:rsidP="00B854A6">
      <w:pPr>
        <w:jc w:val="both"/>
      </w:pPr>
    </w:p>
    <w:p w14:paraId="225D0D10" w14:textId="77777777" w:rsidR="00B854A6" w:rsidRDefault="00B854A6" w:rsidP="00B854A6">
      <w:pPr>
        <w:jc w:val="both"/>
      </w:pPr>
      <w:r>
        <w:t xml:space="preserve">Kamara, I. and Hert, P.D. (2018). Understanding the Balancing Act behind the Legitimate Interest of the Controller Ground. Cambridge University Press eBooks, pp.321–352. </w:t>
      </w:r>
      <w:proofErr w:type="spellStart"/>
      <w:r>
        <w:t>doi:https</w:t>
      </w:r>
      <w:proofErr w:type="spellEnd"/>
      <w:r>
        <w:t>://doi.org/10.1017/9781316831960.019.</w:t>
      </w:r>
    </w:p>
    <w:p w14:paraId="66CADD73" w14:textId="77777777" w:rsidR="00B854A6" w:rsidRDefault="00B854A6" w:rsidP="00B854A6">
      <w:pPr>
        <w:jc w:val="both"/>
      </w:pPr>
    </w:p>
    <w:p w14:paraId="0F9E7F4A" w14:textId="77777777" w:rsidR="00B854A6" w:rsidRDefault="00B854A6" w:rsidP="00B854A6">
      <w:pPr>
        <w:jc w:val="both"/>
      </w:pPr>
      <w:proofErr w:type="spellStart"/>
      <w:r>
        <w:t>Kwet</w:t>
      </w:r>
      <w:proofErr w:type="spellEnd"/>
      <w:r>
        <w:t xml:space="preserve">, M. (2019). Digital colonialism: US Empire and the New Imperialism in the Global South. Race &amp; Class, [online] 60(4), pp.3–26. </w:t>
      </w:r>
      <w:proofErr w:type="spellStart"/>
      <w:r>
        <w:t>doi:https</w:t>
      </w:r>
      <w:proofErr w:type="spellEnd"/>
      <w:r>
        <w:t>://doi.org/10.1177/0306396818823172.</w:t>
      </w:r>
    </w:p>
    <w:p w14:paraId="4E85ECAF" w14:textId="77777777" w:rsidR="00B854A6" w:rsidRDefault="00B854A6" w:rsidP="00B854A6">
      <w:pPr>
        <w:jc w:val="both"/>
      </w:pPr>
    </w:p>
    <w:p w14:paraId="02D5D543" w14:textId="77777777" w:rsidR="00B854A6" w:rsidRDefault="00B854A6" w:rsidP="00B854A6">
      <w:pPr>
        <w:jc w:val="both"/>
      </w:pPr>
      <w:r>
        <w:t>Liu, L. (2021). The Rise of Data Politics: Digital China and the World. Studies in Comparative International Development, 56(1), pp.45–67.</w:t>
      </w:r>
    </w:p>
    <w:p w14:paraId="60631D17" w14:textId="77777777" w:rsidR="00B854A6" w:rsidRDefault="00B854A6" w:rsidP="00B854A6">
      <w:pPr>
        <w:jc w:val="both"/>
      </w:pPr>
    </w:p>
    <w:p w14:paraId="555FEC93" w14:textId="77777777" w:rsidR="00B854A6" w:rsidRDefault="00B854A6" w:rsidP="00B854A6">
      <w:pPr>
        <w:jc w:val="both"/>
      </w:pPr>
      <w:r>
        <w:t xml:space="preserve">Lundvall, B.-Å. and Rikap, C. (2022). China’s catching-up in artificial intelligence seen as a co-evolution of corporate and national innovation systems. Research Policy, 51(1), p.104395. </w:t>
      </w:r>
      <w:proofErr w:type="spellStart"/>
      <w:r>
        <w:t>doi:https</w:t>
      </w:r>
      <w:proofErr w:type="spellEnd"/>
      <w:r>
        <w:t>://doi.org/10.1016/j.respol.2021.104395.</w:t>
      </w:r>
    </w:p>
    <w:p w14:paraId="5C039F7D" w14:textId="77777777" w:rsidR="00B854A6" w:rsidRDefault="00B854A6" w:rsidP="00B854A6">
      <w:pPr>
        <w:jc w:val="both"/>
      </w:pPr>
    </w:p>
    <w:p w14:paraId="120A6152" w14:textId="77777777" w:rsidR="00B854A6" w:rsidRDefault="00B854A6" w:rsidP="00B854A6">
      <w:pPr>
        <w:jc w:val="both"/>
      </w:pPr>
      <w:r>
        <w:t xml:space="preserve">Milan, S. and </w:t>
      </w:r>
      <w:proofErr w:type="spellStart"/>
      <w:r>
        <w:t>Treré</w:t>
      </w:r>
      <w:proofErr w:type="spellEnd"/>
      <w:r>
        <w:t xml:space="preserve">, E. (2019). Big Data from the South(s): beyond Data Universalism. Television &amp; New Media, 20(4), pp.319–335. </w:t>
      </w:r>
      <w:proofErr w:type="spellStart"/>
      <w:r>
        <w:t>doi:https</w:t>
      </w:r>
      <w:proofErr w:type="spellEnd"/>
      <w:r>
        <w:t>://doi.org/10.1177/1527476419837739.</w:t>
      </w:r>
    </w:p>
    <w:p w14:paraId="33443146" w14:textId="77777777" w:rsidR="00B854A6" w:rsidRDefault="00B854A6" w:rsidP="00B854A6">
      <w:pPr>
        <w:jc w:val="both"/>
      </w:pPr>
    </w:p>
    <w:p w14:paraId="5A2323E5" w14:textId="77777777" w:rsidR="00B854A6" w:rsidRDefault="00B854A6" w:rsidP="00B854A6">
      <w:pPr>
        <w:jc w:val="both"/>
      </w:pPr>
      <w:r>
        <w:t xml:space="preserve">Misra, S., Barik, K. and Kvalvik, P. (2025). Digital Sovereignty in the Era of Industry 5.0: Challenges and Opportunities. Procedia Computer Science, 254, pp.108–117. </w:t>
      </w:r>
      <w:proofErr w:type="spellStart"/>
      <w:r>
        <w:t>doi:https</w:t>
      </w:r>
      <w:proofErr w:type="spellEnd"/>
      <w:r>
        <w:t>://doi.org/10.1016/j.procs.2025.02.069.</w:t>
      </w:r>
    </w:p>
    <w:p w14:paraId="1124DD63" w14:textId="77777777" w:rsidR="00B854A6" w:rsidRDefault="00B854A6" w:rsidP="00B854A6">
      <w:pPr>
        <w:jc w:val="both"/>
      </w:pPr>
    </w:p>
    <w:p w14:paraId="4E4DE699" w14:textId="77777777" w:rsidR="00B854A6" w:rsidRDefault="00B854A6" w:rsidP="00B854A6">
      <w:pPr>
        <w:jc w:val="both"/>
      </w:pPr>
      <w:r>
        <w:t>Naughton, B. (2021). The rise of China’s industrial policy 1978 to 2020. [online] Available at: https://docs.dusselpeters.com/CECHIMEX/Naughton2021_Industrial_Policy_in_China_CECHIMEX.pdf.</w:t>
      </w:r>
    </w:p>
    <w:p w14:paraId="1D9447F0" w14:textId="77777777" w:rsidR="00B854A6" w:rsidRDefault="00B854A6" w:rsidP="00B854A6">
      <w:pPr>
        <w:jc w:val="both"/>
      </w:pPr>
    </w:p>
    <w:p w14:paraId="5C98792F" w14:textId="77777777" w:rsidR="00B854A6" w:rsidRDefault="00B854A6" w:rsidP="00B854A6">
      <w:pPr>
        <w:jc w:val="both"/>
      </w:pPr>
      <w:r>
        <w:t>OECD (2024). AI, Data Governance and Privacy. [online] OECD. Available at: https://www.oecd.org/en/publications/ai-data-governance-and-privacy_2476b1a4-en.html.</w:t>
      </w:r>
    </w:p>
    <w:p w14:paraId="606DE65A" w14:textId="77777777" w:rsidR="00B854A6" w:rsidRDefault="00B854A6" w:rsidP="00B854A6">
      <w:pPr>
        <w:jc w:val="both"/>
      </w:pPr>
    </w:p>
    <w:p w14:paraId="732AE235" w14:textId="77777777" w:rsidR="00B854A6" w:rsidRDefault="00B854A6" w:rsidP="00B854A6">
      <w:pPr>
        <w:jc w:val="both"/>
      </w:pPr>
      <w:r>
        <w:t>OECD (2025). Cross-border Data flows: Taking Stock of Key Policies and initiatives. [online] OECD. Available at: https://www.oecd.org/en/publications/cross-border-data-flows_5031dd97-en.html.</w:t>
      </w:r>
    </w:p>
    <w:p w14:paraId="4F351173" w14:textId="77777777" w:rsidR="00B854A6" w:rsidRDefault="00B854A6" w:rsidP="00B854A6">
      <w:pPr>
        <w:jc w:val="both"/>
      </w:pPr>
    </w:p>
    <w:p w14:paraId="41EB4EE8" w14:textId="77777777" w:rsidR="00B854A6" w:rsidRDefault="00B854A6" w:rsidP="00B854A6">
      <w:pPr>
        <w:jc w:val="both"/>
      </w:pPr>
      <w:r>
        <w:t xml:space="preserve">Pandey, P. (2025). Digital Sovereignty and AI: Developing India’s National AI Stack for Strategic Autonomy. Procedia Computer Science, 254, pp.250–259. </w:t>
      </w:r>
      <w:proofErr w:type="spellStart"/>
      <w:r>
        <w:t>doi:https</w:t>
      </w:r>
      <w:proofErr w:type="spellEnd"/>
      <w:r>
        <w:t>://doi.org/10.1016/j.procs.2025.02.084.</w:t>
      </w:r>
    </w:p>
    <w:p w14:paraId="7B3EE3DC" w14:textId="77777777" w:rsidR="00B854A6" w:rsidRDefault="00B854A6" w:rsidP="00B854A6">
      <w:pPr>
        <w:jc w:val="both"/>
      </w:pPr>
    </w:p>
    <w:p w14:paraId="36B85700" w14:textId="77777777" w:rsidR="00B854A6" w:rsidRDefault="00B854A6" w:rsidP="00B854A6">
      <w:pPr>
        <w:jc w:val="both"/>
      </w:pPr>
      <w:r>
        <w:t>PIPL (2021). Personal Information Protection Law of the People’s Republic of China. [online] PIPL. Available at: https://personalinformationprotectionlaw.com/.</w:t>
      </w:r>
    </w:p>
    <w:p w14:paraId="58EE5A03" w14:textId="77777777" w:rsidR="00B854A6" w:rsidRDefault="00B854A6" w:rsidP="00B854A6">
      <w:pPr>
        <w:jc w:val="both"/>
      </w:pPr>
    </w:p>
    <w:p w14:paraId="4B001C13" w14:textId="77777777" w:rsidR="00B854A6" w:rsidRDefault="00B854A6" w:rsidP="00B854A6">
      <w:pPr>
        <w:jc w:val="both"/>
      </w:pPr>
      <w:r>
        <w:t xml:space="preserve">Roberts, H., Cowls, J., Morley, J., Taddeo, M., Wang, V. and </w:t>
      </w:r>
      <w:proofErr w:type="spellStart"/>
      <w:r>
        <w:t>Floridi</w:t>
      </w:r>
      <w:proofErr w:type="spellEnd"/>
      <w:r>
        <w:t xml:space="preserve">, L. (2020). The Chinese approach to artificial intelligence: an analysis of policy, ethics, and regulation. AI &amp; SOCIETY, [online] 36(36). </w:t>
      </w:r>
      <w:proofErr w:type="spellStart"/>
      <w:r>
        <w:t>doi:https</w:t>
      </w:r>
      <w:proofErr w:type="spellEnd"/>
      <w:r>
        <w:t>://doi.org/10.1007/s00146-020-00992-2.</w:t>
      </w:r>
    </w:p>
    <w:p w14:paraId="5E41EFD3" w14:textId="77777777" w:rsidR="00B854A6" w:rsidRDefault="00B854A6" w:rsidP="00B854A6">
      <w:pPr>
        <w:jc w:val="both"/>
      </w:pPr>
    </w:p>
    <w:p w14:paraId="229A5336" w14:textId="77777777" w:rsidR="00B854A6" w:rsidRDefault="00B854A6" w:rsidP="00B854A6">
      <w:pPr>
        <w:jc w:val="both"/>
      </w:pPr>
      <w:r>
        <w:t xml:space="preserve">Roberts, H., Hine, E. and </w:t>
      </w:r>
      <w:proofErr w:type="spellStart"/>
      <w:r>
        <w:t>Floridi</w:t>
      </w:r>
      <w:proofErr w:type="spellEnd"/>
      <w:r>
        <w:t xml:space="preserve">, L. (2023). Digital Sovereignty, Digital Expansionism, and the Prospects for Global AI Governance. Philosophical studies series, pp.51–75. </w:t>
      </w:r>
      <w:proofErr w:type="spellStart"/>
      <w:r>
        <w:t>doi:https</w:t>
      </w:r>
      <w:proofErr w:type="spellEnd"/>
      <w:r>
        <w:t>://doi.org/10.1007/978-3-031-41566-1_4.</w:t>
      </w:r>
    </w:p>
    <w:p w14:paraId="15770521" w14:textId="77777777" w:rsidR="00B854A6" w:rsidRDefault="00B854A6" w:rsidP="00B854A6">
      <w:pPr>
        <w:jc w:val="both"/>
      </w:pPr>
    </w:p>
    <w:p w14:paraId="120C738C" w14:textId="77777777" w:rsidR="00B854A6" w:rsidRDefault="00B854A6" w:rsidP="00B854A6">
      <w:pPr>
        <w:jc w:val="both"/>
      </w:pPr>
      <w:r>
        <w:t xml:space="preserve">Shen, H. (2021). Alibaba. </w:t>
      </w:r>
      <w:proofErr w:type="spellStart"/>
      <w:r>
        <w:t>doi:https</w:t>
      </w:r>
      <w:proofErr w:type="spellEnd"/>
      <w:r>
        <w:t>://doi.org/10.4324/9781003169055.</w:t>
      </w:r>
    </w:p>
    <w:p w14:paraId="02B969F3" w14:textId="77777777" w:rsidR="00B854A6" w:rsidRDefault="00B854A6" w:rsidP="00B854A6">
      <w:pPr>
        <w:jc w:val="both"/>
      </w:pPr>
    </w:p>
    <w:p w14:paraId="1E224993" w14:textId="77777777" w:rsidR="00B854A6" w:rsidRDefault="00B854A6" w:rsidP="00B854A6">
      <w:pPr>
        <w:jc w:val="both"/>
      </w:pPr>
      <w:r>
        <w:t xml:space="preserve">Su, C. and Flew, T. (2020). The rise of Baidu, Alibaba and Tencent (BAT) and their role in China’s Belt and Road Initiative (BRI). Global Media and Communication, 17(1), pp.67–86. </w:t>
      </w:r>
      <w:proofErr w:type="spellStart"/>
      <w:r>
        <w:t>doi:https</w:t>
      </w:r>
      <w:proofErr w:type="spellEnd"/>
      <w:r>
        <w:t>://doi.org/10.1177/1742766520982324.</w:t>
      </w:r>
    </w:p>
    <w:p w14:paraId="246D4C05" w14:textId="77777777" w:rsidR="00B854A6" w:rsidRDefault="00B854A6" w:rsidP="00B854A6">
      <w:pPr>
        <w:jc w:val="both"/>
      </w:pPr>
    </w:p>
    <w:p w14:paraId="100A2E77" w14:textId="77777777" w:rsidR="00B854A6" w:rsidRDefault="00B854A6" w:rsidP="00B854A6">
      <w:pPr>
        <w:jc w:val="both"/>
      </w:pPr>
      <w:r>
        <w:t>UNCTAD (2021). Digital economy report 2021: Cross-border data flows and development. [online] Available at: https://unctad.org/system/files/official-document/der2021_en.pdf.</w:t>
      </w:r>
    </w:p>
    <w:p w14:paraId="71A54C1E" w14:textId="77777777" w:rsidR="00B854A6" w:rsidRDefault="00B854A6" w:rsidP="00B854A6">
      <w:pPr>
        <w:jc w:val="both"/>
      </w:pPr>
    </w:p>
    <w:p w14:paraId="6D660046" w14:textId="77777777" w:rsidR="00B854A6" w:rsidRDefault="00B854A6" w:rsidP="00B854A6">
      <w:pPr>
        <w:jc w:val="both"/>
      </w:pPr>
      <w:r>
        <w:t>UNESCO (2023). Recommendation on the Ethics of Artificial Intelligence | UNESCO. [online] www.unesco.org. Available at: https://www.unesco.org/en/articles/recommendation-ethics-artificial-intelligence.</w:t>
      </w:r>
    </w:p>
    <w:p w14:paraId="7D25747D" w14:textId="77777777" w:rsidR="00B854A6" w:rsidRDefault="00B854A6" w:rsidP="00B854A6">
      <w:pPr>
        <w:jc w:val="both"/>
      </w:pPr>
    </w:p>
    <w:p w14:paraId="20F2D161" w14:textId="77777777" w:rsidR="00B854A6" w:rsidRDefault="00B854A6" w:rsidP="00B854A6">
      <w:pPr>
        <w:jc w:val="both"/>
      </w:pPr>
      <w:r>
        <w:lastRenderedPageBreak/>
        <w:t>World Bank (2021). World Development Report 2021. [online] World Bank. Available at: https://www.worldbank.org/en/publication/wdr2021.</w:t>
      </w:r>
    </w:p>
    <w:p w14:paraId="1E57345B" w14:textId="77777777" w:rsidR="00B854A6" w:rsidRDefault="00B854A6" w:rsidP="00B854A6">
      <w:pPr>
        <w:jc w:val="both"/>
      </w:pPr>
    </w:p>
    <w:p w14:paraId="128050CB" w14:textId="77777777" w:rsidR="00B854A6" w:rsidRDefault="00B854A6" w:rsidP="00B854A6">
      <w:pPr>
        <w:jc w:val="both"/>
      </w:pPr>
      <w:r>
        <w:t xml:space="preserve">Yang, B. and Li, M. (2025). Offshore Embeddedness beyond the Wall: Chinese Cloud Providers in Southeast Asia’s Data Governance Landscape. Politics and Governance, 13. </w:t>
      </w:r>
      <w:proofErr w:type="spellStart"/>
      <w:r>
        <w:t>doi:https</w:t>
      </w:r>
      <w:proofErr w:type="spellEnd"/>
      <w:r>
        <w:t>://doi.org/10.17645/pag.10437.</w:t>
      </w:r>
    </w:p>
    <w:p w14:paraId="5FA82508" w14:textId="77777777" w:rsidR="00B854A6" w:rsidRDefault="00B854A6" w:rsidP="00B854A6">
      <w:pPr>
        <w:jc w:val="both"/>
      </w:pPr>
    </w:p>
    <w:p w14:paraId="50A180F7" w14:textId="77777777" w:rsidR="00B854A6" w:rsidRDefault="00B854A6" w:rsidP="00B854A6">
      <w:pPr>
        <w:jc w:val="both"/>
      </w:pPr>
      <w:r>
        <w:t xml:space="preserve">Ye, X., Yan, Y., Li, J. and Jiang, B. (2024). Privacy and Personal Data Risk Governance for Generative Artificial intelligence: a Chinese Perspective. Telecommunications Policy, 48(10), p.102851. </w:t>
      </w:r>
      <w:proofErr w:type="spellStart"/>
      <w:r>
        <w:t>doi:https</w:t>
      </w:r>
      <w:proofErr w:type="spellEnd"/>
      <w:r>
        <w:t>://doi.org/10.1016/j.telpol.2024.102851.</w:t>
      </w:r>
    </w:p>
    <w:p w14:paraId="5EDD747F" w14:textId="77777777" w:rsidR="00B854A6" w:rsidRDefault="00B854A6" w:rsidP="00B854A6">
      <w:pPr>
        <w:jc w:val="both"/>
      </w:pPr>
    </w:p>
    <w:p w14:paraId="70CB1422" w14:textId="77777777" w:rsidR="00B854A6" w:rsidRDefault="00B854A6" w:rsidP="00B854A6">
      <w:pPr>
        <w:jc w:val="both"/>
      </w:pPr>
      <w:r>
        <w:t xml:space="preserve">Yoon, H.D., </w:t>
      </w:r>
      <w:proofErr w:type="spellStart"/>
      <w:r>
        <w:t>Belkhouja</w:t>
      </w:r>
      <w:proofErr w:type="spellEnd"/>
      <w:r>
        <w:t xml:space="preserve">, M. and Dau, L.A. (2025). Privacy Protection laws, National culture, and Artificial Intelligence Innovation around the World. Journal of International Business Studies. </w:t>
      </w:r>
      <w:proofErr w:type="spellStart"/>
      <w:r>
        <w:t>doi:https</w:t>
      </w:r>
      <w:proofErr w:type="spellEnd"/>
      <w:r>
        <w:t>://doi.org/10.1057/s41267-025-00790-2.</w:t>
      </w:r>
    </w:p>
    <w:p w14:paraId="39D0610D" w14:textId="77777777" w:rsidR="00B854A6" w:rsidRDefault="00B854A6" w:rsidP="00B854A6">
      <w:pPr>
        <w:jc w:val="both"/>
      </w:pPr>
    </w:p>
    <w:p w14:paraId="0A27FD94" w14:textId="77777777" w:rsidR="00B854A6" w:rsidRDefault="00B854A6" w:rsidP="00B854A6">
      <w:pPr>
        <w:jc w:val="both"/>
      </w:pPr>
      <w:r>
        <w:t xml:space="preserve">Yu, Z., Liang, Z. and Xue, L. (2021). A data-driven Global Innovation System Approach and the Rise of China’s Artificial Intelligence Industry. Regional Studies, pp.1–11. </w:t>
      </w:r>
      <w:proofErr w:type="spellStart"/>
      <w:r>
        <w:t>doi:https</w:t>
      </w:r>
      <w:proofErr w:type="spellEnd"/>
      <w:r>
        <w:t>://doi.org/10.1080/00343404.2021.1954610.</w:t>
      </w:r>
    </w:p>
    <w:p w14:paraId="3B37BFAD" w14:textId="77777777" w:rsidR="00B854A6" w:rsidRDefault="00B854A6" w:rsidP="00B854A6">
      <w:pPr>
        <w:jc w:val="both"/>
      </w:pPr>
    </w:p>
    <w:p w14:paraId="008537A0" w14:textId="64C1306E" w:rsidR="0080696C" w:rsidRDefault="00B854A6" w:rsidP="00B854A6">
      <w:pPr>
        <w:jc w:val="both"/>
      </w:pPr>
      <w:r>
        <w:t xml:space="preserve">Zeng, J. (2020). Artificial Intelligence and China’s Authoritarian Governance. International Affairs, 96(6), pp.1441–1459. </w:t>
      </w:r>
      <w:proofErr w:type="spellStart"/>
      <w:r>
        <w:t>doi:https</w:t>
      </w:r>
      <w:proofErr w:type="spellEnd"/>
      <w:r>
        <w:t>://doi.org/10.1093/</w:t>
      </w:r>
      <w:proofErr w:type="spellStart"/>
      <w:r>
        <w:t>ia</w:t>
      </w:r>
      <w:proofErr w:type="spellEnd"/>
      <w:r>
        <w:t>/iiaa172.</w:t>
      </w:r>
    </w:p>
    <w:p w14:paraId="3C5E4955" w14:textId="4D274DEA" w:rsidR="002B1E5F" w:rsidRDefault="002B1E5F" w:rsidP="0094302D">
      <w:pPr>
        <w:jc w:val="both"/>
      </w:pPr>
    </w:p>
    <w:sectPr w:rsidR="002B1E5F" w:rsidSect="0044136C">
      <w:footerReference w:type="default" r:id="rId1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001B7" w14:textId="77777777" w:rsidR="00CF5215" w:rsidRDefault="00CF5215" w:rsidP="00730B5C">
      <w:pPr>
        <w:spacing w:line="240" w:lineRule="auto"/>
      </w:pPr>
      <w:r>
        <w:separator/>
      </w:r>
    </w:p>
  </w:endnote>
  <w:endnote w:type="continuationSeparator" w:id="0">
    <w:p w14:paraId="3515D607" w14:textId="77777777" w:rsidR="00CF5215" w:rsidRDefault="00CF5215" w:rsidP="00730B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7722225"/>
      <w:docPartObj>
        <w:docPartGallery w:val="Page Numbers (Bottom of Page)"/>
        <w:docPartUnique/>
      </w:docPartObj>
    </w:sdtPr>
    <w:sdtEndPr>
      <w:rPr>
        <w:noProof/>
      </w:rPr>
    </w:sdtEndPr>
    <w:sdtContent>
      <w:p w14:paraId="221012ED" w14:textId="0958ED7E" w:rsidR="0044136C" w:rsidRDefault="0044136C" w:rsidP="004413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FF27E" w14:textId="77777777" w:rsidR="00CF5215" w:rsidRDefault="00CF5215" w:rsidP="00730B5C">
      <w:pPr>
        <w:spacing w:line="240" w:lineRule="auto"/>
      </w:pPr>
      <w:r>
        <w:separator/>
      </w:r>
    </w:p>
  </w:footnote>
  <w:footnote w:type="continuationSeparator" w:id="0">
    <w:p w14:paraId="62BC1E32" w14:textId="77777777" w:rsidR="00CF5215" w:rsidRDefault="00CF5215" w:rsidP="00730B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73230"/>
    <w:multiLevelType w:val="multilevel"/>
    <w:tmpl w:val="617A23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A1A2E8F"/>
    <w:multiLevelType w:val="multilevel"/>
    <w:tmpl w:val="5A02959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1593C92"/>
    <w:multiLevelType w:val="multilevel"/>
    <w:tmpl w:val="11ECDE6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7705153"/>
    <w:multiLevelType w:val="multilevel"/>
    <w:tmpl w:val="3B8CC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D74933"/>
    <w:multiLevelType w:val="multilevel"/>
    <w:tmpl w:val="A6EAE9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5DD62E09"/>
    <w:multiLevelType w:val="multilevel"/>
    <w:tmpl w:val="B06E1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4824D4"/>
    <w:multiLevelType w:val="multilevel"/>
    <w:tmpl w:val="33D4DC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0"/>
  </w:num>
  <w:num w:numId="4">
    <w:abstractNumId w:val="0"/>
  </w:num>
  <w:num w:numId="5">
    <w:abstractNumId w:val="0"/>
  </w:num>
  <w:num w:numId="6">
    <w:abstractNumId w:val="2"/>
  </w:num>
  <w:num w:numId="7">
    <w:abstractNumId w:val="1"/>
  </w:num>
  <w:num w:numId="8">
    <w:abstractNumId w:val="1"/>
  </w:num>
  <w:num w:numId="9">
    <w:abstractNumId w:val="1"/>
  </w:num>
  <w:num w:numId="10">
    <w:abstractNumId w:val="1"/>
  </w:num>
  <w:num w:numId="11">
    <w:abstractNumId w:val="1"/>
  </w:num>
  <w:num w:numId="12">
    <w:abstractNumId w:val="3"/>
  </w:num>
  <w:num w:numId="13">
    <w:abstractNumId w:val="5"/>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96C"/>
    <w:rsid w:val="00012A62"/>
    <w:rsid w:val="0004668B"/>
    <w:rsid w:val="00070630"/>
    <w:rsid w:val="000A6B86"/>
    <w:rsid w:val="00104D87"/>
    <w:rsid w:val="001911A5"/>
    <w:rsid w:val="001D0484"/>
    <w:rsid w:val="001E74D0"/>
    <w:rsid w:val="001F2079"/>
    <w:rsid w:val="0027264C"/>
    <w:rsid w:val="002B1E5F"/>
    <w:rsid w:val="002D481C"/>
    <w:rsid w:val="003049D0"/>
    <w:rsid w:val="00321646"/>
    <w:rsid w:val="003A1AC6"/>
    <w:rsid w:val="003B7ED9"/>
    <w:rsid w:val="003F4376"/>
    <w:rsid w:val="0044136C"/>
    <w:rsid w:val="004511C6"/>
    <w:rsid w:val="0045768E"/>
    <w:rsid w:val="00464BE4"/>
    <w:rsid w:val="005B272E"/>
    <w:rsid w:val="006016DB"/>
    <w:rsid w:val="006E1541"/>
    <w:rsid w:val="00730B5C"/>
    <w:rsid w:val="00794B4C"/>
    <w:rsid w:val="007D739B"/>
    <w:rsid w:val="0080696C"/>
    <w:rsid w:val="00867626"/>
    <w:rsid w:val="0094302D"/>
    <w:rsid w:val="00946428"/>
    <w:rsid w:val="00976D16"/>
    <w:rsid w:val="009875A6"/>
    <w:rsid w:val="009C5EDE"/>
    <w:rsid w:val="00A20099"/>
    <w:rsid w:val="00A834F1"/>
    <w:rsid w:val="00AA45DC"/>
    <w:rsid w:val="00B12EA9"/>
    <w:rsid w:val="00B225C5"/>
    <w:rsid w:val="00B45C4D"/>
    <w:rsid w:val="00B524AF"/>
    <w:rsid w:val="00B854A6"/>
    <w:rsid w:val="00BC3FC7"/>
    <w:rsid w:val="00C10BFB"/>
    <w:rsid w:val="00C11782"/>
    <w:rsid w:val="00C27946"/>
    <w:rsid w:val="00C74D89"/>
    <w:rsid w:val="00CA2B69"/>
    <w:rsid w:val="00CD5318"/>
    <w:rsid w:val="00CF5215"/>
    <w:rsid w:val="00D8768F"/>
    <w:rsid w:val="00DD1BEA"/>
    <w:rsid w:val="00E01C6E"/>
    <w:rsid w:val="00E517DD"/>
    <w:rsid w:val="00EE7423"/>
    <w:rsid w:val="00F04120"/>
    <w:rsid w:val="00F40CE0"/>
    <w:rsid w:val="00FA7FB3"/>
    <w:rsid w:val="00FD56C2"/>
    <w:rsid w:val="00FE57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A918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4D0"/>
    <w:rPr>
      <w:rFonts w:ascii="Times New Roman" w:hAnsi="Times New Roman"/>
      <w:lang w:val="en-GB"/>
    </w:rPr>
  </w:style>
  <w:style w:type="paragraph" w:styleId="Heading1">
    <w:name w:val="heading 1"/>
    <w:basedOn w:val="Normal"/>
    <w:next w:val="Normal"/>
    <w:link w:val="Heading1Char"/>
    <w:autoRedefine/>
    <w:uiPriority w:val="9"/>
    <w:qFormat/>
    <w:rsid w:val="0080696C"/>
    <w:pPr>
      <w:keepNext/>
      <w:keepLines/>
      <w:pBdr>
        <w:top w:val="single" w:sz="4" w:space="1" w:color="auto"/>
        <w:left w:val="single" w:sz="4" w:space="4" w:color="auto"/>
        <w:bottom w:val="single" w:sz="4" w:space="1" w:color="auto"/>
        <w:right w:val="single" w:sz="4" w:space="4" w:color="auto"/>
      </w:pBdr>
      <w:shd w:val="clear" w:color="auto" w:fill="2F5496" w:themeFill="accent1" w:themeFillShade="BF"/>
      <w:outlineLvl w:val="0"/>
    </w:pPr>
    <w:rPr>
      <w:rFonts w:eastAsiaTheme="majorEastAsia" w:cstheme="majorBidi"/>
      <w:b/>
      <w:color w:val="FFFFFF" w:themeColor="background1"/>
      <w:sz w:val="32"/>
      <w:szCs w:val="40"/>
      <w:lang w:val="en-US"/>
    </w:rPr>
  </w:style>
  <w:style w:type="paragraph" w:styleId="Heading2">
    <w:name w:val="heading 2"/>
    <w:basedOn w:val="Normal"/>
    <w:next w:val="Normal"/>
    <w:link w:val="Heading2Char"/>
    <w:autoRedefine/>
    <w:uiPriority w:val="9"/>
    <w:unhideWhenUsed/>
    <w:qFormat/>
    <w:rsid w:val="0080696C"/>
    <w:pPr>
      <w:keepNext/>
      <w:keepLines/>
      <w:spacing w:before="160" w:after="80"/>
      <w:jc w:val="both"/>
      <w:outlineLvl w:val="1"/>
    </w:pPr>
    <w:rPr>
      <w:rFonts w:eastAsiaTheme="majorEastAsia" w:cstheme="majorBidi"/>
      <w:b/>
      <w:color w:val="000000" w:themeColor="text1"/>
      <w:sz w:val="28"/>
      <w:szCs w:val="32"/>
      <w:lang w:val="en-US"/>
    </w:rPr>
  </w:style>
  <w:style w:type="paragraph" w:styleId="Heading3">
    <w:name w:val="heading 3"/>
    <w:basedOn w:val="Normal"/>
    <w:next w:val="Normal"/>
    <w:link w:val="Heading3Char"/>
    <w:autoRedefine/>
    <w:uiPriority w:val="9"/>
    <w:unhideWhenUsed/>
    <w:qFormat/>
    <w:rsid w:val="00FE5712"/>
    <w:pPr>
      <w:keepNext/>
      <w:keepLines/>
      <w:spacing w:before="160" w:after="80"/>
      <w:outlineLvl w:val="2"/>
    </w:pPr>
    <w:rPr>
      <w:rFonts w:eastAsiaTheme="majorEastAsia" w:cstheme="majorBidi"/>
      <w:i/>
      <w:color w:val="000000" w:themeColor="text1"/>
      <w:szCs w:val="28"/>
      <w:lang w:val="en-US"/>
    </w:rPr>
  </w:style>
  <w:style w:type="paragraph" w:styleId="Heading4">
    <w:name w:val="heading 4"/>
    <w:basedOn w:val="Normal"/>
    <w:next w:val="Normal"/>
    <w:link w:val="Heading4Char"/>
    <w:uiPriority w:val="9"/>
    <w:semiHidden/>
    <w:unhideWhenUsed/>
    <w:qFormat/>
    <w:rsid w:val="0080696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0696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0696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0696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0696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0696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96C"/>
    <w:rPr>
      <w:rFonts w:ascii="Times New Roman" w:eastAsiaTheme="majorEastAsia" w:hAnsi="Times New Roman" w:cstheme="majorBidi"/>
      <w:b/>
      <w:color w:val="FFFFFF" w:themeColor="background1"/>
      <w:sz w:val="32"/>
      <w:szCs w:val="40"/>
      <w:shd w:val="clear" w:color="auto" w:fill="2F5496" w:themeFill="accent1" w:themeFillShade="BF"/>
    </w:rPr>
  </w:style>
  <w:style w:type="character" w:customStyle="1" w:styleId="Heading2Char">
    <w:name w:val="Heading 2 Char"/>
    <w:basedOn w:val="DefaultParagraphFont"/>
    <w:link w:val="Heading2"/>
    <w:uiPriority w:val="9"/>
    <w:rsid w:val="0080696C"/>
    <w:rPr>
      <w:rFonts w:ascii="Times New Roman" w:eastAsiaTheme="majorEastAsia" w:hAnsi="Times New Roman" w:cstheme="majorBidi"/>
      <w:b/>
      <w:color w:val="000000" w:themeColor="text1"/>
      <w:sz w:val="28"/>
      <w:szCs w:val="32"/>
    </w:rPr>
  </w:style>
  <w:style w:type="paragraph" w:styleId="Title">
    <w:name w:val="Title"/>
    <w:basedOn w:val="Normal"/>
    <w:next w:val="Normal"/>
    <w:link w:val="TitleChar"/>
    <w:uiPriority w:val="10"/>
    <w:qFormat/>
    <w:rsid w:val="006016DB"/>
    <w:pPr>
      <w:spacing w:after="80" w:line="240" w:lineRule="auto"/>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6016DB"/>
    <w:rPr>
      <w:rFonts w:ascii="Times New Roman" w:eastAsiaTheme="majorEastAsia" w:hAnsi="Times New Roman" w:cstheme="majorBidi"/>
      <w:spacing w:val="-10"/>
      <w:kern w:val="28"/>
      <w:sz w:val="40"/>
      <w:szCs w:val="56"/>
      <w:lang w:val="en-GB"/>
    </w:rPr>
  </w:style>
  <w:style w:type="character" w:customStyle="1" w:styleId="Heading3Char">
    <w:name w:val="Heading 3 Char"/>
    <w:basedOn w:val="DefaultParagraphFont"/>
    <w:link w:val="Heading3"/>
    <w:uiPriority w:val="9"/>
    <w:rsid w:val="00FE5712"/>
    <w:rPr>
      <w:rFonts w:ascii="Times New Roman" w:eastAsiaTheme="majorEastAsia" w:hAnsi="Times New Roman" w:cstheme="majorBidi"/>
      <w:i/>
      <w:color w:val="000000" w:themeColor="text1"/>
      <w:szCs w:val="28"/>
    </w:rPr>
  </w:style>
  <w:style w:type="character" w:customStyle="1" w:styleId="Heading4Char">
    <w:name w:val="Heading 4 Char"/>
    <w:basedOn w:val="DefaultParagraphFont"/>
    <w:link w:val="Heading4"/>
    <w:uiPriority w:val="9"/>
    <w:semiHidden/>
    <w:rsid w:val="0080696C"/>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0696C"/>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0696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0696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0696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0696C"/>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80696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96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0696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0696C"/>
    <w:rPr>
      <w:rFonts w:ascii="Times New Roman" w:hAnsi="Times New Roman"/>
      <w:i/>
      <w:iCs/>
      <w:color w:val="404040" w:themeColor="text1" w:themeTint="BF"/>
      <w:lang w:val="en-GB"/>
    </w:rPr>
  </w:style>
  <w:style w:type="paragraph" w:styleId="ListParagraph">
    <w:name w:val="List Paragraph"/>
    <w:basedOn w:val="Normal"/>
    <w:uiPriority w:val="34"/>
    <w:qFormat/>
    <w:rsid w:val="0080696C"/>
    <w:pPr>
      <w:ind w:left="720"/>
      <w:contextualSpacing/>
    </w:pPr>
  </w:style>
  <w:style w:type="character" w:styleId="IntenseEmphasis">
    <w:name w:val="Intense Emphasis"/>
    <w:basedOn w:val="DefaultParagraphFont"/>
    <w:uiPriority w:val="21"/>
    <w:qFormat/>
    <w:rsid w:val="0080696C"/>
    <w:rPr>
      <w:i/>
      <w:iCs/>
      <w:color w:val="2F5496" w:themeColor="accent1" w:themeShade="BF"/>
    </w:rPr>
  </w:style>
  <w:style w:type="paragraph" w:styleId="IntenseQuote">
    <w:name w:val="Intense Quote"/>
    <w:basedOn w:val="Normal"/>
    <w:next w:val="Normal"/>
    <w:link w:val="IntenseQuoteChar"/>
    <w:uiPriority w:val="30"/>
    <w:qFormat/>
    <w:rsid w:val="008069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696C"/>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80696C"/>
    <w:rPr>
      <w:b/>
      <w:bCs/>
      <w:smallCaps/>
      <w:color w:val="2F5496" w:themeColor="accent1" w:themeShade="BF"/>
      <w:spacing w:val="5"/>
    </w:rPr>
  </w:style>
  <w:style w:type="table" w:styleId="GridTable3-Accent1">
    <w:name w:val="Grid Table 3 Accent 1"/>
    <w:basedOn w:val="TableNormal"/>
    <w:uiPriority w:val="48"/>
    <w:rsid w:val="0080696C"/>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Accent2">
    <w:name w:val="Grid Table 3 Accent 2"/>
    <w:basedOn w:val="TableNormal"/>
    <w:uiPriority w:val="48"/>
    <w:rsid w:val="0080696C"/>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3">
    <w:name w:val="Grid Table 3 Accent 3"/>
    <w:basedOn w:val="TableNormal"/>
    <w:uiPriority w:val="48"/>
    <w:rsid w:val="0080696C"/>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48"/>
    <w:rsid w:val="0080696C"/>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80696C"/>
    <w:pPr>
      <w:spacing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5">
    <w:name w:val="Grid Table 4 Accent 5"/>
    <w:basedOn w:val="TableNormal"/>
    <w:uiPriority w:val="49"/>
    <w:rsid w:val="0080696C"/>
    <w:pPr>
      <w:spacing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80696C"/>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80696C"/>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80696C"/>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80696C"/>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1">
    <w:name w:val="Grid Table 5 Dark Accent 1"/>
    <w:basedOn w:val="TableNormal"/>
    <w:uiPriority w:val="50"/>
    <w:rsid w:val="0080696C"/>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7Colorful-Accent1">
    <w:name w:val="Grid Table 7 Colorful Accent 1"/>
    <w:basedOn w:val="TableNormal"/>
    <w:uiPriority w:val="52"/>
    <w:rsid w:val="0080696C"/>
    <w:pPr>
      <w:spacing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1Light-Accent1">
    <w:name w:val="Grid Table 1 Light Accent 1"/>
    <w:basedOn w:val="TableNormal"/>
    <w:uiPriority w:val="46"/>
    <w:rsid w:val="0080696C"/>
    <w:pPr>
      <w:spacing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94302D"/>
    <w:pPr>
      <w:pBdr>
        <w:top w:val="none" w:sz="0" w:space="0" w:color="auto"/>
        <w:left w:val="none" w:sz="0" w:space="0" w:color="auto"/>
        <w:bottom w:val="none" w:sz="0" w:space="0" w:color="auto"/>
        <w:right w:val="none" w:sz="0" w:space="0" w:color="auto"/>
      </w:pBdr>
      <w:shd w:val="clear" w:color="auto" w:fill="auto"/>
      <w:spacing w:before="240" w:line="259" w:lineRule="auto"/>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94302D"/>
    <w:pPr>
      <w:spacing w:after="100"/>
    </w:pPr>
  </w:style>
  <w:style w:type="paragraph" w:styleId="TOC2">
    <w:name w:val="toc 2"/>
    <w:basedOn w:val="Normal"/>
    <w:next w:val="Normal"/>
    <w:autoRedefine/>
    <w:uiPriority w:val="39"/>
    <w:unhideWhenUsed/>
    <w:rsid w:val="0094302D"/>
    <w:pPr>
      <w:spacing w:after="100"/>
      <w:ind w:left="240"/>
    </w:pPr>
  </w:style>
  <w:style w:type="character" w:styleId="Hyperlink">
    <w:name w:val="Hyperlink"/>
    <w:basedOn w:val="DefaultParagraphFont"/>
    <w:uiPriority w:val="99"/>
    <w:unhideWhenUsed/>
    <w:rsid w:val="0094302D"/>
    <w:rPr>
      <w:color w:val="0563C1" w:themeColor="hyperlink"/>
      <w:u w:val="single"/>
    </w:rPr>
  </w:style>
  <w:style w:type="table" w:styleId="GridTable1Light">
    <w:name w:val="Grid Table 1 Light"/>
    <w:basedOn w:val="TableNormal"/>
    <w:uiPriority w:val="46"/>
    <w:rsid w:val="0094302D"/>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B854A6"/>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FE5712"/>
    <w:pPr>
      <w:spacing w:after="100"/>
      <w:ind w:left="480"/>
    </w:pPr>
  </w:style>
  <w:style w:type="paragraph" w:styleId="Header">
    <w:name w:val="header"/>
    <w:basedOn w:val="Normal"/>
    <w:link w:val="HeaderChar"/>
    <w:uiPriority w:val="99"/>
    <w:unhideWhenUsed/>
    <w:rsid w:val="00730B5C"/>
    <w:pPr>
      <w:tabs>
        <w:tab w:val="center" w:pos="4680"/>
        <w:tab w:val="right" w:pos="9360"/>
      </w:tabs>
      <w:spacing w:line="240" w:lineRule="auto"/>
    </w:pPr>
  </w:style>
  <w:style w:type="character" w:customStyle="1" w:styleId="HeaderChar">
    <w:name w:val="Header Char"/>
    <w:basedOn w:val="DefaultParagraphFont"/>
    <w:link w:val="Header"/>
    <w:uiPriority w:val="99"/>
    <w:rsid w:val="00730B5C"/>
    <w:rPr>
      <w:rFonts w:ascii="Times New Roman" w:hAnsi="Times New Roman"/>
      <w:lang w:val="en-GB"/>
    </w:rPr>
  </w:style>
  <w:style w:type="paragraph" w:styleId="Footer">
    <w:name w:val="footer"/>
    <w:basedOn w:val="Normal"/>
    <w:link w:val="FooterChar"/>
    <w:uiPriority w:val="99"/>
    <w:unhideWhenUsed/>
    <w:rsid w:val="00730B5C"/>
    <w:pPr>
      <w:tabs>
        <w:tab w:val="center" w:pos="4680"/>
        <w:tab w:val="right" w:pos="9360"/>
      </w:tabs>
      <w:spacing w:line="240" w:lineRule="auto"/>
    </w:pPr>
  </w:style>
  <w:style w:type="character" w:customStyle="1" w:styleId="FooterChar">
    <w:name w:val="Footer Char"/>
    <w:basedOn w:val="DefaultParagraphFont"/>
    <w:link w:val="Footer"/>
    <w:uiPriority w:val="99"/>
    <w:rsid w:val="00730B5C"/>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7073</Words>
  <Characters>40320</Characters>
  <Application>Microsoft Office Word</Application>
  <DocSecurity>0</DocSecurity>
  <Lines>336</Lines>
  <Paragraphs>94</Paragraphs>
  <ScaleCrop>false</ScaleCrop>
  <Company/>
  <LinksUpToDate>false</LinksUpToDate>
  <CharactersWithSpaces>47299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2026-04-26T20:00:00Z</dcterms:created>
  <dcterms:modified xsi:type="dcterms:W3CDTF">2026-04-26T20:00:00Z</dcterms:modified>
</cp:coreProperties>
</file>