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560" w:type="dxa"/>
        <w:tblInd w:w="-7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44"/>
        <w:gridCol w:w="5616"/>
      </w:tblGrid>
      <w:tr w:rsidR="00CB1C8C" w14:paraId="5A17154B" w14:textId="135564CB" w:rsidTr="00CB1C8C">
        <w:trPr>
          <w:trHeight w:val="684"/>
        </w:trPr>
        <w:tc>
          <w:tcPr>
            <w:tcW w:w="4944" w:type="dxa"/>
          </w:tcPr>
          <w:p w14:paraId="6ADDCD3A" w14:textId="39500F1D" w:rsidR="00CB1C8C" w:rsidRDefault="00CB1C8C">
            <w:pPr>
              <w:rPr>
                <w:rFonts w:ascii="Arial" w:hAnsi="Arial" w:cs="Arial"/>
                <w:sz w:val="22"/>
                <w:szCs w:val="22"/>
              </w:rPr>
            </w:pPr>
            <w:r>
              <w:rPr>
                <w:rFonts w:ascii="Arial" w:hAnsi="Arial" w:cs="Arial"/>
                <w:sz w:val="22"/>
                <w:szCs w:val="22"/>
              </w:rPr>
              <w:t>Student name</w:t>
            </w:r>
          </w:p>
        </w:tc>
        <w:tc>
          <w:tcPr>
            <w:tcW w:w="5616" w:type="dxa"/>
          </w:tcPr>
          <w:p w14:paraId="4E087206" w14:textId="4661EE61" w:rsidR="00CB1C8C" w:rsidRDefault="00CB1C8C">
            <w:pPr>
              <w:rPr>
                <w:rFonts w:ascii="Arial" w:hAnsi="Arial" w:cs="Arial"/>
                <w:sz w:val="22"/>
                <w:szCs w:val="22"/>
              </w:rPr>
            </w:pPr>
            <w:r>
              <w:rPr>
                <w:rFonts w:ascii="Arial" w:hAnsi="Arial" w:cs="Arial"/>
                <w:sz w:val="22"/>
                <w:szCs w:val="22"/>
              </w:rPr>
              <w:t>Sidrah Javed</w:t>
            </w:r>
          </w:p>
        </w:tc>
      </w:tr>
      <w:tr w:rsidR="00CB1C8C" w14:paraId="24287016" w14:textId="1E1EA7E7" w:rsidTr="00CB1C8C">
        <w:trPr>
          <w:trHeight w:val="1176"/>
        </w:trPr>
        <w:tc>
          <w:tcPr>
            <w:tcW w:w="4944" w:type="dxa"/>
          </w:tcPr>
          <w:p w14:paraId="77737A51" w14:textId="2C9FE3DA" w:rsidR="00CB1C8C" w:rsidRDefault="00CB1C8C">
            <w:pPr>
              <w:rPr>
                <w:rFonts w:ascii="Arial" w:hAnsi="Arial" w:cs="Arial"/>
                <w:sz w:val="22"/>
                <w:szCs w:val="22"/>
              </w:rPr>
            </w:pPr>
            <w:r>
              <w:rPr>
                <w:rFonts w:ascii="Arial" w:hAnsi="Arial" w:cs="Arial"/>
                <w:sz w:val="22"/>
                <w:szCs w:val="22"/>
              </w:rPr>
              <w:t>Student ID number</w:t>
            </w:r>
          </w:p>
        </w:tc>
        <w:tc>
          <w:tcPr>
            <w:tcW w:w="5616" w:type="dxa"/>
          </w:tcPr>
          <w:p w14:paraId="191C181F" w14:textId="2C72E472" w:rsidR="00CB1C8C" w:rsidRDefault="00CB1C8C">
            <w:pPr>
              <w:rPr>
                <w:rFonts w:ascii="Arial" w:hAnsi="Arial" w:cs="Arial"/>
                <w:sz w:val="22"/>
                <w:szCs w:val="22"/>
              </w:rPr>
            </w:pPr>
            <w:r>
              <w:rPr>
                <w:rFonts w:ascii="Arial" w:hAnsi="Arial" w:cs="Arial"/>
                <w:sz w:val="22"/>
                <w:szCs w:val="22"/>
              </w:rPr>
              <w:t>2238819</w:t>
            </w:r>
          </w:p>
        </w:tc>
      </w:tr>
      <w:tr w:rsidR="00CB1C8C" w14:paraId="20C78AA2" w14:textId="71AF7BC8" w:rsidTr="00CB1C8C">
        <w:trPr>
          <w:trHeight w:val="1428"/>
        </w:trPr>
        <w:tc>
          <w:tcPr>
            <w:tcW w:w="4944" w:type="dxa"/>
          </w:tcPr>
          <w:p w14:paraId="2038093F" w14:textId="503BF0F3" w:rsidR="00CB1C8C" w:rsidRDefault="00CB1C8C">
            <w:pPr>
              <w:rPr>
                <w:rFonts w:ascii="Arial" w:hAnsi="Arial" w:cs="Arial"/>
                <w:sz w:val="22"/>
                <w:szCs w:val="22"/>
              </w:rPr>
            </w:pPr>
            <w:r>
              <w:rPr>
                <w:rFonts w:ascii="Arial" w:hAnsi="Arial" w:cs="Arial"/>
                <w:sz w:val="22"/>
                <w:szCs w:val="22"/>
              </w:rPr>
              <w:t xml:space="preserve">Module </w:t>
            </w:r>
          </w:p>
        </w:tc>
        <w:tc>
          <w:tcPr>
            <w:tcW w:w="5616" w:type="dxa"/>
          </w:tcPr>
          <w:p w14:paraId="742CA3BC" w14:textId="4852DC4A" w:rsidR="00CB1C8C" w:rsidRDefault="00CB1C8C">
            <w:pPr>
              <w:rPr>
                <w:rFonts w:ascii="Arial" w:hAnsi="Arial" w:cs="Arial"/>
                <w:sz w:val="22"/>
                <w:szCs w:val="22"/>
              </w:rPr>
            </w:pPr>
            <w:r>
              <w:rPr>
                <w:rFonts w:ascii="Arial" w:hAnsi="Arial" w:cs="Arial"/>
                <w:sz w:val="22"/>
                <w:szCs w:val="22"/>
              </w:rPr>
              <w:t>Principles Of Health and Social care practise</w:t>
            </w:r>
          </w:p>
        </w:tc>
      </w:tr>
      <w:tr w:rsidR="00CB1C8C" w14:paraId="30650C72" w14:textId="258468F8" w:rsidTr="00CB1C8C">
        <w:trPr>
          <w:trHeight w:val="1128"/>
        </w:trPr>
        <w:tc>
          <w:tcPr>
            <w:tcW w:w="4944" w:type="dxa"/>
          </w:tcPr>
          <w:p w14:paraId="7AB29758" w14:textId="52363AC4" w:rsidR="00CB1C8C" w:rsidRDefault="00CB1C8C">
            <w:pPr>
              <w:rPr>
                <w:rFonts w:ascii="Arial" w:hAnsi="Arial" w:cs="Arial"/>
                <w:sz w:val="22"/>
                <w:szCs w:val="22"/>
              </w:rPr>
            </w:pPr>
            <w:r>
              <w:rPr>
                <w:rFonts w:ascii="Arial" w:hAnsi="Arial" w:cs="Arial"/>
                <w:sz w:val="22"/>
                <w:szCs w:val="22"/>
              </w:rPr>
              <w:t>Module Code</w:t>
            </w:r>
          </w:p>
        </w:tc>
        <w:tc>
          <w:tcPr>
            <w:tcW w:w="5616" w:type="dxa"/>
          </w:tcPr>
          <w:p w14:paraId="63BBC8A2" w14:textId="592950BF" w:rsidR="00CB1C8C" w:rsidRDefault="00CB1C8C">
            <w:pPr>
              <w:rPr>
                <w:rFonts w:ascii="Arial" w:hAnsi="Arial" w:cs="Arial"/>
                <w:sz w:val="22"/>
                <w:szCs w:val="22"/>
              </w:rPr>
            </w:pPr>
            <w:r>
              <w:rPr>
                <w:rFonts w:ascii="Arial" w:hAnsi="Arial" w:cs="Arial"/>
                <w:sz w:val="22"/>
                <w:szCs w:val="22"/>
              </w:rPr>
              <w:t>BMHP5016</w:t>
            </w:r>
          </w:p>
        </w:tc>
      </w:tr>
      <w:tr w:rsidR="00CB1C8C" w14:paraId="363626E8" w14:textId="13EB155A" w:rsidTr="00CB1C8C">
        <w:trPr>
          <w:trHeight w:val="972"/>
        </w:trPr>
        <w:tc>
          <w:tcPr>
            <w:tcW w:w="4944" w:type="dxa"/>
          </w:tcPr>
          <w:p w14:paraId="72EAD68F" w14:textId="6AEB9F38" w:rsidR="00CB1C8C" w:rsidRDefault="00CB1C8C">
            <w:pPr>
              <w:rPr>
                <w:rFonts w:ascii="Arial" w:hAnsi="Arial" w:cs="Arial"/>
                <w:sz w:val="22"/>
                <w:szCs w:val="22"/>
              </w:rPr>
            </w:pPr>
            <w:r>
              <w:rPr>
                <w:rFonts w:ascii="Arial" w:hAnsi="Arial" w:cs="Arial"/>
                <w:sz w:val="22"/>
                <w:szCs w:val="22"/>
              </w:rPr>
              <w:t xml:space="preserve">Lecturer </w:t>
            </w:r>
          </w:p>
        </w:tc>
        <w:tc>
          <w:tcPr>
            <w:tcW w:w="5616" w:type="dxa"/>
          </w:tcPr>
          <w:p w14:paraId="3C9ED0CC" w14:textId="4E56CF2C" w:rsidR="00CB1C8C" w:rsidRDefault="00CB1C8C">
            <w:pPr>
              <w:rPr>
                <w:rFonts w:ascii="Arial" w:hAnsi="Arial" w:cs="Arial"/>
                <w:sz w:val="22"/>
                <w:szCs w:val="22"/>
              </w:rPr>
            </w:pPr>
            <w:r>
              <w:rPr>
                <w:rFonts w:ascii="Arial" w:hAnsi="Arial" w:cs="Arial"/>
                <w:sz w:val="22"/>
                <w:szCs w:val="22"/>
              </w:rPr>
              <w:t xml:space="preserve">Jacquline </w:t>
            </w:r>
          </w:p>
        </w:tc>
      </w:tr>
      <w:tr w:rsidR="00CB1C8C" w14:paraId="77480C0E" w14:textId="597CB30F" w:rsidTr="00CB1C8C">
        <w:trPr>
          <w:trHeight w:val="576"/>
        </w:trPr>
        <w:tc>
          <w:tcPr>
            <w:tcW w:w="4944" w:type="dxa"/>
          </w:tcPr>
          <w:p w14:paraId="71D0EE04" w14:textId="61B88263" w:rsidR="00CB1C8C" w:rsidRDefault="00CB1C8C">
            <w:pPr>
              <w:rPr>
                <w:rFonts w:ascii="Arial" w:hAnsi="Arial" w:cs="Arial"/>
                <w:sz w:val="22"/>
                <w:szCs w:val="22"/>
              </w:rPr>
            </w:pPr>
            <w:r>
              <w:rPr>
                <w:rFonts w:ascii="Arial" w:hAnsi="Arial" w:cs="Arial"/>
                <w:sz w:val="22"/>
                <w:szCs w:val="22"/>
              </w:rPr>
              <w:t>Assignment Title</w:t>
            </w:r>
          </w:p>
        </w:tc>
        <w:tc>
          <w:tcPr>
            <w:tcW w:w="5616" w:type="dxa"/>
          </w:tcPr>
          <w:p w14:paraId="04FA1865" w14:textId="77777777" w:rsidR="00CB1C8C" w:rsidRDefault="00CB1C8C">
            <w:pPr>
              <w:rPr>
                <w:rFonts w:ascii="Arial" w:hAnsi="Arial" w:cs="Arial"/>
                <w:sz w:val="22"/>
                <w:szCs w:val="22"/>
              </w:rPr>
            </w:pPr>
            <w:r>
              <w:rPr>
                <w:rFonts w:ascii="Arial" w:hAnsi="Arial" w:cs="Arial"/>
                <w:sz w:val="22"/>
                <w:szCs w:val="22"/>
              </w:rPr>
              <w:t xml:space="preserve">Component 1 Written Assignment </w:t>
            </w:r>
          </w:p>
          <w:p w14:paraId="1FEE1FEA" w14:textId="0F103FBE" w:rsidR="00CB1C8C" w:rsidRDefault="00CB1C8C">
            <w:pPr>
              <w:rPr>
                <w:rFonts w:ascii="Arial" w:hAnsi="Arial" w:cs="Arial"/>
                <w:sz w:val="22"/>
                <w:szCs w:val="22"/>
              </w:rPr>
            </w:pPr>
            <w:r>
              <w:rPr>
                <w:rFonts w:ascii="Arial" w:hAnsi="Arial" w:cs="Arial"/>
                <w:sz w:val="22"/>
                <w:szCs w:val="22"/>
              </w:rPr>
              <w:t>(Guidance summary) Rework</w:t>
            </w:r>
          </w:p>
        </w:tc>
      </w:tr>
      <w:tr w:rsidR="00CB1C8C" w14:paraId="65E93BF8" w14:textId="0D3F5AB6" w:rsidTr="00CB1C8C">
        <w:trPr>
          <w:trHeight w:val="1116"/>
        </w:trPr>
        <w:tc>
          <w:tcPr>
            <w:tcW w:w="4944" w:type="dxa"/>
          </w:tcPr>
          <w:p w14:paraId="33EB5359" w14:textId="734279F2" w:rsidR="00CB1C8C" w:rsidRDefault="00CB1C8C">
            <w:pPr>
              <w:rPr>
                <w:rFonts w:ascii="Arial" w:hAnsi="Arial" w:cs="Arial"/>
                <w:sz w:val="22"/>
                <w:szCs w:val="22"/>
              </w:rPr>
            </w:pPr>
            <w:r>
              <w:rPr>
                <w:rFonts w:ascii="Arial" w:hAnsi="Arial" w:cs="Arial"/>
                <w:sz w:val="22"/>
                <w:szCs w:val="22"/>
              </w:rPr>
              <w:t>Submission deadline</w:t>
            </w:r>
          </w:p>
        </w:tc>
        <w:tc>
          <w:tcPr>
            <w:tcW w:w="5616" w:type="dxa"/>
          </w:tcPr>
          <w:p w14:paraId="3F612468" w14:textId="78BA4677" w:rsidR="00CB1C8C" w:rsidRDefault="00CB1C8C">
            <w:pPr>
              <w:rPr>
                <w:rFonts w:ascii="Arial" w:hAnsi="Arial" w:cs="Arial"/>
                <w:sz w:val="22"/>
                <w:szCs w:val="22"/>
              </w:rPr>
            </w:pPr>
            <w:r>
              <w:rPr>
                <w:rFonts w:ascii="Arial" w:hAnsi="Arial" w:cs="Arial"/>
                <w:sz w:val="22"/>
                <w:szCs w:val="22"/>
              </w:rPr>
              <w:t>5</w:t>
            </w:r>
            <w:r w:rsidRPr="00CB1C8C">
              <w:rPr>
                <w:rFonts w:ascii="Arial" w:hAnsi="Arial" w:cs="Arial"/>
                <w:sz w:val="22"/>
                <w:szCs w:val="22"/>
                <w:vertAlign w:val="superscript"/>
              </w:rPr>
              <w:t>th</w:t>
            </w:r>
            <w:r>
              <w:rPr>
                <w:rFonts w:ascii="Arial" w:hAnsi="Arial" w:cs="Arial"/>
                <w:sz w:val="22"/>
                <w:szCs w:val="22"/>
              </w:rPr>
              <w:t xml:space="preserve"> of December 2025</w:t>
            </w:r>
          </w:p>
          <w:p w14:paraId="5287C165" w14:textId="7D6A0408" w:rsidR="00CB1C8C" w:rsidRDefault="00CB1C8C">
            <w:pPr>
              <w:rPr>
                <w:rFonts w:ascii="Arial" w:hAnsi="Arial" w:cs="Arial"/>
                <w:sz w:val="22"/>
                <w:szCs w:val="22"/>
              </w:rPr>
            </w:pPr>
          </w:p>
        </w:tc>
      </w:tr>
    </w:tbl>
    <w:p w14:paraId="4F050C70" w14:textId="77777777" w:rsidR="005E43DB" w:rsidRDefault="005E43DB">
      <w:pPr>
        <w:rPr>
          <w:rFonts w:ascii="Arial" w:hAnsi="Arial" w:cs="Arial"/>
          <w:sz w:val="22"/>
          <w:szCs w:val="22"/>
        </w:rPr>
      </w:pPr>
    </w:p>
    <w:p w14:paraId="430571BE" w14:textId="77777777" w:rsidR="00895B9C" w:rsidRDefault="00895B9C">
      <w:pPr>
        <w:rPr>
          <w:rFonts w:ascii="Arial" w:hAnsi="Arial" w:cs="Arial"/>
          <w:sz w:val="22"/>
          <w:szCs w:val="22"/>
        </w:rPr>
      </w:pPr>
    </w:p>
    <w:p w14:paraId="0CDBE0CC" w14:textId="77777777" w:rsidR="00895B9C" w:rsidRDefault="00895B9C">
      <w:pPr>
        <w:rPr>
          <w:rFonts w:ascii="Arial" w:hAnsi="Arial" w:cs="Arial"/>
          <w:sz w:val="22"/>
          <w:szCs w:val="22"/>
        </w:rPr>
      </w:pPr>
    </w:p>
    <w:p w14:paraId="75E23D38" w14:textId="77777777" w:rsidR="00895B9C" w:rsidRDefault="00895B9C">
      <w:pPr>
        <w:rPr>
          <w:rFonts w:ascii="Arial" w:hAnsi="Arial" w:cs="Arial"/>
          <w:sz w:val="22"/>
          <w:szCs w:val="22"/>
        </w:rPr>
      </w:pPr>
    </w:p>
    <w:p w14:paraId="3448099D" w14:textId="77777777" w:rsidR="00895B9C" w:rsidRDefault="00895B9C">
      <w:pPr>
        <w:rPr>
          <w:rFonts w:ascii="Arial" w:hAnsi="Arial" w:cs="Arial"/>
          <w:sz w:val="22"/>
          <w:szCs w:val="22"/>
        </w:rPr>
      </w:pPr>
    </w:p>
    <w:p w14:paraId="4F9D0DC4" w14:textId="77777777" w:rsidR="00895B9C" w:rsidRDefault="00895B9C">
      <w:pPr>
        <w:rPr>
          <w:rFonts w:ascii="Arial" w:hAnsi="Arial" w:cs="Arial"/>
          <w:sz w:val="22"/>
          <w:szCs w:val="22"/>
        </w:rPr>
      </w:pPr>
    </w:p>
    <w:p w14:paraId="3F45CEA0" w14:textId="77777777" w:rsidR="00895B9C" w:rsidRDefault="00895B9C">
      <w:pPr>
        <w:rPr>
          <w:rFonts w:ascii="Arial" w:hAnsi="Arial" w:cs="Arial"/>
          <w:sz w:val="22"/>
          <w:szCs w:val="22"/>
        </w:rPr>
      </w:pPr>
    </w:p>
    <w:p w14:paraId="78CD2E9E" w14:textId="77777777" w:rsidR="00CB1C8C" w:rsidRDefault="00CB1C8C">
      <w:pPr>
        <w:rPr>
          <w:rFonts w:ascii="Arial" w:hAnsi="Arial" w:cs="Arial"/>
          <w:sz w:val="22"/>
          <w:szCs w:val="22"/>
        </w:rPr>
      </w:pPr>
    </w:p>
    <w:p w14:paraId="7146327C" w14:textId="51685836" w:rsidR="00CB1C8C" w:rsidRDefault="00CB1C8C">
      <w:pPr>
        <w:rPr>
          <w:rFonts w:ascii="Arial" w:hAnsi="Arial" w:cs="Arial"/>
          <w:sz w:val="22"/>
          <w:szCs w:val="22"/>
          <w:u w:val="single"/>
        </w:rPr>
      </w:pPr>
      <w:r>
        <w:rPr>
          <w:rFonts w:ascii="Arial" w:hAnsi="Arial" w:cs="Arial"/>
          <w:sz w:val="22"/>
          <w:szCs w:val="22"/>
          <w:u w:val="single"/>
        </w:rPr>
        <w:t xml:space="preserve">Abstract </w:t>
      </w:r>
    </w:p>
    <w:p w14:paraId="2C40BCCB" w14:textId="0648410B" w:rsidR="00654618" w:rsidRDefault="00654618" w:rsidP="00654618">
      <w:pPr>
        <w:spacing w:after="0" w:line="240" w:lineRule="auto"/>
        <w:rPr>
          <w:rFonts w:ascii="Times New Roman" w:eastAsia="Times New Roman" w:hAnsi="Times New Roman" w:cs="Times New Roman"/>
          <w:kern w:val="0"/>
          <w:lang w:eastAsia="en-GB"/>
          <w14:ligatures w14:val="none"/>
        </w:rPr>
      </w:pPr>
      <w:r w:rsidRPr="00654618">
        <w:rPr>
          <w:rFonts w:ascii="Times New Roman" w:eastAsia="Times New Roman" w:hAnsi="Times New Roman" w:cs="Times New Roman"/>
          <w:kern w:val="0"/>
          <w:lang w:eastAsia="en-GB"/>
          <w14:ligatures w14:val="none"/>
        </w:rPr>
        <w:t>This guideline was created to enhance end-of-life care in assisted living facilities by outlining the significance of risks within the facility and how collaboration fosters better working relationships. In order to ensure that their patients and partnership are effectively communicated, care professionals will acquire a thorough understanding of their position and the tasks that must be completed. This article will go into detail about how risks can be identified and effectively handled in the healthcare industry. When handling specific situations in an end-of-life assisted facility, a care worker must adhere to various policies, laws, and procedures.</w:t>
      </w:r>
    </w:p>
    <w:p w14:paraId="5914D12B" w14:textId="77777777" w:rsidR="00654618" w:rsidRDefault="00654618" w:rsidP="00654618">
      <w:pPr>
        <w:spacing w:after="0" w:line="240" w:lineRule="auto"/>
        <w:rPr>
          <w:rFonts w:ascii="Times New Roman" w:eastAsia="Times New Roman" w:hAnsi="Times New Roman" w:cs="Times New Roman"/>
          <w:kern w:val="0"/>
          <w:u w:val="single"/>
          <w:lang w:eastAsia="en-GB"/>
          <w14:ligatures w14:val="none"/>
        </w:rPr>
      </w:pPr>
    </w:p>
    <w:p w14:paraId="31D45EB9"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0757CED7"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6ED8DD3D"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3E4BE43B"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3559D4ED"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067D20D4"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6BC79906"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1DC240C6"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4BEEB87A" w14:textId="77777777" w:rsidR="00BF7938" w:rsidRP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0D0D36DC" w14:textId="1A286FC4" w:rsidR="00654618" w:rsidRDefault="00654618" w:rsidP="00654618">
      <w:pPr>
        <w:spacing w:after="0" w:line="240" w:lineRule="auto"/>
        <w:rPr>
          <w:rFonts w:ascii="Times New Roman" w:eastAsia="Times New Roman" w:hAnsi="Times New Roman" w:cs="Times New Roman"/>
          <w:kern w:val="0"/>
          <w:lang w:eastAsia="en-GB"/>
          <w14:ligatures w14:val="none"/>
        </w:rPr>
      </w:pPr>
      <w:r w:rsidRPr="00BF7938">
        <w:rPr>
          <w:rFonts w:ascii="Times New Roman" w:eastAsia="Times New Roman" w:hAnsi="Times New Roman" w:cs="Times New Roman"/>
          <w:kern w:val="0"/>
          <w:u w:val="single"/>
          <w:lang w:eastAsia="en-GB"/>
          <w14:ligatures w14:val="none"/>
        </w:rPr>
        <w:t xml:space="preserve">Contents </w:t>
      </w:r>
      <w:r w:rsidR="00BF7938" w:rsidRPr="00BF7938">
        <w:rPr>
          <w:rFonts w:ascii="Times New Roman" w:eastAsia="Times New Roman" w:hAnsi="Times New Roman" w:cs="Times New Roman"/>
          <w:kern w:val="0"/>
          <w:u w:val="single"/>
          <w:lang w:eastAsia="en-GB"/>
          <w14:ligatures w14:val="none"/>
        </w:rPr>
        <w:t xml:space="preserve">page </w:t>
      </w:r>
    </w:p>
    <w:p w14:paraId="3AFC8038" w14:textId="77777777" w:rsidR="00BF7938" w:rsidRDefault="00BF7938" w:rsidP="00654618">
      <w:pPr>
        <w:spacing w:after="0" w:line="240" w:lineRule="auto"/>
        <w:rPr>
          <w:rFonts w:ascii="Times New Roman" w:eastAsia="Times New Roman" w:hAnsi="Times New Roman" w:cs="Times New Roman"/>
          <w:kern w:val="0"/>
          <w:lang w:eastAsia="en-GB"/>
          <w14:ligatures w14:val="none"/>
        </w:rPr>
      </w:pPr>
    </w:p>
    <w:p w14:paraId="6E62E3A5" w14:textId="1E51E85B"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1.Introduction </w:t>
      </w:r>
    </w:p>
    <w:p w14:paraId="6A576D2E" w14:textId="2F0C094E" w:rsidR="0065461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2. Background </w:t>
      </w:r>
    </w:p>
    <w:p w14:paraId="1EDFE20F" w14:textId="6BE3DE16"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3.Issue/problem</w:t>
      </w:r>
    </w:p>
    <w:p w14:paraId="6C680D4F" w14:textId="5EB2B87F"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4. Addressing the issue/problem</w:t>
      </w:r>
    </w:p>
    <w:p w14:paraId="45E17749" w14:textId="69CBBB72"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 partnership working</w:t>
      </w:r>
    </w:p>
    <w:p w14:paraId="6827163F" w14:textId="42C13E7E"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6. principles</w:t>
      </w:r>
    </w:p>
    <w:p w14:paraId="0054C813" w14:textId="42E94248"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7. policy </w:t>
      </w:r>
    </w:p>
    <w:p w14:paraId="6FB7E9E1" w14:textId="7EC6710E"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8. Evaluation </w:t>
      </w:r>
    </w:p>
    <w:p w14:paraId="043E5C66" w14:textId="6C4E812E"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9. Conclusion </w:t>
      </w:r>
    </w:p>
    <w:p w14:paraId="1F310D13" w14:textId="47A82CB7"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10. Reference List </w:t>
      </w:r>
    </w:p>
    <w:p w14:paraId="30690F33" w14:textId="77777777" w:rsidR="00BF7938" w:rsidRDefault="00BF7938" w:rsidP="00654618">
      <w:pPr>
        <w:spacing w:after="0" w:line="240" w:lineRule="auto"/>
        <w:rPr>
          <w:rFonts w:ascii="Times New Roman" w:eastAsia="Times New Roman" w:hAnsi="Times New Roman" w:cs="Times New Roman"/>
          <w:kern w:val="0"/>
          <w:lang w:eastAsia="en-GB"/>
          <w14:ligatures w14:val="none"/>
        </w:rPr>
      </w:pPr>
    </w:p>
    <w:p w14:paraId="75853849" w14:textId="77777777" w:rsidR="00654618" w:rsidRDefault="00654618" w:rsidP="00654618">
      <w:pPr>
        <w:spacing w:after="0" w:line="240" w:lineRule="auto"/>
        <w:rPr>
          <w:rFonts w:ascii="Times New Roman" w:eastAsia="Times New Roman" w:hAnsi="Times New Roman" w:cs="Times New Roman"/>
          <w:kern w:val="0"/>
          <w:lang w:eastAsia="en-GB"/>
          <w14:ligatures w14:val="none"/>
        </w:rPr>
      </w:pPr>
    </w:p>
    <w:p w14:paraId="61124B0C" w14:textId="77777777" w:rsidR="00654618" w:rsidRPr="00654618" w:rsidRDefault="00654618" w:rsidP="00654618">
      <w:pPr>
        <w:spacing w:after="0" w:line="240" w:lineRule="auto"/>
        <w:rPr>
          <w:rFonts w:ascii="Times New Roman" w:eastAsia="Times New Roman" w:hAnsi="Times New Roman" w:cs="Times New Roman"/>
          <w:kern w:val="0"/>
          <w:lang w:eastAsia="en-GB"/>
          <w14:ligatures w14:val="none"/>
        </w:rPr>
      </w:pPr>
    </w:p>
    <w:p w14:paraId="190A7E3B" w14:textId="77777777" w:rsidR="00A05102" w:rsidRDefault="00654618" w:rsidP="00A05102">
      <w:pPr>
        <w:rPr>
          <w:rFonts w:ascii="Arial" w:hAnsi="Arial" w:cs="Arial"/>
          <w:sz w:val="22"/>
          <w:szCs w:val="22"/>
        </w:rPr>
      </w:pPr>
      <w:r w:rsidRPr="00654618">
        <w:rPr>
          <w:rFonts w:ascii="Arial" w:hAnsi="Arial" w:cs="Arial"/>
          <w:sz w:val="22"/>
          <w:szCs w:val="22"/>
          <w:u w:val="single"/>
        </w:rPr>
        <w:t xml:space="preserve">Introduction </w:t>
      </w:r>
    </w:p>
    <w:p w14:paraId="715EFF66" w14:textId="52476C17" w:rsidR="00A05102" w:rsidRPr="00A05102" w:rsidRDefault="00A05102" w:rsidP="00A05102">
      <w:pPr>
        <w:rPr>
          <w:rFonts w:ascii="Arial" w:hAnsi="Arial" w:cs="Arial"/>
          <w:sz w:val="22"/>
          <w:szCs w:val="22"/>
        </w:rPr>
      </w:pPr>
      <w:r w:rsidRPr="00A05102">
        <w:rPr>
          <w:rFonts w:ascii="Arial" w:hAnsi="Arial" w:cs="Arial"/>
          <w:sz w:val="22"/>
          <w:szCs w:val="22"/>
        </w:rPr>
        <w:br/>
        <w:t>This report relates to an end-of-life facility in Birmingham where managers have voiced concerns about residents and families not consistently receiving end-of-life care that is in line with their personal preferences. This has led to increased hospital admissions during end-of-life stages and resident and family dissatisfaction. This study provides an overview of a guidance document for social workers and health care providers regarding collaborative efforts to address particular concerns and difficulties in assisted living facilities.</w:t>
      </w:r>
    </w:p>
    <w:p w14:paraId="5AEC4C78" w14:textId="7EBF6B5B" w:rsidR="00BE259F" w:rsidRPr="00BE259F" w:rsidRDefault="00BE259F" w:rsidP="00BE259F">
      <w:pPr>
        <w:rPr>
          <w:rFonts w:ascii="Arial" w:hAnsi="Arial" w:cs="Arial"/>
          <w:sz w:val="22"/>
          <w:szCs w:val="22"/>
        </w:rPr>
      </w:pPr>
    </w:p>
    <w:p w14:paraId="366E0BD9" w14:textId="77777777" w:rsidR="00BE259F" w:rsidRDefault="00BE259F">
      <w:pPr>
        <w:rPr>
          <w:rFonts w:ascii="Arial" w:hAnsi="Arial" w:cs="Arial"/>
          <w:sz w:val="22"/>
          <w:szCs w:val="22"/>
          <w:u w:val="single"/>
        </w:rPr>
      </w:pPr>
    </w:p>
    <w:p w14:paraId="4ABEF516" w14:textId="77777777" w:rsidR="00BE259F" w:rsidRDefault="00BE259F">
      <w:pPr>
        <w:rPr>
          <w:rFonts w:ascii="Arial" w:hAnsi="Arial" w:cs="Arial"/>
          <w:sz w:val="22"/>
          <w:szCs w:val="22"/>
          <w:u w:val="single"/>
        </w:rPr>
      </w:pPr>
      <w:r>
        <w:rPr>
          <w:rFonts w:ascii="Arial" w:hAnsi="Arial" w:cs="Arial"/>
          <w:sz w:val="22"/>
          <w:szCs w:val="22"/>
          <w:u w:val="single"/>
        </w:rPr>
        <w:t xml:space="preserve">Background </w:t>
      </w:r>
    </w:p>
    <w:p w14:paraId="5B1EE622" w14:textId="2BA4617F" w:rsidR="007E6A06" w:rsidRPr="007E6A06" w:rsidRDefault="00732440" w:rsidP="007E6A06">
      <w:pPr>
        <w:rPr>
          <w:rFonts w:ascii="Arial" w:hAnsi="Arial" w:cs="Arial"/>
          <w:sz w:val="22"/>
          <w:szCs w:val="22"/>
        </w:rPr>
      </w:pPr>
      <w:r w:rsidRPr="00732440">
        <w:rPr>
          <w:rFonts w:ascii="Arial" w:hAnsi="Arial" w:cs="Arial"/>
          <w:sz w:val="22"/>
          <w:szCs w:val="22"/>
        </w:rPr>
        <w:t xml:space="preserve">With fifty-four bedrooms, Willow Grove Residential Care Home is a privately owned facility. </w:t>
      </w:r>
      <w:r w:rsidR="00C610AD">
        <w:rPr>
          <w:rFonts w:ascii="Arial" w:hAnsi="Arial" w:cs="Arial"/>
          <w:sz w:val="22"/>
          <w:szCs w:val="22"/>
        </w:rPr>
        <w:t xml:space="preserve">The </w:t>
      </w:r>
      <w:r w:rsidR="007E6A06">
        <w:rPr>
          <w:rFonts w:ascii="Arial" w:hAnsi="Arial" w:cs="Arial"/>
          <w:sz w:val="22"/>
          <w:szCs w:val="22"/>
        </w:rPr>
        <w:t>CQC</w:t>
      </w:r>
      <w:r w:rsidRPr="00732440">
        <w:rPr>
          <w:rFonts w:ascii="Arial" w:hAnsi="Arial" w:cs="Arial"/>
          <w:sz w:val="22"/>
          <w:szCs w:val="22"/>
        </w:rPr>
        <w:t xml:space="preserve"> problems that needed a thorough study report were brought to light. Willow Green Care Home offers palliative and convalescent care, nursing care, and end-of-life care.</w:t>
      </w:r>
      <w:r w:rsidR="00C610AD" w:rsidRPr="00C610AD">
        <w:rPr>
          <w:rFonts w:ascii="Times New Roman" w:eastAsia="Times New Roman" w:hAnsi="Times New Roman" w:cs="Times New Roman"/>
          <w:kern w:val="0"/>
          <w:lang w:eastAsia="en-GB"/>
          <w14:ligatures w14:val="none"/>
        </w:rPr>
        <w:t xml:space="preserve"> </w:t>
      </w:r>
      <w:r w:rsidR="00C610AD" w:rsidRPr="00C610AD">
        <w:rPr>
          <w:rFonts w:ascii="Arial" w:hAnsi="Arial" w:cs="Arial"/>
          <w:sz w:val="22"/>
          <w:szCs w:val="22"/>
        </w:rPr>
        <w:t>After conducting an inspection, the CQC identified problems and concerns and suggested ways to improve Willow Grove Care Home. (Willow Green Care Home, 2017)</w:t>
      </w:r>
      <w:r w:rsidR="007E6A06" w:rsidRPr="007E6A06">
        <w:rPr>
          <w:rFonts w:ascii="Times New Roman" w:eastAsia="Times New Roman" w:hAnsi="Times New Roman" w:cs="Times New Roman"/>
          <w:kern w:val="0"/>
          <w:lang w:eastAsia="en-GB"/>
          <w14:ligatures w14:val="none"/>
        </w:rPr>
        <w:t xml:space="preserve"> </w:t>
      </w:r>
      <w:r w:rsidR="007E6A06" w:rsidRPr="007E6A06">
        <w:rPr>
          <w:rFonts w:ascii="Arial" w:hAnsi="Arial" w:cs="Arial"/>
          <w:sz w:val="22"/>
          <w:szCs w:val="22"/>
        </w:rPr>
        <w:t>The five floors of the care facility house 100 patients, including staff members who provide personal and end-of-life care to individuals nearing the end of their lives, nurses and carers who assist adults who struggle to be in their final stages of life, adults with a few years to live on the ground floor, adults receiving nursing care on the middle floor, and cruel and end-of-life adults on the other three floors.</w:t>
      </w:r>
    </w:p>
    <w:p w14:paraId="25BFEA14" w14:textId="4B6F7B78" w:rsidR="00C610AD" w:rsidRDefault="00C610AD" w:rsidP="00C610AD">
      <w:pPr>
        <w:rPr>
          <w:rFonts w:ascii="Arial" w:hAnsi="Arial" w:cs="Arial"/>
          <w:sz w:val="22"/>
          <w:szCs w:val="22"/>
        </w:rPr>
      </w:pPr>
    </w:p>
    <w:p w14:paraId="7D38134C" w14:textId="2DFFA783" w:rsidR="007E6A06" w:rsidRDefault="007E6A06" w:rsidP="00C610AD">
      <w:pPr>
        <w:rPr>
          <w:rFonts w:ascii="Arial" w:hAnsi="Arial" w:cs="Arial"/>
          <w:sz w:val="22"/>
          <w:szCs w:val="22"/>
          <w:u w:val="single"/>
        </w:rPr>
      </w:pPr>
      <w:r w:rsidRPr="007E6A06">
        <w:rPr>
          <w:rFonts w:ascii="Arial" w:hAnsi="Arial" w:cs="Arial"/>
          <w:sz w:val="22"/>
          <w:szCs w:val="22"/>
          <w:u w:val="single"/>
        </w:rPr>
        <w:t>Issue/problem of willow green care home</w:t>
      </w:r>
    </w:p>
    <w:p w14:paraId="1355B966" w14:textId="1CF864AA" w:rsidR="003826B0" w:rsidRPr="003826B0" w:rsidRDefault="003826B0" w:rsidP="003826B0">
      <w:pPr>
        <w:rPr>
          <w:rFonts w:ascii="Arial" w:hAnsi="Arial" w:cs="Arial"/>
          <w:sz w:val="22"/>
          <w:szCs w:val="22"/>
        </w:rPr>
      </w:pPr>
      <w:r w:rsidRPr="003826B0">
        <w:rPr>
          <w:rFonts w:ascii="Arial" w:hAnsi="Arial" w:cs="Arial"/>
          <w:sz w:val="22"/>
          <w:szCs w:val="22"/>
        </w:rPr>
        <w:t>Residents and families at Willow Grove Care Home are unhappy because they do not always receive end-of-life care that is in line with their personal wishes.</w:t>
      </w:r>
      <w:r w:rsidRPr="003826B0">
        <w:rPr>
          <w:rFonts w:ascii="Times New Roman" w:eastAsia="Times New Roman" w:hAnsi="Times New Roman" w:cs="Times New Roman"/>
          <w:kern w:val="0"/>
          <w:lang w:eastAsia="en-GB"/>
          <w14:ligatures w14:val="none"/>
        </w:rPr>
        <w:t xml:space="preserve"> </w:t>
      </w:r>
      <w:r w:rsidRPr="003826B0">
        <w:rPr>
          <w:rFonts w:ascii="Arial" w:hAnsi="Arial" w:cs="Arial"/>
          <w:sz w:val="22"/>
          <w:szCs w:val="22"/>
        </w:rPr>
        <w:t>Families of patients are encouraged to take on more responsibility during these trying times by taking care of their members' personal and medical needs. Friends and family can help the patient by organising the paperwork, discussing the patient's alternatives for the future, including healthcare and legal guidance if needed.</w:t>
      </w:r>
    </w:p>
    <w:p w14:paraId="5846462D" w14:textId="5AB6416A" w:rsidR="003826B0" w:rsidRPr="003826B0" w:rsidRDefault="003826B0" w:rsidP="003826B0">
      <w:pPr>
        <w:rPr>
          <w:rFonts w:ascii="Arial" w:hAnsi="Arial" w:cs="Arial"/>
          <w:sz w:val="22"/>
          <w:szCs w:val="22"/>
        </w:rPr>
      </w:pPr>
    </w:p>
    <w:p w14:paraId="2EFFB853" w14:textId="77777777" w:rsidR="007E6A06" w:rsidRDefault="007E6A06" w:rsidP="00C610AD">
      <w:pPr>
        <w:rPr>
          <w:rFonts w:ascii="Arial" w:hAnsi="Arial" w:cs="Arial"/>
          <w:sz w:val="22"/>
          <w:szCs w:val="22"/>
          <w:u w:val="single"/>
        </w:rPr>
      </w:pPr>
    </w:p>
    <w:p w14:paraId="044772D1" w14:textId="440C808F" w:rsidR="003826B0" w:rsidRDefault="004D1FB9" w:rsidP="00C610AD">
      <w:pPr>
        <w:rPr>
          <w:rFonts w:ascii="Arial" w:hAnsi="Arial" w:cs="Arial"/>
          <w:sz w:val="22"/>
          <w:szCs w:val="22"/>
          <w:u w:val="single"/>
        </w:rPr>
      </w:pPr>
      <w:r>
        <w:rPr>
          <w:rFonts w:ascii="Arial" w:hAnsi="Arial" w:cs="Arial"/>
          <w:sz w:val="22"/>
          <w:szCs w:val="22"/>
          <w:u w:val="single"/>
        </w:rPr>
        <w:t xml:space="preserve">Addressing the issue/problem </w:t>
      </w:r>
    </w:p>
    <w:p w14:paraId="356E5284" w14:textId="62701847" w:rsidR="005E6C49" w:rsidRPr="005E6C49" w:rsidRDefault="00191F5A" w:rsidP="005E6C49">
      <w:pPr>
        <w:spacing w:after="0" w:line="240" w:lineRule="auto"/>
        <w:rPr>
          <w:rFonts w:ascii="Times New Roman" w:eastAsia="Times New Roman" w:hAnsi="Times New Roman" w:cs="Times New Roman"/>
          <w:kern w:val="0"/>
          <w:lang w:eastAsia="en-GB"/>
          <w14:ligatures w14:val="none"/>
        </w:rPr>
      </w:pPr>
      <w:r w:rsidRPr="00191F5A">
        <w:rPr>
          <w:rFonts w:ascii="Times New Roman" w:eastAsia="Times New Roman" w:hAnsi="Times New Roman" w:cs="Times New Roman"/>
          <w:kern w:val="0"/>
          <w:lang w:eastAsia="en-GB"/>
          <w14:ligatures w14:val="none"/>
        </w:rPr>
        <w:t xml:space="preserve">Palliative care specialists arrange meetings for families to discuss the patient's values, learn about their preferences for treatment, and discuss the stress the family is going through during this trying time. Palliative care personnel provide mourning support to families during this trying time in addition to helping patients in their homes, hospitals, and assisted living facilities, including both inpatient and outpatient settings. According to Kirby, E. (2014), when a patient is sent to specialised palliative care </w:t>
      </w:r>
      <w:r w:rsidR="00BF7938" w:rsidRPr="00191F5A">
        <w:rPr>
          <w:rFonts w:ascii="Times New Roman" w:eastAsia="Times New Roman" w:hAnsi="Times New Roman" w:cs="Times New Roman"/>
          <w:kern w:val="0"/>
          <w:lang w:eastAsia="en-GB"/>
          <w14:ligatures w14:val="none"/>
        </w:rPr>
        <w:t>the</w:t>
      </w:r>
      <w:r w:rsidRPr="00191F5A">
        <w:rPr>
          <w:rFonts w:ascii="Times New Roman" w:eastAsia="Times New Roman" w:hAnsi="Times New Roman" w:cs="Times New Roman"/>
          <w:kern w:val="0"/>
          <w:lang w:eastAsia="en-GB"/>
          <w14:ligatures w14:val="none"/>
        </w:rPr>
        <w:t xml:space="preserve"> theory that should be adhered to and applied to future palliative care practices is Maslow's hierarchy of needs.</w:t>
      </w:r>
      <w:r>
        <w:rPr>
          <w:rFonts w:ascii="Times New Roman" w:eastAsia="Times New Roman" w:hAnsi="Times New Roman" w:cs="Times New Roman"/>
          <w:kern w:val="0"/>
          <w:lang w:eastAsia="en-GB"/>
          <w14:ligatures w14:val="none"/>
        </w:rPr>
        <w:t xml:space="preserve"> </w:t>
      </w:r>
      <w:r w:rsidR="004A1F61" w:rsidRPr="004A1F61">
        <w:rPr>
          <w:rFonts w:ascii="Times New Roman" w:eastAsia="Times New Roman" w:hAnsi="Times New Roman" w:cs="Times New Roman"/>
          <w:kern w:val="0"/>
          <w:lang w:eastAsia="en-GB"/>
          <w14:ligatures w14:val="none"/>
        </w:rPr>
        <w:t>In order to assist patients during this difficult period of end-of-life care, a modified version of Maslow's hierarchy of needs could be employed in palliative care for cardiovacular illnesses.</w:t>
      </w:r>
      <w:r w:rsidR="005E6C49" w:rsidRPr="005E6C49">
        <w:rPr>
          <w:rFonts w:ascii="Times New Roman" w:eastAsia="Times New Roman" w:hAnsi="Times New Roman" w:cs="Times New Roman"/>
          <w:kern w:val="0"/>
          <w:lang w:eastAsia="en-GB"/>
          <w14:ligatures w14:val="none"/>
        </w:rPr>
        <w:t xml:space="preserve"> </w:t>
      </w:r>
      <w:r w:rsidR="005E6C49" w:rsidRPr="005E6C49">
        <w:rPr>
          <w:rFonts w:ascii="Times New Roman" w:eastAsia="Times New Roman" w:hAnsi="Times New Roman" w:cs="Times New Roman"/>
          <w:kern w:val="0"/>
          <w:lang w:eastAsia="en-GB"/>
          <w14:ligatures w14:val="none"/>
        </w:rPr>
        <w:t>cooperative efforts between community matrons and palliative care nurse experts for individuals without cancer diagnoses. paths to clarify decision- making in end-of-life care were designed as part of the research and were subsequently developed into a handbook for use for health and social care providers caring for any patient,irrespective of illness. By highlighting important issues that must be addressed and the proper answers, the handbook aims to support best practices in end-of-life care.</w:t>
      </w:r>
    </w:p>
    <w:p w14:paraId="5D78C509" w14:textId="64606E30" w:rsidR="004A1F61" w:rsidRPr="004A1F61" w:rsidRDefault="004A1F61" w:rsidP="004A1F61">
      <w:pPr>
        <w:spacing w:after="0" w:line="240" w:lineRule="auto"/>
        <w:rPr>
          <w:rFonts w:ascii="Times New Roman" w:eastAsia="Times New Roman" w:hAnsi="Times New Roman" w:cs="Times New Roman"/>
          <w:kern w:val="0"/>
          <w:lang w:eastAsia="en-GB"/>
          <w14:ligatures w14:val="none"/>
        </w:rPr>
      </w:pPr>
    </w:p>
    <w:p w14:paraId="1FEA2D7C" w14:textId="7D2BD2A4" w:rsidR="00191F5A" w:rsidRPr="00191F5A" w:rsidRDefault="00191F5A" w:rsidP="00191F5A">
      <w:pPr>
        <w:spacing w:after="0" w:line="240" w:lineRule="auto"/>
        <w:rPr>
          <w:rFonts w:ascii="Times New Roman" w:eastAsia="Times New Roman" w:hAnsi="Times New Roman" w:cs="Times New Roman"/>
          <w:kern w:val="0"/>
          <w:lang w:eastAsia="en-GB"/>
          <w14:ligatures w14:val="none"/>
        </w:rPr>
      </w:pPr>
    </w:p>
    <w:p w14:paraId="37ACC8B5" w14:textId="79A07CAC" w:rsidR="003826B0" w:rsidRPr="003826B0" w:rsidRDefault="003826B0" w:rsidP="00C610AD">
      <w:pPr>
        <w:rPr>
          <w:rFonts w:ascii="Arial" w:hAnsi="Arial" w:cs="Arial"/>
          <w:sz w:val="22"/>
          <w:szCs w:val="22"/>
        </w:rPr>
      </w:pPr>
    </w:p>
    <w:p w14:paraId="5FFC1FCA" w14:textId="77777777" w:rsidR="003826B0" w:rsidRDefault="003826B0" w:rsidP="00631916">
      <w:pPr>
        <w:rPr>
          <w:rFonts w:ascii="Arial" w:hAnsi="Arial" w:cs="Arial"/>
          <w:sz w:val="22"/>
          <w:szCs w:val="22"/>
        </w:rPr>
      </w:pPr>
    </w:p>
    <w:p w14:paraId="4B8CB35A" w14:textId="0ADD1F08" w:rsidR="00631916" w:rsidRDefault="00631916" w:rsidP="00631916">
      <w:pPr>
        <w:rPr>
          <w:rFonts w:ascii="Arial" w:hAnsi="Arial" w:cs="Arial"/>
          <w:sz w:val="22"/>
          <w:szCs w:val="22"/>
        </w:rPr>
      </w:pPr>
      <w:r>
        <w:rPr>
          <w:rFonts w:ascii="Arial" w:hAnsi="Arial" w:cs="Arial"/>
          <w:sz w:val="22"/>
          <w:szCs w:val="22"/>
        </w:rPr>
        <w:t xml:space="preserve">Stage 1. </w:t>
      </w:r>
      <w:r w:rsidRPr="00BF7938">
        <w:rPr>
          <w:rFonts w:ascii="Arial" w:hAnsi="Arial" w:cs="Arial"/>
          <w:sz w:val="22"/>
          <w:szCs w:val="22"/>
          <w:u w:val="single"/>
        </w:rPr>
        <w:t xml:space="preserve">Communication </w:t>
      </w:r>
      <w:r w:rsidR="00721417" w:rsidRPr="00BF7938">
        <w:rPr>
          <w:rFonts w:ascii="Arial" w:hAnsi="Arial" w:cs="Arial"/>
          <w:sz w:val="22"/>
          <w:szCs w:val="22"/>
          <w:u w:val="single"/>
        </w:rPr>
        <w:t>in palliative care</w:t>
      </w:r>
    </w:p>
    <w:p w14:paraId="6DF5D444" w14:textId="77777777" w:rsidR="003826B0" w:rsidRDefault="00721417" w:rsidP="00721417">
      <w:pPr>
        <w:spacing w:after="0" w:line="240" w:lineRule="auto"/>
        <w:rPr>
          <w:rFonts w:ascii="Times New Roman" w:eastAsia="Times New Roman" w:hAnsi="Times New Roman" w:cs="Times New Roman"/>
          <w:kern w:val="0"/>
          <w:lang w:eastAsia="en-GB"/>
          <w14:ligatures w14:val="none"/>
        </w:rPr>
      </w:pPr>
      <w:r w:rsidRPr="00721417">
        <w:rPr>
          <w:rFonts w:ascii="Times New Roman" w:eastAsia="Times New Roman" w:hAnsi="Times New Roman" w:cs="Times New Roman"/>
          <w:kern w:val="0"/>
          <w:lang w:eastAsia="en-GB"/>
          <w14:ligatures w14:val="none"/>
        </w:rPr>
        <w:t xml:space="preserve">The advantages of having early conversations about end-of-life care with patients and their families who have a life-threatening illness are becoming more and more clear. According to </w:t>
      </w:r>
    </w:p>
    <w:p w14:paraId="588A3822" w14:textId="1ADB6672" w:rsidR="00721417" w:rsidRDefault="00721417" w:rsidP="00721417">
      <w:pPr>
        <w:spacing w:after="0" w:line="240" w:lineRule="auto"/>
        <w:rPr>
          <w:rFonts w:ascii="Times New Roman" w:eastAsia="Times New Roman" w:hAnsi="Times New Roman" w:cs="Times New Roman"/>
          <w:kern w:val="0"/>
          <w:lang w:eastAsia="en-GB"/>
          <w14:ligatures w14:val="none"/>
        </w:rPr>
      </w:pPr>
      <w:r w:rsidRPr="00721417">
        <w:rPr>
          <w:rFonts w:ascii="Times New Roman" w:eastAsia="Times New Roman" w:hAnsi="Times New Roman" w:cs="Times New Roman"/>
          <w:kern w:val="0"/>
          <w:lang w:eastAsia="en-GB"/>
          <w14:ligatures w14:val="none"/>
        </w:rPr>
        <w:t>Brighton (2016), Future research directions, possible improvement strategies, and the need of fundamental clinical communication skills are also covered. Clinicians must give patients with life-threatening illnesses and their loved ones the chance to talk about end-of-life matters in accordance with their knowledge and preferences for making decisions.</w:t>
      </w:r>
    </w:p>
    <w:p w14:paraId="42321713" w14:textId="77777777" w:rsidR="00721417" w:rsidRDefault="00721417" w:rsidP="00721417">
      <w:pPr>
        <w:spacing w:after="0" w:line="240" w:lineRule="auto"/>
        <w:rPr>
          <w:rFonts w:ascii="Times New Roman" w:eastAsia="Times New Roman" w:hAnsi="Times New Roman" w:cs="Times New Roman"/>
          <w:kern w:val="0"/>
          <w:lang w:eastAsia="en-GB"/>
          <w14:ligatures w14:val="none"/>
        </w:rPr>
      </w:pPr>
    </w:p>
    <w:p w14:paraId="6252DB4A" w14:textId="43643829" w:rsidR="00721417" w:rsidRPr="00721417" w:rsidRDefault="00721417" w:rsidP="00721417">
      <w:pPr>
        <w:spacing w:after="0" w:line="240" w:lineRule="auto"/>
        <w:rPr>
          <w:rFonts w:ascii="Times New Roman" w:eastAsia="Times New Roman" w:hAnsi="Times New Roman" w:cs="Times New Roman"/>
          <w:kern w:val="0"/>
          <w:u w:val="single"/>
          <w:lang w:eastAsia="en-GB"/>
          <w14:ligatures w14:val="none"/>
        </w:rPr>
      </w:pPr>
      <w:r w:rsidRPr="00BF7938">
        <w:rPr>
          <w:rFonts w:ascii="Times New Roman" w:eastAsia="Times New Roman" w:hAnsi="Times New Roman" w:cs="Times New Roman"/>
          <w:kern w:val="0"/>
          <w:u w:val="single"/>
          <w:lang w:eastAsia="en-GB"/>
          <w14:ligatures w14:val="none"/>
        </w:rPr>
        <w:t xml:space="preserve">Stage 2. </w:t>
      </w:r>
    </w:p>
    <w:p w14:paraId="6B83539C" w14:textId="3A00DAC7" w:rsidR="00220F00" w:rsidRPr="00220F00" w:rsidRDefault="00F848AA" w:rsidP="00220F00">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w:t>
      </w:r>
      <w:r w:rsidR="00220F00" w:rsidRPr="00220F00">
        <w:rPr>
          <w:rFonts w:ascii="Times New Roman" w:eastAsia="Times New Roman" w:hAnsi="Times New Roman" w:cs="Times New Roman"/>
          <w:kern w:val="0"/>
          <w:lang w:eastAsia="en-GB"/>
          <w14:ligatures w14:val="none"/>
        </w:rPr>
        <w:t xml:space="preserve">dentifying protective and risk factors. </w:t>
      </w:r>
      <w:r w:rsidR="00220F00" w:rsidRPr="00220F00">
        <w:rPr>
          <w:rFonts w:ascii="Times New Roman" w:eastAsia="Times New Roman" w:hAnsi="Times New Roman" w:cs="Times New Roman"/>
          <w:kern w:val="0"/>
          <w:lang w:eastAsia="en-GB"/>
          <w14:ligatures w14:val="none"/>
        </w:rPr>
        <w:br/>
        <w:t xml:space="preserve">Workers in the healthcare industry should assist people in identifying risks that are either advantageous or detrimental so they can live their lives on their own. We should not prevent patients from completing their jobs and allow them to make their own decisions. According to Mason, T. (2020), risk variables included a family's inability to accept death, reduced </w:t>
      </w:r>
      <w:r w:rsidR="00220F00" w:rsidRPr="00220F00">
        <w:rPr>
          <w:rFonts w:ascii="Times New Roman" w:eastAsia="Times New Roman" w:hAnsi="Times New Roman" w:cs="Times New Roman"/>
          <w:kern w:val="0"/>
          <w:lang w:eastAsia="en-GB"/>
          <w14:ligatures w14:val="none"/>
        </w:rPr>
        <w:lastRenderedPageBreak/>
        <w:t>perceived social support, and conflict at the end of life. Hospice use in lowering fear of death, strong pre-bereavement spirituality, and satisfaction with palliative care were protective variables.</w:t>
      </w:r>
    </w:p>
    <w:p w14:paraId="08BAC166" w14:textId="77777777" w:rsidR="00721417" w:rsidRDefault="00721417" w:rsidP="00631916">
      <w:pPr>
        <w:rPr>
          <w:rFonts w:ascii="Arial" w:hAnsi="Arial" w:cs="Arial"/>
          <w:sz w:val="22"/>
          <w:szCs w:val="22"/>
        </w:rPr>
      </w:pPr>
    </w:p>
    <w:p w14:paraId="7B128CD8" w14:textId="18AFC233" w:rsidR="00220F00" w:rsidRDefault="00220F00" w:rsidP="00220F00">
      <w:pPr>
        <w:rPr>
          <w:rFonts w:ascii="Times New Roman" w:eastAsia="Times New Roman" w:hAnsi="Times New Roman" w:cs="Times New Roman"/>
          <w:kern w:val="0"/>
          <w:lang w:eastAsia="en-GB"/>
          <w14:ligatures w14:val="none"/>
        </w:rPr>
      </w:pPr>
      <w:r w:rsidRPr="00BF7938">
        <w:rPr>
          <w:rFonts w:ascii="Arial" w:hAnsi="Arial" w:cs="Arial"/>
          <w:sz w:val="22"/>
          <w:szCs w:val="22"/>
          <w:u w:val="single"/>
        </w:rPr>
        <w:t>Stage 3-</w:t>
      </w:r>
      <w:r w:rsidRPr="00220F00">
        <w:rPr>
          <w:rFonts w:ascii="Arial" w:hAnsi="Arial" w:cs="Arial"/>
          <w:sz w:val="22"/>
          <w:szCs w:val="22"/>
        </w:rPr>
        <w:t xml:space="preserve"> </w:t>
      </w:r>
      <w:r w:rsidRPr="00220F00">
        <w:rPr>
          <w:rFonts w:ascii="Arial" w:eastAsia="Times New Roman" w:hAnsi="Arial" w:cs="Arial"/>
          <w:kern w:val="0"/>
          <w:sz w:val="22"/>
          <w:szCs w:val="22"/>
          <w:lang w:eastAsia="en-GB"/>
          <w14:ligatures w14:val="none"/>
        </w:rPr>
        <w:t>Transitions in care were significantly impacted by evaluating the impact and likelihood of risk management. Different viewpoints were held by patients and medical personnel regarding the management of such dangers. Patients in care facilities used support strategies to deal with frequently worsening health and social issues while tolerating rising danger. According to Coombs, M. (2017), patients should have the freedom to choose how to deal with risk as they near death, even though risk management is crucial during care transitions</w:t>
      </w:r>
      <w:r w:rsidRPr="00220F00">
        <w:rPr>
          <w:rFonts w:ascii="Times New Roman" w:eastAsia="Times New Roman" w:hAnsi="Times New Roman" w:cs="Times New Roman"/>
          <w:kern w:val="0"/>
          <w:lang w:eastAsia="en-GB"/>
          <w14:ligatures w14:val="none"/>
        </w:rPr>
        <w:t>.</w:t>
      </w:r>
    </w:p>
    <w:p w14:paraId="79D6A3B1" w14:textId="77777777" w:rsidR="008F3046" w:rsidRDefault="008F3046" w:rsidP="00220F00">
      <w:pPr>
        <w:rPr>
          <w:rFonts w:ascii="Times New Roman" w:eastAsia="Times New Roman" w:hAnsi="Times New Roman" w:cs="Times New Roman"/>
          <w:kern w:val="0"/>
          <w:lang w:eastAsia="en-GB"/>
          <w14:ligatures w14:val="none"/>
        </w:rPr>
      </w:pPr>
    </w:p>
    <w:p w14:paraId="5A0D72C6" w14:textId="273E8C71" w:rsidR="00220F00" w:rsidRPr="008F3046" w:rsidRDefault="008F3046" w:rsidP="00220F00">
      <w:pPr>
        <w:rPr>
          <w:rFonts w:ascii="Arial" w:eastAsia="Times New Roman" w:hAnsi="Arial" w:cs="Arial"/>
          <w:kern w:val="0"/>
          <w:sz w:val="22"/>
          <w:szCs w:val="22"/>
          <w:u w:val="single"/>
          <w:lang w:eastAsia="en-GB"/>
          <w14:ligatures w14:val="none"/>
        </w:rPr>
      </w:pPr>
      <w:r w:rsidRPr="008F3046">
        <w:rPr>
          <w:rFonts w:ascii="Arial" w:eastAsia="Times New Roman" w:hAnsi="Arial" w:cs="Arial"/>
          <w:kern w:val="0"/>
          <w:sz w:val="22"/>
          <w:szCs w:val="22"/>
          <w:u w:val="single"/>
          <w:lang w:eastAsia="en-GB"/>
          <w14:ligatures w14:val="none"/>
        </w:rPr>
        <w:t xml:space="preserve">Partnership working </w:t>
      </w:r>
    </w:p>
    <w:p w14:paraId="5DE5BEFC" w14:textId="77777777" w:rsidR="008F3046" w:rsidRPr="008F3046" w:rsidRDefault="008F3046" w:rsidP="008F3046">
      <w:pPr>
        <w:spacing w:after="0" w:line="240" w:lineRule="auto"/>
        <w:rPr>
          <w:rFonts w:ascii="Times New Roman" w:eastAsia="Times New Roman" w:hAnsi="Times New Roman" w:cs="Times New Roman"/>
          <w:kern w:val="0"/>
          <w:lang w:eastAsia="en-GB"/>
          <w14:ligatures w14:val="none"/>
        </w:rPr>
      </w:pPr>
      <w:r w:rsidRPr="008F3046">
        <w:rPr>
          <w:rFonts w:ascii="Times New Roman" w:eastAsia="Times New Roman" w:hAnsi="Times New Roman" w:cs="Times New Roman"/>
          <w:kern w:val="0"/>
          <w:lang w:eastAsia="en-GB"/>
          <w14:ligatures w14:val="none"/>
        </w:rPr>
        <w:t>In the UK, health and social care organisations are being requested to collaborate across long-standing agency lines more frequently, and many practices are finding it extremely challenging to do so. Completely grounded in study and evidence, yet nevertheless relevant to daily practice.</w:t>
      </w:r>
    </w:p>
    <w:p w14:paraId="56EE6E24" w14:textId="77777777" w:rsidR="001E54CE" w:rsidRPr="001E54CE" w:rsidRDefault="001E54CE" w:rsidP="001E54CE">
      <w:pPr>
        <w:spacing w:after="0" w:line="240" w:lineRule="auto"/>
        <w:rPr>
          <w:rFonts w:ascii="Times New Roman" w:eastAsia="Times New Roman" w:hAnsi="Times New Roman" w:cs="Times New Roman"/>
          <w:kern w:val="0"/>
          <w:lang w:eastAsia="en-GB"/>
          <w14:ligatures w14:val="none"/>
        </w:rPr>
      </w:pPr>
      <w:r w:rsidRPr="001E54CE">
        <w:rPr>
          <w:rFonts w:ascii="Times New Roman" w:eastAsia="Times New Roman" w:hAnsi="Times New Roman" w:cs="Times New Roman"/>
          <w:kern w:val="0"/>
          <w:lang w:eastAsia="en-GB"/>
          <w14:ligatures w14:val="none"/>
        </w:rPr>
        <w:t>The Health and Social Care Act of 2012, according to Dickiaon, H. (2014), summarises current policy and research in health and social care organisations and lays out practical frameworks and approaches using reflective exercises and boxed examples to help people working in these crucial fields collaborate more successfully.</w:t>
      </w:r>
    </w:p>
    <w:p w14:paraId="4D79E66E" w14:textId="271921BD" w:rsidR="008F3046" w:rsidRPr="00220F00" w:rsidRDefault="008F3046" w:rsidP="00220F00">
      <w:pPr>
        <w:rPr>
          <w:rFonts w:ascii="Times New Roman" w:eastAsia="Times New Roman" w:hAnsi="Times New Roman" w:cs="Times New Roman"/>
          <w:kern w:val="0"/>
          <w:lang w:eastAsia="en-GB"/>
          <w14:ligatures w14:val="none"/>
        </w:rPr>
      </w:pPr>
    </w:p>
    <w:p w14:paraId="2586639F" w14:textId="77777777" w:rsidR="001E54CE" w:rsidRPr="001E54CE" w:rsidRDefault="001E54CE" w:rsidP="001E54CE">
      <w:pPr>
        <w:spacing w:after="0" w:line="240" w:lineRule="auto"/>
        <w:rPr>
          <w:rFonts w:ascii="Times New Roman" w:eastAsia="Times New Roman" w:hAnsi="Times New Roman" w:cs="Times New Roman"/>
          <w:kern w:val="0"/>
          <w:lang w:eastAsia="en-GB"/>
          <w14:ligatures w14:val="none"/>
        </w:rPr>
      </w:pPr>
      <w:r w:rsidRPr="001E54CE">
        <w:rPr>
          <w:rFonts w:ascii="Times New Roman" w:eastAsia="Times New Roman" w:hAnsi="Times New Roman" w:cs="Times New Roman"/>
          <w:kern w:val="0"/>
          <w:lang w:eastAsia="en-GB"/>
          <w14:ligatures w14:val="none"/>
        </w:rPr>
        <w:t>The partnership agenda is justified more than many other policy areas by the goal of improving patient and service user outcomes. Aspirations, for example, can occasionally be harmful. According to Glasby, J. (2017), this is true in everyday health and social care settings, but it can be even more so when there are numerous agencies and intricate, cross-cutting issues at play. a more comprehensive illustration of what can occur in severe situations when agencies and professions fail to collaborate effectively. The example touches on topics related to prevention in addition to highlighting the necessity of teamwork.</w:t>
      </w:r>
    </w:p>
    <w:p w14:paraId="0AEE4949" w14:textId="11B246F6" w:rsidR="00220F00" w:rsidRPr="00631916" w:rsidRDefault="00220F00" w:rsidP="00631916">
      <w:pPr>
        <w:rPr>
          <w:rFonts w:ascii="Arial" w:hAnsi="Arial" w:cs="Arial"/>
          <w:sz w:val="22"/>
          <w:szCs w:val="22"/>
        </w:rPr>
      </w:pPr>
    </w:p>
    <w:p w14:paraId="0A0BC82A" w14:textId="77777777" w:rsidR="000208B7" w:rsidRPr="000208B7" w:rsidRDefault="000208B7" w:rsidP="000208B7">
      <w:pPr>
        <w:spacing w:after="0" w:line="240" w:lineRule="auto"/>
        <w:rPr>
          <w:rFonts w:ascii="Times New Roman" w:eastAsia="Times New Roman" w:hAnsi="Times New Roman" w:cs="Times New Roman"/>
          <w:kern w:val="0"/>
          <w:lang w:eastAsia="en-GB"/>
          <w14:ligatures w14:val="none"/>
        </w:rPr>
      </w:pPr>
      <w:r w:rsidRPr="000208B7">
        <w:rPr>
          <w:rFonts w:ascii="Times New Roman" w:eastAsia="Times New Roman" w:hAnsi="Times New Roman" w:cs="Times New Roman"/>
          <w:kern w:val="0"/>
          <w:lang w:eastAsia="en-GB"/>
          <w14:ligatures w14:val="none"/>
        </w:rPr>
        <w:t>Good quality services are all too frequently sacrificed for meaningless disputes about boundaries when people have complicated requirements that span both health and social care. When this occurs, people—often the most vulnerable members of our society—as well as those who look after them find themselves caught between social services and health care. People don't need or want this. It prioritises the organization's requirements over those of the individuals it serves. It is unsatisfactory because of the bad organisation, bad practices, and bad use of government funds.</w:t>
      </w:r>
    </w:p>
    <w:p w14:paraId="3C6734DA" w14:textId="77777777" w:rsidR="004D1FB9" w:rsidRDefault="004D1FB9" w:rsidP="00C610AD">
      <w:pPr>
        <w:rPr>
          <w:rFonts w:ascii="Arial" w:hAnsi="Arial" w:cs="Arial"/>
          <w:sz w:val="22"/>
          <w:szCs w:val="22"/>
        </w:rPr>
      </w:pPr>
    </w:p>
    <w:p w14:paraId="0A541AFD" w14:textId="761BA50E" w:rsidR="000208B7" w:rsidRPr="000208B7" w:rsidRDefault="000208B7" w:rsidP="00C610AD">
      <w:pPr>
        <w:rPr>
          <w:rFonts w:ascii="Arial" w:hAnsi="Arial" w:cs="Arial"/>
          <w:sz w:val="22"/>
          <w:szCs w:val="22"/>
          <w:u w:val="single"/>
        </w:rPr>
      </w:pPr>
      <w:r w:rsidRPr="000208B7">
        <w:rPr>
          <w:rFonts w:ascii="Arial" w:hAnsi="Arial" w:cs="Arial"/>
          <w:sz w:val="22"/>
          <w:szCs w:val="22"/>
          <w:u w:val="single"/>
        </w:rPr>
        <w:t xml:space="preserve">Principles </w:t>
      </w:r>
    </w:p>
    <w:p w14:paraId="0F1663C8" w14:textId="4A94E9A5" w:rsidR="00A41835" w:rsidRPr="00A41835" w:rsidRDefault="00A41835" w:rsidP="00A41835">
      <w:pPr>
        <w:spacing w:after="0" w:line="240" w:lineRule="auto"/>
        <w:rPr>
          <w:rFonts w:ascii="Arial" w:eastAsia="Times New Roman" w:hAnsi="Arial" w:cs="Arial"/>
          <w:kern w:val="0"/>
          <w:sz w:val="22"/>
          <w:szCs w:val="22"/>
          <w:lang w:eastAsia="en-GB"/>
          <w14:ligatures w14:val="none"/>
        </w:rPr>
      </w:pPr>
      <w:r w:rsidRPr="00A41835">
        <w:rPr>
          <w:rFonts w:ascii="Arial" w:eastAsia="Times New Roman" w:hAnsi="Arial" w:cs="Arial"/>
          <w:kern w:val="0"/>
          <w:sz w:val="22"/>
          <w:szCs w:val="22"/>
          <w:lang w:eastAsia="en-GB"/>
          <w14:ligatures w14:val="none"/>
        </w:rPr>
        <w:t>Indigenous rights and interests in indigenous data (including traditional knowledge) are safeguarded by the first care principles.</w:t>
      </w:r>
      <w:r w:rsidRPr="00A41835">
        <w:rPr>
          <w:rFonts w:ascii="Arial" w:eastAsia="Times New Roman" w:hAnsi="Arial" w:cs="Arial"/>
          <w:kern w:val="0"/>
          <w:sz w:val="22"/>
          <w:szCs w:val="22"/>
          <w:lang w:eastAsia="en-GB"/>
          <w14:ligatures w14:val="none"/>
        </w:rPr>
        <w:br/>
        <w:t xml:space="preserve">2. endorsing big data initiatives, open data, and extensive data exchange. The "Care principles for indigenous data governance" (Collective Benefit, Authority to control, Responsibility, and Ethics) were developed by the international data sovereignty interest group (within the Research Data Alliance), a network of nation-state-based indigenous data </w:t>
      </w:r>
      <w:r w:rsidRPr="00A41835">
        <w:rPr>
          <w:rFonts w:ascii="Arial" w:eastAsia="Times New Roman" w:hAnsi="Arial" w:cs="Arial"/>
          <w:kern w:val="0"/>
          <w:sz w:val="22"/>
          <w:szCs w:val="22"/>
          <w:lang w:eastAsia="en-GB"/>
          <w14:ligatures w14:val="none"/>
        </w:rPr>
        <w:lastRenderedPageBreak/>
        <w:t>networks and individuals, in consultation with governments, non-profits, and indigenous peoples. According to Carroll, S. (2020), The caring principles are people- and purpose-oriented, emphasising the critical role that data plays in promoting indigenous peoples' self-determination, innovation, and governance.</w:t>
      </w:r>
    </w:p>
    <w:p w14:paraId="22DD5378" w14:textId="5D735582" w:rsidR="00A41835" w:rsidRDefault="00A41835" w:rsidP="00A41835">
      <w:pPr>
        <w:rPr>
          <w:rFonts w:ascii="Arial" w:hAnsi="Arial" w:cs="Arial"/>
          <w:sz w:val="22"/>
          <w:szCs w:val="22"/>
        </w:rPr>
      </w:pPr>
      <w:r w:rsidRPr="00A41835">
        <w:rPr>
          <w:rFonts w:ascii="Arial" w:hAnsi="Arial" w:cs="Arial"/>
          <w:sz w:val="22"/>
          <w:szCs w:val="22"/>
        </w:rPr>
        <w:t xml:space="preserve">The fair guiding principles for scientific data management serve as a supplement to the current data-centric strategy. </w:t>
      </w:r>
    </w:p>
    <w:p w14:paraId="41C431DE" w14:textId="0170A57F" w:rsidR="00F01A0B" w:rsidRPr="00F01A0B" w:rsidRDefault="00F01A0B" w:rsidP="00F01A0B">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Communication- </w:t>
      </w:r>
      <w:r w:rsidRPr="00F01A0B">
        <w:rPr>
          <w:rFonts w:ascii="Arial" w:eastAsia="Times New Roman" w:hAnsi="Arial" w:cs="Arial"/>
          <w:kern w:val="0"/>
          <w:sz w:val="22"/>
          <w:szCs w:val="22"/>
          <w:lang w:eastAsia="en-GB"/>
          <w14:ligatures w14:val="none"/>
        </w:rPr>
        <w:t>Speak and listen in a way that makes it easy for you to convey and receive the message if you want the patient to comprehend you.</w:t>
      </w:r>
    </w:p>
    <w:p w14:paraId="65A442F9" w14:textId="6A62B256" w:rsidR="00F66A21" w:rsidRDefault="00F01A0B" w:rsidP="00F66A21">
      <w:pPr>
        <w:rPr>
          <w:rFonts w:ascii="Arial" w:hAnsi="Arial" w:cs="Arial"/>
          <w:sz w:val="22"/>
          <w:szCs w:val="22"/>
        </w:rPr>
      </w:pPr>
      <w:r>
        <w:rPr>
          <w:rFonts w:ascii="Arial" w:hAnsi="Arial" w:cs="Arial"/>
          <w:sz w:val="22"/>
          <w:szCs w:val="22"/>
        </w:rPr>
        <w:t xml:space="preserve">Care </w:t>
      </w:r>
      <w:r w:rsidR="00F66A21" w:rsidRPr="00F66A21">
        <w:rPr>
          <w:rFonts w:ascii="Arial" w:hAnsi="Arial" w:cs="Arial"/>
          <w:sz w:val="22"/>
          <w:szCs w:val="22"/>
        </w:rPr>
        <w:t>In order for the administration of Willow Grove Residential Care Homes to satisfy the needs and preferences of its residents, there must be communication between patients and specialists.</w:t>
      </w:r>
      <w:r w:rsidR="00F66A21" w:rsidRPr="00F66A21">
        <w:rPr>
          <w:rFonts w:ascii="Arial" w:hAnsi="Arial" w:cs="Arial"/>
          <w:sz w:val="22"/>
          <w:szCs w:val="22"/>
        </w:rPr>
        <w:br/>
        <w:t>During the coronavirus epidemic, hospitals were instructed by the Health and Social Care Act (2022) to remove patients from wards with penalties (Mchale, J., 2023). These occurrences highlight a longer-standing issue with hospital discharge regulations and their connection to the Care Act of 2014's mandate that local authorities assess individuals' needs.</w:t>
      </w:r>
    </w:p>
    <w:p w14:paraId="50139AC7" w14:textId="0C86BF73" w:rsidR="00F66A21" w:rsidRPr="00F66A21" w:rsidRDefault="00F66A21" w:rsidP="00F66A21">
      <w:pPr>
        <w:rPr>
          <w:rFonts w:ascii="Arial" w:hAnsi="Arial" w:cs="Arial"/>
          <w:sz w:val="22"/>
          <w:szCs w:val="22"/>
        </w:rPr>
      </w:pPr>
      <w:r w:rsidRPr="00F66A21">
        <w:rPr>
          <w:rFonts w:ascii="Arial" w:hAnsi="Arial" w:cs="Arial"/>
          <w:sz w:val="22"/>
          <w:szCs w:val="22"/>
        </w:rPr>
        <w:t>People who are expected to die within a year are covered by the N</w:t>
      </w:r>
      <w:r w:rsidR="00BF7938">
        <w:rPr>
          <w:rFonts w:ascii="Arial" w:hAnsi="Arial" w:cs="Arial"/>
          <w:sz w:val="22"/>
          <w:szCs w:val="22"/>
        </w:rPr>
        <w:t>ICE</w:t>
      </w:r>
      <w:r w:rsidRPr="00F66A21">
        <w:rPr>
          <w:rFonts w:ascii="Arial" w:hAnsi="Arial" w:cs="Arial"/>
          <w:sz w:val="22"/>
          <w:szCs w:val="22"/>
        </w:rPr>
        <w:t xml:space="preserve"> quality standard (QS13) for adult end-of-life care (2021), which also covers support for the patient's family and carers. The Care Act (2014) is responsible for helping individuals who are nearing the end of their lives, as well as their family members and caretakers. The Human Rights Act of 1998 protects everyone in the UK, including individuals who receive social assistance.</w:t>
      </w:r>
      <w:r>
        <w:rPr>
          <w:rFonts w:ascii="Arial" w:hAnsi="Arial" w:cs="Arial"/>
          <w:sz w:val="22"/>
          <w:szCs w:val="22"/>
        </w:rPr>
        <w:t xml:space="preserve"> </w:t>
      </w:r>
    </w:p>
    <w:p w14:paraId="7261EC76" w14:textId="7EC68272" w:rsidR="00F66A21" w:rsidRPr="00985A4C" w:rsidRDefault="00F66A21">
      <w:pPr>
        <w:rPr>
          <w:rFonts w:ascii="Arial" w:hAnsi="Arial" w:cs="Arial"/>
          <w:sz w:val="22"/>
          <w:szCs w:val="22"/>
        </w:rPr>
      </w:pPr>
      <w:r w:rsidRPr="00F66A21">
        <w:rPr>
          <w:rFonts w:ascii="Arial" w:hAnsi="Arial" w:cs="Arial"/>
          <w:sz w:val="22"/>
          <w:szCs w:val="22"/>
          <w:u w:val="single"/>
        </w:rPr>
        <w:t xml:space="preserve">Evaluation </w:t>
      </w:r>
    </w:p>
    <w:p w14:paraId="71EAE835" w14:textId="2B7AC9A5" w:rsidR="00F66A21" w:rsidRDefault="00F66A21">
      <w:pPr>
        <w:rPr>
          <w:rFonts w:ascii="Arial" w:hAnsi="Arial" w:cs="Arial"/>
          <w:sz w:val="22"/>
          <w:szCs w:val="22"/>
        </w:rPr>
      </w:pPr>
      <w:r>
        <w:rPr>
          <w:rFonts w:ascii="Arial" w:hAnsi="Arial" w:cs="Arial"/>
          <w:sz w:val="22"/>
          <w:szCs w:val="22"/>
        </w:rPr>
        <w:t xml:space="preserve">How can a manager determine whether the guidelines are being followed effectively a manager is in charge of the output and performance of the patients under their supervision. Manager in the healthcare industry </w:t>
      </w:r>
      <w:r w:rsidR="007F682C">
        <w:rPr>
          <w:rFonts w:ascii="Arial" w:hAnsi="Arial" w:cs="Arial"/>
          <w:sz w:val="22"/>
          <w:szCs w:val="22"/>
        </w:rPr>
        <w:t xml:space="preserve">who possesses a variety of </w:t>
      </w:r>
      <w:r w:rsidR="008E1C2B">
        <w:rPr>
          <w:rFonts w:ascii="Arial" w:hAnsi="Arial" w:cs="Arial"/>
          <w:sz w:val="22"/>
          <w:szCs w:val="22"/>
        </w:rPr>
        <w:t>abilities, including</w:t>
      </w:r>
      <w:r w:rsidR="007F682C">
        <w:rPr>
          <w:rFonts w:ascii="Arial" w:hAnsi="Arial" w:cs="Arial"/>
          <w:sz w:val="22"/>
          <w:szCs w:val="22"/>
        </w:rPr>
        <w:t xml:space="preserve"> </w:t>
      </w:r>
      <w:r w:rsidR="008E1C2B">
        <w:rPr>
          <w:rFonts w:ascii="Arial" w:hAnsi="Arial" w:cs="Arial"/>
          <w:sz w:val="22"/>
          <w:szCs w:val="22"/>
        </w:rPr>
        <w:t>organisational, leadership, and</w:t>
      </w:r>
      <w:r w:rsidR="007F682C">
        <w:rPr>
          <w:rFonts w:ascii="Arial" w:hAnsi="Arial" w:cs="Arial"/>
          <w:sz w:val="22"/>
          <w:szCs w:val="22"/>
        </w:rPr>
        <w:t xml:space="preserve"> </w:t>
      </w:r>
      <w:r w:rsidR="008E1C2B">
        <w:rPr>
          <w:rFonts w:ascii="Arial" w:hAnsi="Arial" w:cs="Arial"/>
          <w:sz w:val="22"/>
          <w:szCs w:val="22"/>
        </w:rPr>
        <w:t>communication. Effective</w:t>
      </w:r>
      <w:r w:rsidR="007F682C">
        <w:rPr>
          <w:rFonts w:ascii="Arial" w:hAnsi="Arial" w:cs="Arial"/>
          <w:sz w:val="22"/>
          <w:szCs w:val="22"/>
        </w:rPr>
        <w:t xml:space="preserve"> managers ensure that the teams they oversea are carrying out their </w:t>
      </w:r>
      <w:r w:rsidR="008E1C2B">
        <w:rPr>
          <w:rFonts w:ascii="Arial" w:hAnsi="Arial" w:cs="Arial"/>
          <w:sz w:val="22"/>
          <w:szCs w:val="22"/>
        </w:rPr>
        <w:t>responsibilities</w:t>
      </w:r>
      <w:r w:rsidR="007F682C">
        <w:rPr>
          <w:rFonts w:ascii="Arial" w:hAnsi="Arial" w:cs="Arial"/>
          <w:sz w:val="22"/>
          <w:szCs w:val="22"/>
        </w:rPr>
        <w:t xml:space="preserve"> in accordance with the goals of the organisations or departments they oversea. Assessing </w:t>
      </w:r>
      <w:r w:rsidR="008E1C2B">
        <w:rPr>
          <w:rFonts w:ascii="Arial" w:hAnsi="Arial" w:cs="Arial"/>
          <w:sz w:val="22"/>
          <w:szCs w:val="22"/>
        </w:rPr>
        <w:t>the contribution</w:t>
      </w:r>
      <w:r w:rsidR="007F682C">
        <w:rPr>
          <w:rFonts w:ascii="Arial" w:hAnsi="Arial" w:cs="Arial"/>
          <w:sz w:val="22"/>
          <w:szCs w:val="22"/>
        </w:rPr>
        <w:t xml:space="preserve"> to the care home performance and obtaining team feedback are crucial ways to how successful a manager is managing their </w:t>
      </w:r>
      <w:r w:rsidR="008E1C2B">
        <w:rPr>
          <w:rFonts w:ascii="Arial" w:hAnsi="Arial" w:cs="Arial"/>
          <w:sz w:val="22"/>
          <w:szCs w:val="22"/>
        </w:rPr>
        <w:t>team. An</w:t>
      </w:r>
      <w:r w:rsidR="007F682C">
        <w:rPr>
          <w:rFonts w:ascii="Arial" w:hAnsi="Arial" w:cs="Arial"/>
          <w:sz w:val="22"/>
          <w:szCs w:val="22"/>
        </w:rPr>
        <w:t xml:space="preserve"> effective manager in a healthcare facility that provides end-of-life care can inspire their staff to perform more </w:t>
      </w:r>
      <w:r w:rsidR="008E1C2B">
        <w:rPr>
          <w:rFonts w:ascii="Arial" w:hAnsi="Arial" w:cs="Arial"/>
          <w:sz w:val="22"/>
          <w:szCs w:val="22"/>
        </w:rPr>
        <w:t>efficiently. According</w:t>
      </w:r>
      <w:r w:rsidR="007F682C">
        <w:rPr>
          <w:rFonts w:ascii="Arial" w:hAnsi="Arial" w:cs="Arial"/>
          <w:sz w:val="22"/>
          <w:szCs w:val="22"/>
        </w:rPr>
        <w:t xml:space="preserve"> to J,Trinkle (2005),a variety of potential managerial tasks were </w:t>
      </w:r>
      <w:r w:rsidR="008E1C2B">
        <w:rPr>
          <w:rFonts w:ascii="Arial" w:hAnsi="Arial" w:cs="Arial"/>
          <w:sz w:val="22"/>
          <w:szCs w:val="22"/>
        </w:rPr>
        <w:t>assessed, and</w:t>
      </w:r>
      <w:r w:rsidR="007F682C">
        <w:rPr>
          <w:rFonts w:ascii="Arial" w:hAnsi="Arial" w:cs="Arial"/>
          <w:sz w:val="22"/>
          <w:szCs w:val="22"/>
        </w:rPr>
        <w:t xml:space="preserve"> those that offered minimal benefit were </w:t>
      </w:r>
      <w:r w:rsidR="008E1C2B">
        <w:rPr>
          <w:rFonts w:ascii="Arial" w:hAnsi="Arial" w:cs="Arial"/>
          <w:sz w:val="22"/>
          <w:szCs w:val="22"/>
        </w:rPr>
        <w:t>disregarded. Few</w:t>
      </w:r>
      <w:r w:rsidR="007F682C">
        <w:rPr>
          <w:rFonts w:ascii="Arial" w:hAnsi="Arial" w:cs="Arial"/>
          <w:sz w:val="22"/>
          <w:szCs w:val="22"/>
        </w:rPr>
        <w:t xml:space="preserve"> suggestions were made for time-constrained </w:t>
      </w:r>
      <w:r w:rsidR="00A16ADA">
        <w:rPr>
          <w:rFonts w:ascii="Arial" w:hAnsi="Arial" w:cs="Arial"/>
          <w:sz w:val="22"/>
          <w:szCs w:val="22"/>
        </w:rPr>
        <w:t xml:space="preserve">managers and organisations to implement in order to have the biggest influence on </w:t>
      </w:r>
      <w:r w:rsidR="008E1C2B">
        <w:rPr>
          <w:rFonts w:ascii="Arial" w:hAnsi="Arial" w:cs="Arial"/>
          <w:sz w:val="22"/>
          <w:szCs w:val="22"/>
        </w:rPr>
        <w:t>enhancing</w:t>
      </w:r>
      <w:r w:rsidR="00A16ADA">
        <w:rPr>
          <w:rFonts w:ascii="Arial" w:hAnsi="Arial" w:cs="Arial"/>
          <w:sz w:val="22"/>
          <w:szCs w:val="22"/>
        </w:rPr>
        <w:t xml:space="preserve"> staff productivity and leadership </w:t>
      </w:r>
      <w:r w:rsidR="008E1C2B">
        <w:rPr>
          <w:rFonts w:ascii="Arial" w:hAnsi="Arial" w:cs="Arial"/>
          <w:sz w:val="22"/>
          <w:szCs w:val="22"/>
        </w:rPr>
        <w:t>effectiveness. There</w:t>
      </w:r>
      <w:r w:rsidR="00A16ADA">
        <w:rPr>
          <w:rFonts w:ascii="Arial" w:hAnsi="Arial" w:cs="Arial"/>
          <w:sz w:val="22"/>
          <w:szCs w:val="22"/>
        </w:rPr>
        <w:t xml:space="preserve"> is still ambiguity regarding the effectiveness of clinical </w:t>
      </w:r>
      <w:r w:rsidR="008E1C2B">
        <w:rPr>
          <w:rFonts w:ascii="Arial" w:hAnsi="Arial" w:cs="Arial"/>
          <w:sz w:val="22"/>
          <w:szCs w:val="22"/>
        </w:rPr>
        <w:t>recommendations, despite</w:t>
      </w:r>
      <w:r w:rsidR="00A16ADA">
        <w:rPr>
          <w:rFonts w:ascii="Arial" w:hAnsi="Arial" w:cs="Arial"/>
          <w:sz w:val="22"/>
          <w:szCs w:val="22"/>
        </w:rPr>
        <w:t xml:space="preserve"> the fact that interest in them has never been higher. The absence of </w:t>
      </w:r>
      <w:r w:rsidR="008E1C2B">
        <w:rPr>
          <w:rFonts w:ascii="Arial" w:hAnsi="Arial" w:cs="Arial"/>
          <w:sz w:val="22"/>
          <w:szCs w:val="22"/>
        </w:rPr>
        <w:t>an</w:t>
      </w:r>
      <w:r w:rsidR="00A16ADA">
        <w:rPr>
          <w:rFonts w:ascii="Arial" w:hAnsi="Arial" w:cs="Arial"/>
          <w:sz w:val="22"/>
          <w:szCs w:val="22"/>
        </w:rPr>
        <w:t xml:space="preserve"> overview has hindered the </w:t>
      </w:r>
      <w:r w:rsidR="008E1C2B">
        <w:rPr>
          <w:rFonts w:ascii="Arial" w:hAnsi="Arial" w:cs="Arial"/>
          <w:sz w:val="22"/>
          <w:szCs w:val="22"/>
        </w:rPr>
        <w:t>discussion. We</w:t>
      </w:r>
      <w:r w:rsidR="00A16ADA">
        <w:rPr>
          <w:rFonts w:ascii="Arial" w:hAnsi="Arial" w:cs="Arial"/>
          <w:sz w:val="22"/>
          <w:szCs w:val="22"/>
        </w:rPr>
        <w:t xml:space="preserve"> have identified 59 successful clinical guidelines reviews that </w:t>
      </w:r>
      <w:r w:rsidR="008E1C2B">
        <w:rPr>
          <w:rFonts w:ascii="Arial" w:hAnsi="Arial" w:cs="Arial"/>
          <w:sz w:val="22"/>
          <w:szCs w:val="22"/>
        </w:rPr>
        <w:t>satisfied</w:t>
      </w:r>
      <w:r w:rsidR="00A16ADA">
        <w:rPr>
          <w:rFonts w:ascii="Arial" w:hAnsi="Arial" w:cs="Arial"/>
          <w:sz w:val="22"/>
          <w:szCs w:val="22"/>
        </w:rPr>
        <w:t xml:space="preserve"> specific standards for rigour recommendations for particular clinical diseases were examined by </w:t>
      </w:r>
      <w:r w:rsidR="008E1C2B">
        <w:rPr>
          <w:rFonts w:ascii="Arial" w:hAnsi="Arial" w:cs="Arial"/>
          <w:sz w:val="22"/>
          <w:szCs w:val="22"/>
        </w:rPr>
        <w:t>24, palliative</w:t>
      </w:r>
      <w:r w:rsidR="00A16ADA">
        <w:rPr>
          <w:rFonts w:ascii="Arial" w:hAnsi="Arial" w:cs="Arial"/>
          <w:sz w:val="22"/>
          <w:szCs w:val="22"/>
        </w:rPr>
        <w:t xml:space="preserve"> care was examined by 27 and prescribing or support service recommendations were examined by 8.</w:t>
      </w:r>
    </w:p>
    <w:p w14:paraId="0CBEABAC" w14:textId="77777777" w:rsidR="00A16ADA" w:rsidRDefault="00A16ADA">
      <w:pPr>
        <w:rPr>
          <w:rFonts w:ascii="Arial" w:hAnsi="Arial" w:cs="Arial"/>
          <w:sz w:val="22"/>
          <w:szCs w:val="22"/>
        </w:rPr>
      </w:pPr>
    </w:p>
    <w:p w14:paraId="0BCC87BF" w14:textId="43CD2D75" w:rsidR="00A16ADA" w:rsidRPr="008E1C2B" w:rsidRDefault="00A16ADA">
      <w:pPr>
        <w:rPr>
          <w:rFonts w:ascii="Arial" w:hAnsi="Arial" w:cs="Arial"/>
          <w:sz w:val="22"/>
          <w:szCs w:val="22"/>
          <w:u w:val="single"/>
        </w:rPr>
      </w:pPr>
      <w:r w:rsidRPr="008E1C2B">
        <w:rPr>
          <w:rFonts w:ascii="Arial" w:hAnsi="Arial" w:cs="Arial"/>
          <w:sz w:val="22"/>
          <w:szCs w:val="22"/>
          <w:u w:val="single"/>
        </w:rPr>
        <w:t xml:space="preserve">Conclusion </w:t>
      </w:r>
    </w:p>
    <w:p w14:paraId="4037B9B2" w14:textId="16633EBF" w:rsidR="00A16ADA" w:rsidRPr="00F66A21" w:rsidRDefault="00A16ADA">
      <w:pPr>
        <w:rPr>
          <w:rFonts w:ascii="Arial" w:hAnsi="Arial" w:cs="Arial"/>
          <w:sz w:val="22"/>
          <w:szCs w:val="22"/>
        </w:rPr>
      </w:pPr>
      <w:r>
        <w:rPr>
          <w:rFonts w:ascii="Arial" w:hAnsi="Arial" w:cs="Arial"/>
          <w:sz w:val="22"/>
          <w:szCs w:val="22"/>
        </w:rPr>
        <w:t xml:space="preserve">This study outlines the definition of </w:t>
      </w:r>
      <w:r w:rsidR="008E1C2B">
        <w:rPr>
          <w:rFonts w:ascii="Arial" w:hAnsi="Arial" w:cs="Arial"/>
          <w:sz w:val="22"/>
          <w:szCs w:val="22"/>
        </w:rPr>
        <w:t>stakeholders, their</w:t>
      </w:r>
      <w:r>
        <w:rPr>
          <w:rFonts w:ascii="Arial" w:hAnsi="Arial" w:cs="Arial"/>
          <w:sz w:val="22"/>
          <w:szCs w:val="22"/>
        </w:rPr>
        <w:t xml:space="preserve"> duties and </w:t>
      </w:r>
      <w:r w:rsidR="008E1C2B">
        <w:rPr>
          <w:rFonts w:ascii="Arial" w:hAnsi="Arial" w:cs="Arial"/>
          <w:sz w:val="22"/>
          <w:szCs w:val="22"/>
        </w:rPr>
        <w:t>responsibilities, and</w:t>
      </w:r>
      <w:r>
        <w:rPr>
          <w:rFonts w:ascii="Arial" w:hAnsi="Arial" w:cs="Arial"/>
          <w:sz w:val="22"/>
          <w:szCs w:val="22"/>
        </w:rPr>
        <w:t xml:space="preserve"> how they are employed in a care environment, </w:t>
      </w:r>
      <w:r w:rsidR="008E1C2B">
        <w:rPr>
          <w:rFonts w:ascii="Arial" w:hAnsi="Arial" w:cs="Arial"/>
          <w:sz w:val="22"/>
          <w:szCs w:val="22"/>
        </w:rPr>
        <w:t>in</w:t>
      </w:r>
      <w:r>
        <w:rPr>
          <w:rFonts w:ascii="Arial" w:hAnsi="Arial" w:cs="Arial"/>
          <w:sz w:val="22"/>
          <w:szCs w:val="22"/>
        </w:rPr>
        <w:t xml:space="preserve"> </w:t>
      </w:r>
      <w:r w:rsidR="008E1C2B">
        <w:rPr>
          <w:rFonts w:ascii="Arial" w:hAnsi="Arial" w:cs="Arial"/>
          <w:sz w:val="22"/>
          <w:szCs w:val="22"/>
        </w:rPr>
        <w:t>addition, this</w:t>
      </w:r>
      <w:r>
        <w:rPr>
          <w:rFonts w:ascii="Arial" w:hAnsi="Arial" w:cs="Arial"/>
          <w:sz w:val="22"/>
          <w:szCs w:val="22"/>
        </w:rPr>
        <w:t xml:space="preserve"> report describes the collaboration </w:t>
      </w:r>
      <w:r>
        <w:rPr>
          <w:rFonts w:ascii="Arial" w:hAnsi="Arial" w:cs="Arial"/>
          <w:sz w:val="22"/>
          <w:szCs w:val="22"/>
        </w:rPr>
        <w:lastRenderedPageBreak/>
        <w:t xml:space="preserve">between end-of-life care specialists and their families in </w:t>
      </w:r>
      <w:r w:rsidR="008E1C2B">
        <w:rPr>
          <w:rFonts w:ascii="Arial" w:hAnsi="Arial" w:cs="Arial"/>
          <w:sz w:val="22"/>
          <w:szCs w:val="22"/>
        </w:rPr>
        <w:t>end-of-life</w:t>
      </w:r>
      <w:r>
        <w:rPr>
          <w:rFonts w:ascii="Arial" w:hAnsi="Arial" w:cs="Arial"/>
          <w:sz w:val="22"/>
          <w:szCs w:val="22"/>
        </w:rPr>
        <w:t xml:space="preserve"> care </w:t>
      </w:r>
      <w:r w:rsidR="008E1C2B">
        <w:rPr>
          <w:rFonts w:ascii="Arial" w:hAnsi="Arial" w:cs="Arial"/>
          <w:sz w:val="22"/>
          <w:szCs w:val="22"/>
        </w:rPr>
        <w:t>facilities. The</w:t>
      </w:r>
      <w:r>
        <w:rPr>
          <w:rFonts w:ascii="Arial" w:hAnsi="Arial" w:cs="Arial"/>
          <w:sz w:val="22"/>
          <w:szCs w:val="22"/>
        </w:rPr>
        <w:t xml:space="preserve"> theory pertaining to end-of-life care is included in this </w:t>
      </w:r>
      <w:r w:rsidR="008E1C2B">
        <w:rPr>
          <w:rFonts w:ascii="Arial" w:hAnsi="Arial" w:cs="Arial"/>
          <w:sz w:val="22"/>
          <w:szCs w:val="22"/>
        </w:rPr>
        <w:t>report. Additionally, the</w:t>
      </w:r>
      <w:r>
        <w:rPr>
          <w:rFonts w:ascii="Arial" w:hAnsi="Arial" w:cs="Arial"/>
          <w:sz w:val="22"/>
          <w:szCs w:val="22"/>
        </w:rPr>
        <w:t xml:space="preserve"> </w:t>
      </w:r>
      <w:r w:rsidR="008E1C2B">
        <w:rPr>
          <w:rFonts w:ascii="Arial" w:hAnsi="Arial" w:cs="Arial"/>
          <w:sz w:val="22"/>
          <w:szCs w:val="22"/>
        </w:rPr>
        <w:t>legislation</w:t>
      </w:r>
      <w:r>
        <w:rPr>
          <w:rFonts w:ascii="Arial" w:hAnsi="Arial" w:cs="Arial"/>
          <w:sz w:val="22"/>
          <w:szCs w:val="22"/>
        </w:rPr>
        <w:t xml:space="preserve"> is written</w:t>
      </w:r>
      <w:r w:rsidR="008E1C2B">
        <w:rPr>
          <w:rFonts w:ascii="Arial" w:hAnsi="Arial" w:cs="Arial"/>
          <w:sz w:val="22"/>
          <w:szCs w:val="22"/>
        </w:rPr>
        <w:t xml:space="preserve"> along with how it relates to palliative care. This report includes evaluation, and a conclusion is provided at the end of the report along with a list of references indicating the sources of the data and resources. Feedback from the team is crucial for future practise because it contributes to learning and development and helps the management team identify certain changes they need to make for future preferences. Additionally, a manager can provide assistance to the team members who may need to strengthen their area of weakness through training programmes. Also expressing gratitude to employees for their excellent work as a manager it is essential to observe employees to make sure, they are adhering to corporate regulations and processes so they can perform their jobs efficiently.</w:t>
      </w:r>
    </w:p>
    <w:p w14:paraId="00819312" w14:textId="77777777" w:rsidR="00F66A21" w:rsidRDefault="00F66A21">
      <w:pPr>
        <w:rPr>
          <w:rFonts w:ascii="Arial" w:hAnsi="Arial" w:cs="Arial"/>
          <w:sz w:val="22"/>
          <w:szCs w:val="22"/>
        </w:rPr>
      </w:pPr>
    </w:p>
    <w:p w14:paraId="019BD702" w14:textId="77777777" w:rsidR="00985A4C" w:rsidRDefault="00985A4C">
      <w:pPr>
        <w:rPr>
          <w:rFonts w:ascii="Arial" w:hAnsi="Arial" w:cs="Arial"/>
          <w:sz w:val="22"/>
          <w:szCs w:val="22"/>
        </w:rPr>
      </w:pPr>
    </w:p>
    <w:p w14:paraId="4907770C" w14:textId="77777777" w:rsidR="00F848AA" w:rsidRDefault="00F848AA">
      <w:pPr>
        <w:rPr>
          <w:rFonts w:ascii="Arial" w:hAnsi="Arial" w:cs="Arial"/>
          <w:sz w:val="22"/>
          <w:szCs w:val="22"/>
        </w:rPr>
      </w:pPr>
    </w:p>
    <w:p w14:paraId="3D0D46DB" w14:textId="77777777" w:rsidR="00F848AA" w:rsidRDefault="00F848AA">
      <w:pPr>
        <w:rPr>
          <w:rFonts w:ascii="Arial" w:hAnsi="Arial" w:cs="Arial"/>
          <w:sz w:val="22"/>
          <w:szCs w:val="22"/>
        </w:rPr>
      </w:pPr>
    </w:p>
    <w:p w14:paraId="378A0C7F" w14:textId="77777777" w:rsidR="008E1C2B" w:rsidRPr="00BF7938" w:rsidRDefault="008E1C2B">
      <w:pPr>
        <w:rPr>
          <w:rFonts w:ascii="Arial" w:hAnsi="Arial" w:cs="Arial"/>
          <w:sz w:val="22"/>
          <w:szCs w:val="22"/>
          <w:u w:val="single"/>
        </w:rPr>
      </w:pPr>
      <w:r w:rsidRPr="00BF7938">
        <w:rPr>
          <w:rFonts w:ascii="Arial" w:hAnsi="Arial" w:cs="Arial"/>
          <w:sz w:val="22"/>
          <w:szCs w:val="22"/>
          <w:u w:val="single"/>
        </w:rPr>
        <w:t xml:space="preserve">Reference list </w:t>
      </w:r>
    </w:p>
    <w:p w14:paraId="0C802440" w14:textId="77777777" w:rsidR="00BF7938" w:rsidRDefault="00BF7938">
      <w:pPr>
        <w:rPr>
          <w:rFonts w:ascii="Arial" w:hAnsi="Arial" w:cs="Arial"/>
          <w:sz w:val="22"/>
          <w:szCs w:val="22"/>
        </w:rPr>
      </w:pPr>
    </w:p>
    <w:p w14:paraId="0F0D36F5" w14:textId="77777777" w:rsidR="00BF7938" w:rsidRDefault="00BF7938">
      <w:pPr>
        <w:rPr>
          <w:rFonts w:ascii="Arial" w:hAnsi="Arial" w:cs="Arial"/>
          <w:sz w:val="22"/>
          <w:szCs w:val="22"/>
        </w:rPr>
      </w:pPr>
      <w:r>
        <w:rPr>
          <w:rFonts w:ascii="Arial" w:hAnsi="Arial" w:cs="Arial"/>
          <w:sz w:val="22"/>
          <w:szCs w:val="22"/>
        </w:rPr>
        <w:t>Alqahtani,A (2019) End-of-life care challenges from staff viewpoints</w:t>
      </w:r>
    </w:p>
    <w:p w14:paraId="3108C5F5" w14:textId="22F1C6D1" w:rsidR="00BF7938" w:rsidRDefault="00BF7938">
      <w:pPr>
        <w:rPr>
          <w:rFonts w:ascii="Arial" w:hAnsi="Arial" w:cs="Arial"/>
          <w:sz w:val="22"/>
          <w:szCs w:val="22"/>
        </w:rPr>
      </w:pPr>
      <w:r>
        <w:rPr>
          <w:rFonts w:ascii="Arial" w:hAnsi="Arial" w:cs="Arial"/>
          <w:sz w:val="22"/>
          <w:szCs w:val="22"/>
        </w:rPr>
        <w:t xml:space="preserve">Friedenberg,A (2012) Barriers to end-of-life care unit </w:t>
      </w:r>
    </w:p>
    <w:p w14:paraId="2F3EA109" w14:textId="5D043314" w:rsidR="00BF7938" w:rsidRDefault="00BF7938">
      <w:pPr>
        <w:rPr>
          <w:rFonts w:ascii="Arial" w:hAnsi="Arial" w:cs="Arial"/>
          <w:sz w:val="22"/>
          <w:szCs w:val="22"/>
        </w:rPr>
      </w:pPr>
      <w:r>
        <w:rPr>
          <w:rFonts w:ascii="Arial" w:hAnsi="Arial" w:cs="Arial"/>
          <w:sz w:val="22"/>
          <w:szCs w:val="22"/>
        </w:rPr>
        <w:t xml:space="preserve">Brighton,L(2016) Communication in palliative care talking about the end of life </w:t>
      </w:r>
    </w:p>
    <w:p w14:paraId="18C475F8" w14:textId="585C8B56" w:rsidR="00985A4C" w:rsidRDefault="00985A4C">
      <w:pPr>
        <w:rPr>
          <w:rFonts w:ascii="Arial" w:hAnsi="Arial" w:cs="Arial"/>
          <w:sz w:val="22"/>
          <w:szCs w:val="22"/>
        </w:rPr>
      </w:pPr>
      <w:r>
        <w:rPr>
          <w:rFonts w:ascii="Arial" w:hAnsi="Arial" w:cs="Arial"/>
          <w:sz w:val="22"/>
          <w:szCs w:val="22"/>
        </w:rPr>
        <w:t xml:space="preserve">Health and social care act (2022) Available at </w:t>
      </w:r>
      <w:hyperlink r:id="rId4" w:history="1">
        <w:r w:rsidRPr="00664B90">
          <w:rPr>
            <w:rStyle w:val="Hyperlink"/>
            <w:rFonts w:ascii="Arial" w:hAnsi="Arial" w:cs="Arial"/>
            <w:sz w:val="22"/>
            <w:szCs w:val="22"/>
          </w:rPr>
          <w:t>https://www.legislation.gov.uk</w:t>
        </w:r>
      </w:hyperlink>
    </w:p>
    <w:p w14:paraId="2921D2B6" w14:textId="21439BAD" w:rsidR="00985A4C" w:rsidRDefault="00985A4C">
      <w:pPr>
        <w:rPr>
          <w:rFonts w:ascii="Arial" w:hAnsi="Arial" w:cs="Arial"/>
          <w:sz w:val="22"/>
          <w:szCs w:val="22"/>
        </w:rPr>
      </w:pPr>
      <w:r>
        <w:rPr>
          <w:rFonts w:ascii="Arial" w:hAnsi="Arial" w:cs="Arial"/>
          <w:sz w:val="22"/>
          <w:szCs w:val="22"/>
        </w:rPr>
        <w:t xml:space="preserve">Needs of individuals care Act (2014) Available at </w:t>
      </w:r>
      <w:hyperlink r:id="rId5" w:history="1">
        <w:r w:rsidRPr="00664B90">
          <w:rPr>
            <w:rStyle w:val="Hyperlink"/>
            <w:rFonts w:ascii="Arial" w:hAnsi="Arial" w:cs="Arial"/>
            <w:sz w:val="22"/>
            <w:szCs w:val="22"/>
          </w:rPr>
          <w:t>https://www.cqc.org.uk</w:t>
        </w:r>
      </w:hyperlink>
    </w:p>
    <w:p w14:paraId="20736339" w14:textId="27EFD3AC" w:rsidR="00985A4C" w:rsidRDefault="00985A4C">
      <w:pPr>
        <w:rPr>
          <w:rFonts w:ascii="Arial" w:hAnsi="Arial" w:cs="Arial"/>
          <w:sz w:val="22"/>
          <w:szCs w:val="22"/>
        </w:rPr>
      </w:pPr>
      <w:r>
        <w:rPr>
          <w:rFonts w:ascii="Arial" w:hAnsi="Arial" w:cs="Arial"/>
          <w:sz w:val="22"/>
          <w:szCs w:val="22"/>
        </w:rPr>
        <w:t xml:space="preserve">The NICE quality Standard End of life care for adults(2021) Available at </w:t>
      </w:r>
      <w:hyperlink r:id="rId6" w:history="1">
        <w:r w:rsidRPr="00664B90">
          <w:rPr>
            <w:rStyle w:val="Hyperlink"/>
            <w:rFonts w:ascii="Arial" w:hAnsi="Arial" w:cs="Arial"/>
            <w:sz w:val="22"/>
            <w:szCs w:val="22"/>
          </w:rPr>
          <w:t>https://www.nice.org.uk</w:t>
        </w:r>
      </w:hyperlink>
    </w:p>
    <w:p w14:paraId="359588E4" w14:textId="1FC7CDDF" w:rsidR="00985A4C" w:rsidRDefault="00985A4C">
      <w:pPr>
        <w:rPr>
          <w:rFonts w:ascii="Arial" w:hAnsi="Arial" w:cs="Arial"/>
          <w:sz w:val="22"/>
          <w:szCs w:val="22"/>
        </w:rPr>
      </w:pPr>
      <w:r>
        <w:rPr>
          <w:rFonts w:ascii="Arial" w:hAnsi="Arial" w:cs="Arial"/>
          <w:sz w:val="22"/>
          <w:szCs w:val="22"/>
        </w:rPr>
        <w:t xml:space="preserve">The care act (2014) Available at </w:t>
      </w:r>
      <w:hyperlink r:id="rId7" w:history="1">
        <w:r w:rsidRPr="00664B90">
          <w:rPr>
            <w:rStyle w:val="Hyperlink"/>
            <w:rFonts w:ascii="Arial" w:hAnsi="Arial" w:cs="Arial"/>
            <w:sz w:val="22"/>
            <w:szCs w:val="22"/>
          </w:rPr>
          <w:t>https://www.legislation.gov.uk</w:t>
        </w:r>
      </w:hyperlink>
    </w:p>
    <w:p w14:paraId="3CE81403" w14:textId="6E226C09" w:rsidR="00985A4C" w:rsidRDefault="00985A4C">
      <w:pPr>
        <w:rPr>
          <w:rFonts w:ascii="Arial" w:hAnsi="Arial" w:cs="Arial"/>
          <w:sz w:val="22"/>
          <w:szCs w:val="22"/>
        </w:rPr>
      </w:pPr>
      <w:r>
        <w:rPr>
          <w:rFonts w:ascii="Arial" w:hAnsi="Arial" w:cs="Arial"/>
          <w:sz w:val="22"/>
          <w:szCs w:val="22"/>
        </w:rPr>
        <w:t xml:space="preserve">The human rights act (1998) Available at </w:t>
      </w:r>
      <w:hyperlink r:id="rId8" w:history="1">
        <w:r w:rsidRPr="00664B90">
          <w:rPr>
            <w:rStyle w:val="Hyperlink"/>
            <w:rFonts w:ascii="Arial" w:hAnsi="Arial" w:cs="Arial"/>
            <w:sz w:val="22"/>
            <w:szCs w:val="22"/>
          </w:rPr>
          <w:t>https://www.citizensadvice.org.uk</w:t>
        </w:r>
      </w:hyperlink>
    </w:p>
    <w:p w14:paraId="46F30202" w14:textId="49C443EF" w:rsidR="00985A4C" w:rsidRDefault="00985A4C">
      <w:pPr>
        <w:rPr>
          <w:rFonts w:ascii="Arial" w:hAnsi="Arial" w:cs="Arial"/>
          <w:sz w:val="22"/>
          <w:szCs w:val="22"/>
        </w:rPr>
      </w:pPr>
      <w:r>
        <w:rPr>
          <w:rFonts w:ascii="Arial" w:hAnsi="Arial" w:cs="Arial"/>
          <w:sz w:val="22"/>
          <w:szCs w:val="22"/>
        </w:rPr>
        <w:t>Trinka,J (2005) Evaluation of managers performance guidelines.</w:t>
      </w:r>
    </w:p>
    <w:p w14:paraId="125F62AD" w14:textId="67F0A3EC" w:rsidR="00A05102" w:rsidRDefault="00A05102">
      <w:pPr>
        <w:rPr>
          <w:rFonts w:ascii="Arial" w:hAnsi="Arial" w:cs="Arial"/>
          <w:sz w:val="22"/>
          <w:szCs w:val="22"/>
        </w:rPr>
      </w:pPr>
      <w:r>
        <w:rPr>
          <w:rFonts w:ascii="Arial" w:hAnsi="Arial" w:cs="Arial"/>
          <w:sz w:val="22"/>
          <w:szCs w:val="22"/>
        </w:rPr>
        <w:t>Brighton,L(2016) Communication in palliative care talking about the end of life care.</w:t>
      </w:r>
    </w:p>
    <w:p w14:paraId="0A1F9524" w14:textId="05BF95BA" w:rsidR="00A05102" w:rsidRDefault="00A05102">
      <w:pPr>
        <w:rPr>
          <w:rFonts w:ascii="Arial" w:hAnsi="Arial" w:cs="Arial"/>
          <w:sz w:val="22"/>
          <w:szCs w:val="22"/>
        </w:rPr>
      </w:pPr>
      <w:r>
        <w:rPr>
          <w:rFonts w:ascii="Arial" w:hAnsi="Arial" w:cs="Arial"/>
          <w:sz w:val="22"/>
          <w:szCs w:val="22"/>
        </w:rPr>
        <w:t>Dickinson,H(2014) Partnership working in health and social care:what is integrated care.</w:t>
      </w:r>
    </w:p>
    <w:p w14:paraId="207AC5F8" w14:textId="09EA6B26" w:rsidR="00A05102" w:rsidRDefault="00A05102">
      <w:pPr>
        <w:rPr>
          <w:rFonts w:ascii="Arial" w:hAnsi="Arial" w:cs="Arial"/>
          <w:sz w:val="22"/>
          <w:szCs w:val="22"/>
        </w:rPr>
      </w:pPr>
      <w:r>
        <w:rPr>
          <w:rFonts w:ascii="Arial" w:hAnsi="Arial" w:cs="Arial"/>
          <w:sz w:val="22"/>
          <w:szCs w:val="22"/>
        </w:rPr>
        <w:t>Coombs,A (2017) Managing risk during care transitions when approaching end of life.</w:t>
      </w:r>
    </w:p>
    <w:p w14:paraId="0503ECE3" w14:textId="153183CF" w:rsidR="00985A4C" w:rsidRDefault="00553D74">
      <w:pPr>
        <w:rPr>
          <w:rFonts w:ascii="Arial" w:hAnsi="Arial" w:cs="Arial"/>
          <w:sz w:val="22"/>
          <w:szCs w:val="22"/>
        </w:rPr>
      </w:pPr>
      <w:r>
        <w:rPr>
          <w:rFonts w:ascii="Arial" w:hAnsi="Arial" w:cs="Arial"/>
          <w:sz w:val="22"/>
          <w:szCs w:val="22"/>
        </w:rPr>
        <w:t>Mason,T(2020) Complicated grief:risk factors,protective factors,and interventions.</w:t>
      </w:r>
    </w:p>
    <w:p w14:paraId="67F3B03B" w14:textId="07D9C840" w:rsidR="00985A4C" w:rsidRDefault="00553D74">
      <w:pPr>
        <w:rPr>
          <w:rFonts w:ascii="Arial" w:hAnsi="Arial" w:cs="Arial"/>
          <w:sz w:val="22"/>
          <w:szCs w:val="22"/>
        </w:rPr>
      </w:pPr>
      <w:r>
        <w:rPr>
          <w:rFonts w:ascii="Arial" w:hAnsi="Arial" w:cs="Arial"/>
          <w:sz w:val="22"/>
          <w:szCs w:val="22"/>
        </w:rPr>
        <w:t>Kirby,E(2014) The role and significance of nurses in managing transitions to palliative care.</w:t>
      </w:r>
    </w:p>
    <w:p w14:paraId="237506AF" w14:textId="11BE57A5" w:rsidR="00553D74" w:rsidRDefault="00553D74">
      <w:pPr>
        <w:rPr>
          <w:rFonts w:ascii="Arial" w:hAnsi="Arial" w:cs="Arial"/>
          <w:sz w:val="22"/>
          <w:szCs w:val="22"/>
        </w:rPr>
      </w:pPr>
      <w:r w:rsidRPr="00A41835">
        <w:rPr>
          <w:rFonts w:ascii="Arial" w:eastAsia="Times New Roman" w:hAnsi="Arial" w:cs="Arial"/>
          <w:kern w:val="0"/>
          <w:sz w:val="22"/>
          <w:szCs w:val="22"/>
          <w:lang w:eastAsia="en-GB"/>
          <w14:ligatures w14:val="none"/>
        </w:rPr>
        <w:t>Carroll, S. (2020</w:t>
      </w:r>
      <w:r>
        <w:rPr>
          <w:rFonts w:ascii="Arial" w:eastAsia="Times New Roman" w:hAnsi="Arial" w:cs="Arial"/>
          <w:kern w:val="0"/>
          <w:sz w:val="22"/>
          <w:szCs w:val="22"/>
          <w:lang w:eastAsia="en-GB"/>
          <w14:ligatures w14:val="none"/>
        </w:rPr>
        <w:t>) The care principles for indigenous data goverance.</w:t>
      </w:r>
    </w:p>
    <w:p w14:paraId="78B100D7" w14:textId="77777777" w:rsidR="00BF7938" w:rsidRDefault="00BF7938">
      <w:pPr>
        <w:rPr>
          <w:rFonts w:ascii="Arial" w:hAnsi="Arial" w:cs="Arial"/>
          <w:sz w:val="22"/>
          <w:szCs w:val="22"/>
        </w:rPr>
      </w:pPr>
    </w:p>
    <w:p w14:paraId="6E23631A" w14:textId="717E22E2" w:rsidR="00F66A21" w:rsidRDefault="00F66A21">
      <w:pPr>
        <w:rPr>
          <w:rFonts w:ascii="Arial" w:hAnsi="Arial" w:cs="Arial"/>
          <w:sz w:val="22"/>
          <w:szCs w:val="22"/>
        </w:rPr>
      </w:pPr>
      <w:r>
        <w:rPr>
          <w:rFonts w:ascii="Arial" w:hAnsi="Arial" w:cs="Arial"/>
          <w:sz w:val="22"/>
          <w:szCs w:val="22"/>
        </w:rPr>
        <w:br w:type="page"/>
      </w:r>
    </w:p>
    <w:p w14:paraId="671B7596" w14:textId="77777777" w:rsidR="00F66A21" w:rsidRPr="00F66A21" w:rsidRDefault="00F66A21" w:rsidP="00F66A21">
      <w:pPr>
        <w:rPr>
          <w:rFonts w:ascii="Arial" w:hAnsi="Arial" w:cs="Arial"/>
          <w:sz w:val="22"/>
          <w:szCs w:val="22"/>
        </w:rPr>
      </w:pPr>
    </w:p>
    <w:p w14:paraId="4E7743BE" w14:textId="77777777" w:rsidR="00F01A0B" w:rsidRPr="00A41835" w:rsidRDefault="00F01A0B" w:rsidP="00A41835">
      <w:pPr>
        <w:rPr>
          <w:rFonts w:ascii="Arial" w:hAnsi="Arial" w:cs="Arial"/>
          <w:sz w:val="22"/>
          <w:szCs w:val="22"/>
        </w:rPr>
      </w:pPr>
    </w:p>
    <w:p w14:paraId="70BB21A0" w14:textId="77777777" w:rsidR="004D1FB9" w:rsidRPr="007E6A06" w:rsidRDefault="004D1FB9" w:rsidP="00C610AD">
      <w:pPr>
        <w:rPr>
          <w:rFonts w:ascii="Arial" w:hAnsi="Arial" w:cs="Arial"/>
          <w:sz w:val="22"/>
          <w:szCs w:val="22"/>
          <w:u w:val="single"/>
        </w:rPr>
      </w:pPr>
    </w:p>
    <w:p w14:paraId="38A7CFE2" w14:textId="77777777" w:rsidR="007E6A06" w:rsidRDefault="007E6A06" w:rsidP="00C610AD">
      <w:pPr>
        <w:rPr>
          <w:rFonts w:ascii="Arial" w:hAnsi="Arial" w:cs="Arial"/>
          <w:sz w:val="22"/>
          <w:szCs w:val="22"/>
        </w:rPr>
      </w:pPr>
    </w:p>
    <w:p w14:paraId="6FB01967" w14:textId="77777777" w:rsidR="007E6A06" w:rsidRPr="00C610AD" w:rsidRDefault="007E6A06" w:rsidP="00C610AD">
      <w:pPr>
        <w:rPr>
          <w:rFonts w:ascii="Arial" w:hAnsi="Arial" w:cs="Arial"/>
          <w:sz w:val="22"/>
          <w:szCs w:val="22"/>
        </w:rPr>
      </w:pPr>
    </w:p>
    <w:p w14:paraId="3AB95BA6" w14:textId="4E83BACF" w:rsidR="00732440" w:rsidRPr="00732440" w:rsidRDefault="00732440" w:rsidP="00732440">
      <w:pPr>
        <w:rPr>
          <w:rFonts w:ascii="Arial" w:hAnsi="Arial" w:cs="Arial"/>
          <w:sz w:val="22"/>
          <w:szCs w:val="22"/>
        </w:rPr>
      </w:pPr>
    </w:p>
    <w:p w14:paraId="66003588" w14:textId="7471BF25" w:rsidR="00CB1C8C" w:rsidRDefault="00CB1C8C">
      <w:pPr>
        <w:rPr>
          <w:rFonts w:ascii="Arial" w:hAnsi="Arial" w:cs="Arial"/>
          <w:sz w:val="22"/>
          <w:szCs w:val="22"/>
          <w:u w:val="single"/>
        </w:rPr>
      </w:pPr>
      <w:r w:rsidRPr="00654618">
        <w:rPr>
          <w:rFonts w:ascii="Arial" w:hAnsi="Arial" w:cs="Arial"/>
          <w:sz w:val="22"/>
          <w:szCs w:val="22"/>
          <w:u w:val="single"/>
        </w:rPr>
        <w:br w:type="page"/>
      </w:r>
    </w:p>
    <w:p w14:paraId="654B348D" w14:textId="77777777" w:rsidR="00654618" w:rsidRPr="00654618" w:rsidRDefault="00654618">
      <w:pPr>
        <w:rPr>
          <w:rFonts w:ascii="Arial" w:hAnsi="Arial" w:cs="Arial"/>
          <w:sz w:val="22"/>
          <w:szCs w:val="22"/>
          <w:u w:val="single"/>
        </w:rPr>
      </w:pPr>
    </w:p>
    <w:p w14:paraId="2DF8C5C4" w14:textId="77777777" w:rsidR="00CB1C8C" w:rsidRPr="00CB1C8C" w:rsidRDefault="00CB1C8C">
      <w:pPr>
        <w:rPr>
          <w:rFonts w:ascii="Arial" w:hAnsi="Arial" w:cs="Arial"/>
          <w:sz w:val="22"/>
          <w:szCs w:val="22"/>
        </w:rPr>
      </w:pPr>
    </w:p>
    <w:sectPr w:rsidR="00CB1C8C" w:rsidRPr="00CB1C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C8C"/>
    <w:rsid w:val="000208B7"/>
    <w:rsid w:val="00191F5A"/>
    <w:rsid w:val="001E54CE"/>
    <w:rsid w:val="00220F00"/>
    <w:rsid w:val="003826B0"/>
    <w:rsid w:val="004A1F61"/>
    <w:rsid w:val="004D1FB9"/>
    <w:rsid w:val="00553D74"/>
    <w:rsid w:val="005E43DB"/>
    <w:rsid w:val="005E6C49"/>
    <w:rsid w:val="00631916"/>
    <w:rsid w:val="006434C0"/>
    <w:rsid w:val="00654618"/>
    <w:rsid w:val="00721417"/>
    <w:rsid w:val="00732440"/>
    <w:rsid w:val="007E6A06"/>
    <w:rsid w:val="007F682C"/>
    <w:rsid w:val="00895B9C"/>
    <w:rsid w:val="008E1C2B"/>
    <w:rsid w:val="008F3046"/>
    <w:rsid w:val="00985A4C"/>
    <w:rsid w:val="00A05102"/>
    <w:rsid w:val="00A16ADA"/>
    <w:rsid w:val="00A41835"/>
    <w:rsid w:val="00B72D78"/>
    <w:rsid w:val="00BE259F"/>
    <w:rsid w:val="00BE7A48"/>
    <w:rsid w:val="00BF7938"/>
    <w:rsid w:val="00C610AD"/>
    <w:rsid w:val="00CB17FB"/>
    <w:rsid w:val="00CB1C8C"/>
    <w:rsid w:val="00D145CA"/>
    <w:rsid w:val="00F01A0B"/>
    <w:rsid w:val="00F66A21"/>
    <w:rsid w:val="00F848AA"/>
    <w:rsid w:val="00FD6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44E3A"/>
  <w15:chartTrackingRefBased/>
  <w15:docId w15:val="{B926281F-8C43-4572-AE25-2420EC232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C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1C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1C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C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C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C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1C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1C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C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C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C8C"/>
    <w:rPr>
      <w:rFonts w:eastAsiaTheme="majorEastAsia" w:cstheme="majorBidi"/>
      <w:color w:val="272727" w:themeColor="text1" w:themeTint="D8"/>
    </w:rPr>
  </w:style>
  <w:style w:type="paragraph" w:styleId="Title">
    <w:name w:val="Title"/>
    <w:basedOn w:val="Normal"/>
    <w:next w:val="Normal"/>
    <w:link w:val="TitleChar"/>
    <w:uiPriority w:val="10"/>
    <w:qFormat/>
    <w:rsid w:val="00CB1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C8C"/>
    <w:pPr>
      <w:spacing w:before="160"/>
      <w:jc w:val="center"/>
    </w:pPr>
    <w:rPr>
      <w:i/>
      <w:iCs/>
      <w:color w:val="404040" w:themeColor="text1" w:themeTint="BF"/>
    </w:rPr>
  </w:style>
  <w:style w:type="character" w:customStyle="1" w:styleId="QuoteChar">
    <w:name w:val="Quote Char"/>
    <w:basedOn w:val="DefaultParagraphFont"/>
    <w:link w:val="Quote"/>
    <w:uiPriority w:val="29"/>
    <w:rsid w:val="00CB1C8C"/>
    <w:rPr>
      <w:i/>
      <w:iCs/>
      <w:color w:val="404040" w:themeColor="text1" w:themeTint="BF"/>
    </w:rPr>
  </w:style>
  <w:style w:type="paragraph" w:styleId="ListParagraph">
    <w:name w:val="List Paragraph"/>
    <w:basedOn w:val="Normal"/>
    <w:uiPriority w:val="34"/>
    <w:qFormat/>
    <w:rsid w:val="00CB1C8C"/>
    <w:pPr>
      <w:ind w:left="720"/>
      <w:contextualSpacing/>
    </w:pPr>
  </w:style>
  <w:style w:type="character" w:styleId="IntenseEmphasis">
    <w:name w:val="Intense Emphasis"/>
    <w:basedOn w:val="DefaultParagraphFont"/>
    <w:uiPriority w:val="21"/>
    <w:qFormat/>
    <w:rsid w:val="00CB1C8C"/>
    <w:rPr>
      <w:i/>
      <w:iCs/>
      <w:color w:val="0F4761" w:themeColor="accent1" w:themeShade="BF"/>
    </w:rPr>
  </w:style>
  <w:style w:type="paragraph" w:styleId="IntenseQuote">
    <w:name w:val="Intense Quote"/>
    <w:basedOn w:val="Normal"/>
    <w:next w:val="Normal"/>
    <w:link w:val="IntenseQuoteChar"/>
    <w:uiPriority w:val="30"/>
    <w:qFormat/>
    <w:rsid w:val="00CB1C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C8C"/>
    <w:rPr>
      <w:i/>
      <w:iCs/>
      <w:color w:val="0F4761" w:themeColor="accent1" w:themeShade="BF"/>
    </w:rPr>
  </w:style>
  <w:style w:type="character" w:styleId="IntenseReference">
    <w:name w:val="Intense Reference"/>
    <w:basedOn w:val="DefaultParagraphFont"/>
    <w:uiPriority w:val="32"/>
    <w:qFormat/>
    <w:rsid w:val="00CB1C8C"/>
    <w:rPr>
      <w:b/>
      <w:bCs/>
      <w:smallCaps/>
      <w:color w:val="0F4761" w:themeColor="accent1" w:themeShade="BF"/>
      <w:spacing w:val="5"/>
    </w:rPr>
  </w:style>
  <w:style w:type="character" w:styleId="Hyperlink">
    <w:name w:val="Hyperlink"/>
    <w:basedOn w:val="DefaultParagraphFont"/>
    <w:uiPriority w:val="99"/>
    <w:unhideWhenUsed/>
    <w:rsid w:val="00985A4C"/>
    <w:rPr>
      <w:color w:val="467886" w:themeColor="hyperlink"/>
      <w:u w:val="single"/>
    </w:rPr>
  </w:style>
  <w:style w:type="character" w:styleId="UnresolvedMention">
    <w:name w:val="Unresolved Mention"/>
    <w:basedOn w:val="DefaultParagraphFont"/>
    <w:uiPriority w:val="99"/>
    <w:semiHidden/>
    <w:unhideWhenUsed/>
    <w:rsid w:val="00985A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 TargetMode="External"/><Relationship Id="rId3" Type="http://schemas.openxmlformats.org/officeDocument/2006/relationships/webSettings" Target="webSettings.xml"/><Relationship Id="rId7" Type="http://schemas.openxmlformats.org/officeDocument/2006/relationships/hyperlink" Target="https://www.legislation.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 TargetMode="External"/><Relationship Id="rId5" Type="http://schemas.openxmlformats.org/officeDocument/2006/relationships/hyperlink" Target="https://www.cqc.org.uk" TargetMode="External"/><Relationship Id="rId10" Type="http://schemas.openxmlformats.org/officeDocument/2006/relationships/theme" Target="theme/theme1.xml"/><Relationship Id="rId4" Type="http://schemas.openxmlformats.org/officeDocument/2006/relationships/hyperlink" Target="https://www.legislation.gov.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2138</Words>
  <Characters>12192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Sidrah Javed (2238819)</dc:creator>
  <cp:keywords/>
  <dc:description/>
  <cp:lastModifiedBy>Sidrah Javed (2238819)</cp:lastModifiedBy>
  <cp:revision>2</cp:revision>
  <dcterms:created xsi:type="dcterms:W3CDTF">2025-12-05T18:06:00Z</dcterms:created>
  <dcterms:modified xsi:type="dcterms:W3CDTF">2025-12-05T18:06:00Z</dcterms:modified>
</cp:coreProperties>
</file>