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03C" w:rsidRDefault="0080103C" w:rsidP="007C4AAF">
      <w:pPr>
        <w:spacing w:before="240"/>
        <w:rPr>
          <w:rFonts w:ascii="Times New Roman" w:hAnsi="Times New Roman" w:cs="Times New Roman"/>
          <w:sz w:val="24"/>
          <w:szCs w:val="24"/>
        </w:rPr>
      </w:pPr>
    </w:p>
    <w:p w:rsidR="0080103C" w:rsidRDefault="0080103C" w:rsidP="007C4AAF">
      <w:pPr>
        <w:spacing w:before="240"/>
        <w:rPr>
          <w:rFonts w:ascii="Times New Roman" w:hAnsi="Times New Roman" w:cs="Times New Roman"/>
          <w:sz w:val="24"/>
          <w:szCs w:val="24"/>
        </w:rPr>
      </w:pPr>
    </w:p>
    <w:p w:rsidR="003C36B8" w:rsidRDefault="002B6951"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The curriculum in which the Professional Teaching Experience is set is a degree programme which offers students the opportunity to gain a qualification which is focused on the progression of employability and career progression. The programme aims to introduce students with approaches, strategies and skills which are considered essential in employment and career progression. The design of the curriculum that the programme is established will be critiqued in terms of teaching and learning strategies utilised, assessment strategies and the objectives of the curriculum. </w:t>
      </w:r>
      <w:r w:rsidR="003C36B8">
        <w:rPr>
          <w:rFonts w:ascii="Times New Roman" w:hAnsi="Times New Roman" w:cs="Times New Roman"/>
          <w:sz w:val="24"/>
          <w:szCs w:val="24"/>
        </w:rPr>
        <w:t xml:space="preserve">The programme primarily consists of mature students and aims to provide a learning experience appropriate to the level of the students while allowing the students the opportunity to take responsibility over their own learning. The curriculum will be analysed and critiqued based on the learning objectives and teaching strategies to ensure that the students will learn the skills that the curriculum aims to deliver. </w:t>
      </w:r>
    </w:p>
    <w:p w:rsidR="00DD5524" w:rsidRDefault="002B6951"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t>The Curriculum is dissected in to various components based on Kelly’s Curriculum Theory. Within the</w:t>
      </w:r>
      <w:r w:rsidR="00DD5524">
        <w:rPr>
          <w:rFonts w:ascii="Times New Roman" w:hAnsi="Times New Roman" w:cs="Times New Roman"/>
          <w:sz w:val="24"/>
          <w:szCs w:val="24"/>
        </w:rPr>
        <w:t xml:space="preserve"> curriculum </w:t>
      </w:r>
      <w:r>
        <w:rPr>
          <w:rFonts w:ascii="Times New Roman" w:hAnsi="Times New Roman" w:cs="Times New Roman"/>
          <w:sz w:val="24"/>
          <w:szCs w:val="24"/>
        </w:rPr>
        <w:t xml:space="preserve">there consists of </w:t>
      </w:r>
      <w:r w:rsidR="00DD5524">
        <w:rPr>
          <w:rFonts w:ascii="Times New Roman" w:hAnsi="Times New Roman" w:cs="Times New Roman"/>
          <w:sz w:val="24"/>
          <w:szCs w:val="24"/>
        </w:rPr>
        <w:t xml:space="preserve">seven components, the educational curriculum </w:t>
      </w:r>
      <w:r w:rsidR="00B17804">
        <w:rPr>
          <w:rFonts w:ascii="Times New Roman" w:hAnsi="Times New Roman" w:cs="Times New Roman"/>
          <w:sz w:val="24"/>
          <w:szCs w:val="24"/>
        </w:rPr>
        <w:t xml:space="preserve">defines the teaching and learning objectives which takes place throughout the programme. The total curriculum which defines the whole learning programme and content that requires deep consideration and planning by teachers and academic planners. The ‘hidden’ curriculum includes the teaching of values and attitudes which are purposely taught without the student’s knowledge such as the values of the educational establishment. The planned curriculum and the received curriculum includes the teaching of the planned curriculum, however the students receiving the education is defined by the students experience of the learning. The formal and informal curriculum includes the formal aspects of the curriculum such as the set times and lessons of the programme while the informal curriculum defines the activities </w:t>
      </w:r>
      <w:r w:rsidR="00B17804">
        <w:rPr>
          <w:rFonts w:ascii="Times New Roman" w:hAnsi="Times New Roman" w:cs="Times New Roman"/>
          <w:sz w:val="24"/>
          <w:szCs w:val="24"/>
        </w:rPr>
        <w:lastRenderedPageBreak/>
        <w:t xml:space="preserve">within the educational establishment such as ‘extra-curricular’ activities allocated outside of the </w:t>
      </w:r>
      <w:r w:rsidR="00FE32FE">
        <w:rPr>
          <w:rFonts w:ascii="Times New Roman" w:hAnsi="Times New Roman" w:cs="Times New Roman"/>
          <w:sz w:val="24"/>
          <w:szCs w:val="24"/>
        </w:rPr>
        <w:t>set times of the formal curriculum.</w:t>
      </w:r>
      <w:r w:rsidR="00DD5524">
        <w:rPr>
          <w:rFonts w:ascii="Times New Roman" w:hAnsi="Times New Roman" w:cs="Times New Roman"/>
          <w:sz w:val="24"/>
          <w:szCs w:val="24"/>
        </w:rPr>
        <w:t xml:space="preserve"> </w:t>
      </w:r>
      <w:sdt>
        <w:sdtPr>
          <w:rPr>
            <w:rFonts w:ascii="Times New Roman" w:hAnsi="Times New Roman" w:cs="Times New Roman"/>
            <w:sz w:val="24"/>
            <w:szCs w:val="24"/>
          </w:rPr>
          <w:id w:val="795336066"/>
          <w:citation/>
        </w:sdtPr>
        <w:sdtEndPr/>
        <w:sdtContent>
          <w:r w:rsidR="00DD5524">
            <w:rPr>
              <w:rFonts w:ascii="Times New Roman" w:hAnsi="Times New Roman" w:cs="Times New Roman"/>
              <w:sz w:val="24"/>
              <w:szCs w:val="24"/>
            </w:rPr>
            <w:fldChar w:fldCharType="begin"/>
          </w:r>
          <w:r w:rsidR="00DD5524">
            <w:rPr>
              <w:rFonts w:ascii="Times New Roman" w:hAnsi="Times New Roman" w:cs="Times New Roman"/>
              <w:sz w:val="24"/>
              <w:szCs w:val="24"/>
            </w:rPr>
            <w:instrText xml:space="preserve"> CITATION Kel04 \l 2057 </w:instrText>
          </w:r>
          <w:r w:rsidR="00DD5524">
            <w:rPr>
              <w:rFonts w:ascii="Times New Roman" w:hAnsi="Times New Roman" w:cs="Times New Roman"/>
              <w:sz w:val="24"/>
              <w:szCs w:val="24"/>
            </w:rPr>
            <w:fldChar w:fldCharType="separate"/>
          </w:r>
          <w:r w:rsidR="00DD5524" w:rsidRPr="00DD5524">
            <w:rPr>
              <w:rFonts w:ascii="Times New Roman" w:hAnsi="Times New Roman" w:cs="Times New Roman"/>
              <w:noProof/>
              <w:sz w:val="24"/>
              <w:szCs w:val="24"/>
            </w:rPr>
            <w:t>(Kelly, 2004)</w:t>
          </w:r>
          <w:r w:rsidR="00DD5524">
            <w:rPr>
              <w:rFonts w:ascii="Times New Roman" w:hAnsi="Times New Roman" w:cs="Times New Roman"/>
              <w:sz w:val="24"/>
              <w:szCs w:val="24"/>
            </w:rPr>
            <w:fldChar w:fldCharType="end"/>
          </w:r>
        </w:sdtContent>
      </w:sdt>
      <w:r w:rsidR="00725E76">
        <w:rPr>
          <w:rFonts w:ascii="Times New Roman" w:hAnsi="Times New Roman" w:cs="Times New Roman"/>
          <w:sz w:val="24"/>
          <w:szCs w:val="24"/>
        </w:rPr>
        <w:t xml:space="preserve"> The curriculum will be analysed and critiqued based on Kelly’</w:t>
      </w:r>
      <w:r w:rsidR="00F43A53">
        <w:rPr>
          <w:rFonts w:ascii="Times New Roman" w:hAnsi="Times New Roman" w:cs="Times New Roman"/>
          <w:sz w:val="24"/>
          <w:szCs w:val="24"/>
        </w:rPr>
        <w:t>s Curriculum theory and critiqued on the various components that the curriculum integrated within the professional teaching experience.</w:t>
      </w:r>
    </w:p>
    <w:p w:rsidR="005224B4" w:rsidRDefault="007A7432" w:rsidP="00B02AA6">
      <w:pPr>
        <w:spacing w:line="480" w:lineRule="auto"/>
        <w:rPr>
          <w:rFonts w:ascii="Times New Roman" w:hAnsi="Times New Roman" w:cs="Times New Roman"/>
          <w:sz w:val="24"/>
          <w:szCs w:val="24"/>
        </w:rPr>
      </w:pPr>
      <w:r>
        <w:rPr>
          <w:rFonts w:ascii="Times New Roman" w:hAnsi="Times New Roman" w:cs="Times New Roman"/>
          <w:sz w:val="24"/>
          <w:szCs w:val="24"/>
        </w:rPr>
        <w:t>The official curriculum of the Professional Teaching Experience is focused on the development of skills in preparation for the workplace for the students to learn new skills and experiences in order to enhance their careers or embark on a new career.</w:t>
      </w:r>
      <w:r w:rsidR="0080103C">
        <w:rPr>
          <w:rFonts w:ascii="Times New Roman" w:hAnsi="Times New Roman" w:cs="Times New Roman"/>
          <w:sz w:val="24"/>
          <w:szCs w:val="24"/>
        </w:rPr>
        <w:t xml:space="preserve"> The methods of assessing the </w:t>
      </w:r>
      <w:r w:rsidR="003C36B8">
        <w:rPr>
          <w:rFonts w:ascii="Times New Roman" w:hAnsi="Times New Roman" w:cs="Times New Roman"/>
          <w:sz w:val="24"/>
          <w:szCs w:val="24"/>
        </w:rPr>
        <w:t>students’</w:t>
      </w:r>
      <w:r w:rsidR="0080103C">
        <w:rPr>
          <w:rFonts w:ascii="Times New Roman" w:hAnsi="Times New Roman" w:cs="Times New Roman"/>
          <w:sz w:val="24"/>
          <w:szCs w:val="24"/>
        </w:rPr>
        <w:t xml:space="preserve"> progress throughout </w:t>
      </w:r>
      <w:r w:rsidR="003C36B8">
        <w:rPr>
          <w:rFonts w:ascii="Times New Roman" w:hAnsi="Times New Roman" w:cs="Times New Roman"/>
          <w:sz w:val="24"/>
          <w:szCs w:val="24"/>
        </w:rPr>
        <w:t>the programme</w:t>
      </w:r>
      <w:r w:rsidR="005B26F9">
        <w:rPr>
          <w:rFonts w:ascii="Times New Roman" w:hAnsi="Times New Roman" w:cs="Times New Roman"/>
          <w:sz w:val="24"/>
          <w:szCs w:val="24"/>
        </w:rPr>
        <w:t xml:space="preserve"> assignments, reports and research based learning. </w:t>
      </w:r>
      <w:r w:rsidR="005224B4">
        <w:rPr>
          <w:rFonts w:ascii="Times New Roman" w:hAnsi="Times New Roman" w:cs="Times New Roman"/>
          <w:sz w:val="24"/>
          <w:szCs w:val="24"/>
        </w:rPr>
        <w:t xml:space="preserve">Summative assessment overlooks the progress of the learners and attains to the standards of examinations and a marking criteria. There are many shortcomings in term of measuring a </w:t>
      </w:r>
      <w:r w:rsidR="003C36B8">
        <w:rPr>
          <w:rFonts w:ascii="Times New Roman" w:hAnsi="Times New Roman" w:cs="Times New Roman"/>
          <w:sz w:val="24"/>
          <w:szCs w:val="24"/>
        </w:rPr>
        <w:t>student’s</w:t>
      </w:r>
      <w:r w:rsidR="005224B4">
        <w:rPr>
          <w:rFonts w:ascii="Times New Roman" w:hAnsi="Times New Roman" w:cs="Times New Roman"/>
          <w:sz w:val="24"/>
          <w:szCs w:val="24"/>
        </w:rPr>
        <w:t xml:space="preserve"> progress through the method of summative assessment as it limits the </w:t>
      </w:r>
      <w:r w:rsidR="003C36B8">
        <w:rPr>
          <w:rFonts w:ascii="Times New Roman" w:hAnsi="Times New Roman" w:cs="Times New Roman"/>
          <w:sz w:val="24"/>
          <w:szCs w:val="24"/>
        </w:rPr>
        <w:t>student’s</w:t>
      </w:r>
      <w:r w:rsidR="005224B4">
        <w:rPr>
          <w:rFonts w:ascii="Times New Roman" w:hAnsi="Times New Roman" w:cs="Times New Roman"/>
          <w:sz w:val="24"/>
          <w:szCs w:val="24"/>
        </w:rPr>
        <w:t xml:space="preserve"> capabilities and potent</w:t>
      </w:r>
      <w:r w:rsidR="005B26F9">
        <w:rPr>
          <w:rFonts w:ascii="Times New Roman" w:hAnsi="Times New Roman" w:cs="Times New Roman"/>
          <w:sz w:val="24"/>
          <w:szCs w:val="24"/>
        </w:rPr>
        <w:t xml:space="preserve">ials through a rigid criteria. </w:t>
      </w:r>
      <w:sdt>
        <w:sdtPr>
          <w:rPr>
            <w:rFonts w:ascii="Times New Roman" w:hAnsi="Times New Roman" w:cs="Times New Roman"/>
            <w:sz w:val="24"/>
            <w:szCs w:val="24"/>
          </w:rPr>
          <w:id w:val="200076634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Bla09 \p 140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A7432">
            <w:rPr>
              <w:rFonts w:ascii="Times New Roman" w:hAnsi="Times New Roman" w:cs="Times New Roman"/>
              <w:noProof/>
              <w:sz w:val="24"/>
              <w:szCs w:val="24"/>
            </w:rPr>
            <w:t>(Blanchard, 2009, p. 140)</w:t>
          </w:r>
          <w:r>
            <w:rPr>
              <w:rFonts w:ascii="Times New Roman" w:hAnsi="Times New Roman" w:cs="Times New Roman"/>
              <w:sz w:val="24"/>
              <w:szCs w:val="24"/>
            </w:rPr>
            <w:fldChar w:fldCharType="end"/>
          </w:r>
        </w:sdtContent>
      </w:sdt>
      <w:r w:rsidR="005B26F9">
        <w:rPr>
          <w:rFonts w:ascii="Times New Roman" w:hAnsi="Times New Roman" w:cs="Times New Roman"/>
          <w:sz w:val="24"/>
          <w:szCs w:val="24"/>
        </w:rPr>
        <w:t xml:space="preserve">  As Blanchard has discussed the use of formative assessment can limit the students potential and achievements which in this particular programme should be valued and encouraged as the students are mature students who should be given more control and agency over their own learning. These capabilities and potentials are introduced to the students from the </w:t>
      </w:r>
      <w:r w:rsidR="003C36B8">
        <w:rPr>
          <w:rFonts w:ascii="Times New Roman" w:hAnsi="Times New Roman" w:cs="Times New Roman"/>
          <w:sz w:val="24"/>
          <w:szCs w:val="24"/>
        </w:rPr>
        <w:t>teacher’s</w:t>
      </w:r>
      <w:r w:rsidR="005B26F9">
        <w:rPr>
          <w:rFonts w:ascii="Times New Roman" w:hAnsi="Times New Roman" w:cs="Times New Roman"/>
          <w:sz w:val="24"/>
          <w:szCs w:val="24"/>
        </w:rPr>
        <w:t xml:space="preserve"> encouragement and support throughout the programme.</w:t>
      </w:r>
    </w:p>
    <w:p w:rsidR="002E1FC0" w:rsidRDefault="008A3D1C"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t>As Kelly’ theory suggested there are certain values and attitudes that are imparted within the curriculum however t</w:t>
      </w:r>
      <w:r w:rsidR="002E1FC0">
        <w:rPr>
          <w:rFonts w:ascii="Times New Roman" w:hAnsi="Times New Roman" w:cs="Times New Roman"/>
          <w:sz w:val="24"/>
          <w:szCs w:val="24"/>
        </w:rPr>
        <w:t xml:space="preserve">he term ‘hidden’ curriculum conjures up the image that educational establishments are attempting to conceal the teachings of certain values and attitudes, however the term is misleading when the values and attitudes imparted </w:t>
      </w:r>
      <w:r w:rsidR="00725E76">
        <w:rPr>
          <w:rFonts w:ascii="Times New Roman" w:hAnsi="Times New Roman" w:cs="Times New Roman"/>
          <w:sz w:val="24"/>
          <w:szCs w:val="24"/>
        </w:rPr>
        <w:t>upon students can be viewed in clear sight</w:t>
      </w:r>
      <w:r>
        <w:rPr>
          <w:rFonts w:ascii="Times New Roman" w:hAnsi="Times New Roman" w:cs="Times New Roman"/>
          <w:sz w:val="24"/>
          <w:szCs w:val="24"/>
        </w:rPr>
        <w:t xml:space="preserve"> (Gair &amp; Mullins 2001)</w:t>
      </w:r>
      <w:r w:rsidR="001A0593">
        <w:rPr>
          <w:rFonts w:ascii="Times New Roman" w:hAnsi="Times New Roman" w:cs="Times New Roman"/>
          <w:sz w:val="24"/>
          <w:szCs w:val="24"/>
        </w:rPr>
        <w:t xml:space="preserve"> The values and attitudes taught within the curriculum focuses on the students attitudes towards their own self-learning and capabilities within the learning programme. The curriculum has been tailored to ensure that each student has the potential to complete the programme and gain new skills and attitudes towards </w:t>
      </w:r>
      <w:r w:rsidR="001A0593">
        <w:rPr>
          <w:rFonts w:ascii="Times New Roman" w:hAnsi="Times New Roman" w:cs="Times New Roman"/>
          <w:sz w:val="24"/>
          <w:szCs w:val="24"/>
        </w:rPr>
        <w:lastRenderedPageBreak/>
        <w:t xml:space="preserve">themselves and others through the support and values of self-worth and positive reinforcement. </w:t>
      </w:r>
      <w:r w:rsidR="00645A86">
        <w:rPr>
          <w:rFonts w:ascii="Times New Roman" w:hAnsi="Times New Roman" w:cs="Times New Roman"/>
          <w:sz w:val="24"/>
          <w:szCs w:val="24"/>
        </w:rPr>
        <w:t xml:space="preserve">The students are mature students that need support and guidance throughout the programme while allowing them to take control over their own learning and responsibility for their work. However, within the programme it is difficult to fully measure the </w:t>
      </w:r>
      <w:r w:rsidR="003C36B8">
        <w:rPr>
          <w:rFonts w:ascii="Times New Roman" w:hAnsi="Times New Roman" w:cs="Times New Roman"/>
          <w:sz w:val="24"/>
          <w:szCs w:val="24"/>
        </w:rPr>
        <w:t>student’s</w:t>
      </w:r>
      <w:r w:rsidR="00645A86">
        <w:rPr>
          <w:rFonts w:ascii="Times New Roman" w:hAnsi="Times New Roman" w:cs="Times New Roman"/>
          <w:sz w:val="24"/>
          <w:szCs w:val="24"/>
        </w:rPr>
        <w:t xml:space="preserve"> personal feelings and opinions of the work as th</w:t>
      </w:r>
      <w:r w:rsidR="003C36B8">
        <w:rPr>
          <w:rFonts w:ascii="Times New Roman" w:hAnsi="Times New Roman" w:cs="Times New Roman"/>
          <w:sz w:val="24"/>
          <w:szCs w:val="24"/>
        </w:rPr>
        <w:t>ere are not enough tasks and st</w:t>
      </w:r>
      <w:r w:rsidR="00645A86">
        <w:rPr>
          <w:rFonts w:ascii="Times New Roman" w:hAnsi="Times New Roman" w:cs="Times New Roman"/>
          <w:sz w:val="24"/>
          <w:szCs w:val="24"/>
        </w:rPr>
        <w:t>r</w:t>
      </w:r>
      <w:r w:rsidR="003C36B8">
        <w:rPr>
          <w:rFonts w:ascii="Times New Roman" w:hAnsi="Times New Roman" w:cs="Times New Roman"/>
          <w:sz w:val="24"/>
          <w:szCs w:val="24"/>
        </w:rPr>
        <w:t>a</w:t>
      </w:r>
      <w:r w:rsidR="00645A86">
        <w:rPr>
          <w:rFonts w:ascii="Times New Roman" w:hAnsi="Times New Roman" w:cs="Times New Roman"/>
          <w:sz w:val="24"/>
          <w:szCs w:val="24"/>
        </w:rPr>
        <w:t>tegies within the curriculum which allows them to put what they have learnt into practice.</w:t>
      </w:r>
    </w:p>
    <w:p w:rsidR="005224B4" w:rsidRDefault="001A0593"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The Observed Curriculum within the programme involves observing the </w:t>
      </w:r>
      <w:r w:rsidR="003C36B8">
        <w:rPr>
          <w:rFonts w:ascii="Times New Roman" w:hAnsi="Times New Roman" w:cs="Times New Roman"/>
          <w:sz w:val="24"/>
          <w:szCs w:val="24"/>
        </w:rPr>
        <w:t>students’</w:t>
      </w:r>
      <w:r>
        <w:rPr>
          <w:rFonts w:ascii="Times New Roman" w:hAnsi="Times New Roman" w:cs="Times New Roman"/>
          <w:sz w:val="24"/>
          <w:szCs w:val="24"/>
        </w:rPr>
        <w:t xml:space="preserve"> progress throughout the year. </w:t>
      </w:r>
      <w:r w:rsidR="00AD38B0">
        <w:rPr>
          <w:rFonts w:ascii="Times New Roman" w:hAnsi="Times New Roman" w:cs="Times New Roman"/>
          <w:sz w:val="24"/>
          <w:szCs w:val="24"/>
        </w:rPr>
        <w:t xml:space="preserve">Within the </w:t>
      </w:r>
      <w:r w:rsidR="00AB369C">
        <w:rPr>
          <w:rFonts w:ascii="Times New Roman" w:hAnsi="Times New Roman" w:cs="Times New Roman"/>
          <w:sz w:val="24"/>
          <w:szCs w:val="24"/>
        </w:rPr>
        <w:t xml:space="preserve">PTE </w:t>
      </w:r>
      <w:r w:rsidR="00AD38B0">
        <w:rPr>
          <w:rFonts w:ascii="Times New Roman" w:hAnsi="Times New Roman" w:cs="Times New Roman"/>
          <w:sz w:val="24"/>
          <w:szCs w:val="24"/>
        </w:rPr>
        <w:t xml:space="preserve">curriculum the </w:t>
      </w:r>
      <w:r w:rsidR="00AB369C">
        <w:rPr>
          <w:rFonts w:ascii="Times New Roman" w:hAnsi="Times New Roman" w:cs="Times New Roman"/>
          <w:sz w:val="24"/>
          <w:szCs w:val="24"/>
        </w:rPr>
        <w:t xml:space="preserve">summative </w:t>
      </w:r>
      <w:r w:rsidR="00AD38B0">
        <w:rPr>
          <w:rFonts w:ascii="Times New Roman" w:hAnsi="Times New Roman" w:cs="Times New Roman"/>
          <w:sz w:val="24"/>
          <w:szCs w:val="24"/>
        </w:rPr>
        <w:t xml:space="preserve">assessment strategies utilized within the programme are assessment through </w:t>
      </w:r>
      <w:r w:rsidR="00AB369C">
        <w:rPr>
          <w:rFonts w:ascii="Times New Roman" w:hAnsi="Times New Roman" w:cs="Times New Roman"/>
          <w:sz w:val="24"/>
          <w:szCs w:val="24"/>
        </w:rPr>
        <w:t>report writing and a reflective review on the concepts introduced within the module. Students are required to demonstrate their understanding of the learning programme and must gain a pass mark in</w:t>
      </w:r>
      <w:r w:rsidR="008A3D1C">
        <w:rPr>
          <w:rFonts w:ascii="Times New Roman" w:hAnsi="Times New Roman" w:cs="Times New Roman"/>
          <w:sz w:val="24"/>
          <w:szCs w:val="24"/>
        </w:rPr>
        <w:t xml:space="preserve"> order to complete their module through teacher led and course work based summative assessment. </w:t>
      </w:r>
      <w:r w:rsidR="00AB369C">
        <w:rPr>
          <w:rFonts w:ascii="Times New Roman" w:hAnsi="Times New Roman" w:cs="Times New Roman"/>
          <w:sz w:val="24"/>
          <w:szCs w:val="24"/>
        </w:rPr>
        <w:t xml:space="preserve"> </w:t>
      </w:r>
      <w:r w:rsidR="005224B4">
        <w:rPr>
          <w:rFonts w:ascii="Times New Roman" w:hAnsi="Times New Roman" w:cs="Times New Roman"/>
          <w:sz w:val="24"/>
          <w:szCs w:val="24"/>
        </w:rPr>
        <w:t xml:space="preserve">The disadvantage of summative assessment in higher education is the pressure on students to meet the criteria of examinations and the requirement of achieving a particular standard to continue their education. In doing so it may lead to students becoming unwilling to admit to difficulties understanding the topic, in order to successfully assess students the teacher must encourage and aim to improve the performance of students without the tension of a summative assessment (Sambell et al, 2012) </w:t>
      </w:r>
      <w:r w:rsidR="008A3D1C">
        <w:rPr>
          <w:rFonts w:ascii="Times New Roman" w:hAnsi="Times New Roman" w:cs="Times New Roman"/>
          <w:sz w:val="24"/>
          <w:szCs w:val="24"/>
        </w:rPr>
        <w:t>Some students find these forms of teaching and assessment challenging and demanding and risk losing their confidence</w:t>
      </w:r>
      <w:r>
        <w:rPr>
          <w:rFonts w:ascii="Times New Roman" w:hAnsi="Times New Roman" w:cs="Times New Roman"/>
          <w:sz w:val="24"/>
          <w:szCs w:val="24"/>
        </w:rPr>
        <w:t xml:space="preserve"> when they are given poor grades for </w:t>
      </w:r>
      <w:r w:rsidR="008A3D1C">
        <w:rPr>
          <w:rFonts w:ascii="Times New Roman" w:hAnsi="Times New Roman" w:cs="Times New Roman"/>
          <w:sz w:val="24"/>
          <w:szCs w:val="24"/>
        </w:rPr>
        <w:t xml:space="preserve">their work. </w:t>
      </w:r>
    </w:p>
    <w:p w:rsidR="0080103C" w:rsidRDefault="005B26F9"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t>It is difficult to understand how the learners experience the curriculum as a whole as t</w:t>
      </w:r>
      <w:r w:rsidR="007A7432">
        <w:rPr>
          <w:rFonts w:ascii="Times New Roman" w:hAnsi="Times New Roman" w:cs="Times New Roman"/>
          <w:sz w:val="24"/>
          <w:szCs w:val="24"/>
        </w:rPr>
        <w:t xml:space="preserve">he curriculum for the PTE relies heavily on the use of summative assessment strategies in order to observe the students development and understanding. The formative assessment utilized within the programme are quizzes and some reflective work to understand the </w:t>
      </w:r>
      <w:r w:rsidR="003C36B8">
        <w:rPr>
          <w:rFonts w:ascii="Times New Roman" w:hAnsi="Times New Roman" w:cs="Times New Roman"/>
          <w:sz w:val="24"/>
          <w:szCs w:val="24"/>
        </w:rPr>
        <w:t>student’s</w:t>
      </w:r>
      <w:r w:rsidR="007A7432">
        <w:rPr>
          <w:rFonts w:ascii="Times New Roman" w:hAnsi="Times New Roman" w:cs="Times New Roman"/>
          <w:sz w:val="24"/>
          <w:szCs w:val="24"/>
        </w:rPr>
        <w:t xml:space="preserve"> </w:t>
      </w:r>
      <w:r w:rsidR="007A7432">
        <w:rPr>
          <w:rFonts w:ascii="Times New Roman" w:hAnsi="Times New Roman" w:cs="Times New Roman"/>
          <w:sz w:val="24"/>
          <w:szCs w:val="24"/>
        </w:rPr>
        <w:lastRenderedPageBreak/>
        <w:t xml:space="preserve">experiences within the learning programme. </w:t>
      </w:r>
      <w:r w:rsidR="005224B4">
        <w:rPr>
          <w:rFonts w:ascii="Times New Roman" w:hAnsi="Times New Roman" w:cs="Times New Roman"/>
          <w:sz w:val="24"/>
          <w:szCs w:val="24"/>
        </w:rPr>
        <w:t xml:space="preserve">Formative assessment may only prove effective if the teacher takes into consideration the feedback from their students. In order for formative assessment to demonstrate effectiveness in a pedagogical perspective there must be evidence to demonstrate teachers ability to adapt their methods of teaching in order to improve the learning experience for the students </w:t>
      </w:r>
      <w:r w:rsidR="007A7432">
        <w:rPr>
          <w:rFonts w:ascii="Times New Roman" w:hAnsi="Times New Roman" w:cs="Times New Roman"/>
          <w:sz w:val="24"/>
          <w:szCs w:val="24"/>
        </w:rPr>
        <w:t>(Ecclestone et al, 2010.</w:t>
      </w:r>
      <w:r w:rsidR="005224B4">
        <w:rPr>
          <w:rFonts w:ascii="Times New Roman" w:hAnsi="Times New Roman" w:cs="Times New Roman"/>
          <w:sz w:val="24"/>
          <w:szCs w:val="24"/>
        </w:rPr>
        <w:t>p.35)</w:t>
      </w:r>
      <w:r w:rsidR="0080103C">
        <w:rPr>
          <w:rFonts w:ascii="Times New Roman" w:hAnsi="Times New Roman" w:cs="Times New Roman"/>
          <w:sz w:val="24"/>
          <w:szCs w:val="24"/>
        </w:rPr>
        <w:t xml:space="preserve"> In order to include more formative assessment strategies the curriculum must take into consideration the needs and circumstances of their learners. Many of the learners within the programme have been away from formal education for a number of years and find some of the elements of </w:t>
      </w:r>
      <w:r w:rsidR="008A3D1C">
        <w:rPr>
          <w:rFonts w:ascii="Times New Roman" w:hAnsi="Times New Roman" w:cs="Times New Roman"/>
          <w:sz w:val="24"/>
          <w:szCs w:val="24"/>
        </w:rPr>
        <w:t>summative a</w:t>
      </w:r>
      <w:r>
        <w:rPr>
          <w:rFonts w:ascii="Times New Roman" w:hAnsi="Times New Roman" w:cs="Times New Roman"/>
          <w:sz w:val="24"/>
          <w:szCs w:val="24"/>
        </w:rPr>
        <w:t xml:space="preserve">ssessment within the programme difficult. It may be more appropriate to include more reflective pieces of work within the lesson in order to view the </w:t>
      </w:r>
      <w:r w:rsidR="003C36B8">
        <w:rPr>
          <w:rFonts w:ascii="Times New Roman" w:hAnsi="Times New Roman" w:cs="Times New Roman"/>
          <w:sz w:val="24"/>
          <w:szCs w:val="24"/>
        </w:rPr>
        <w:t>student’s</w:t>
      </w:r>
      <w:r>
        <w:rPr>
          <w:rFonts w:ascii="Times New Roman" w:hAnsi="Times New Roman" w:cs="Times New Roman"/>
          <w:sz w:val="24"/>
          <w:szCs w:val="24"/>
        </w:rPr>
        <w:t xml:space="preserve"> experience of the curriculum through their own understanding of the programme. </w:t>
      </w:r>
    </w:p>
    <w:p w:rsidR="005224B4" w:rsidRDefault="001A0593"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t>The critique of the curriculum design has revealed that relies heavily on summative assessment methods to observe the students achiev</w:t>
      </w:r>
      <w:r w:rsidR="005B26F9">
        <w:rPr>
          <w:rFonts w:ascii="Times New Roman" w:hAnsi="Times New Roman" w:cs="Times New Roman"/>
          <w:sz w:val="24"/>
          <w:szCs w:val="24"/>
        </w:rPr>
        <w:t>e</w:t>
      </w:r>
      <w:r>
        <w:rPr>
          <w:rFonts w:ascii="Times New Roman" w:hAnsi="Times New Roman" w:cs="Times New Roman"/>
          <w:sz w:val="24"/>
          <w:szCs w:val="24"/>
        </w:rPr>
        <w:t xml:space="preserve">ments and progress throughout the programme. Some of the methods of assessment are arguably inappropriate for the learners studying at that particular level and does not take into consideration that many of the learners have not entered an educational setting for some time. From what has been discussed through the formative and summative assessments utilised within the programme it may be </w:t>
      </w:r>
      <w:r w:rsidR="005B26F9">
        <w:rPr>
          <w:rFonts w:ascii="Times New Roman" w:hAnsi="Times New Roman" w:cs="Times New Roman"/>
          <w:sz w:val="24"/>
          <w:szCs w:val="24"/>
        </w:rPr>
        <w:t xml:space="preserve">advisable for the curriculum to focus more on formative assessment and students based learning in order to value students skills and experience more than a formal academic method of assessment. </w:t>
      </w:r>
      <w:r w:rsidR="003C36B8">
        <w:rPr>
          <w:rFonts w:ascii="Times New Roman" w:hAnsi="Times New Roman" w:cs="Times New Roman"/>
          <w:sz w:val="24"/>
          <w:szCs w:val="24"/>
        </w:rPr>
        <w:t xml:space="preserve">The programme should consider more teaching strategies which allows the students to learn the valuable skills needed for the work place through experience and task based learning. </w:t>
      </w:r>
    </w:p>
    <w:p w:rsidR="00DF29DF" w:rsidRDefault="00DF29DF" w:rsidP="00B02AA6">
      <w:pPr>
        <w:spacing w:before="240" w:line="480" w:lineRule="auto"/>
        <w:rPr>
          <w:rFonts w:ascii="Times New Roman" w:hAnsi="Times New Roman" w:cs="Times New Roman"/>
          <w:sz w:val="24"/>
          <w:szCs w:val="24"/>
        </w:rPr>
      </w:pPr>
    </w:p>
    <w:p w:rsidR="002E1FC0" w:rsidRDefault="002E1FC0" w:rsidP="00B02AA6">
      <w:pPr>
        <w:spacing w:before="240" w:line="480" w:lineRule="auto"/>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02AA6" w:rsidRPr="00B02AA6" w:rsidRDefault="00B02AA6" w:rsidP="00B02AA6">
      <w:pPr>
        <w:keepNext/>
        <w:keepLines/>
        <w:spacing w:before="240" w:after="0" w:line="480" w:lineRule="auto"/>
        <w:outlineLvl w:val="0"/>
        <w:rPr>
          <w:rFonts w:ascii="Times New Roman" w:eastAsiaTheme="majorEastAsia" w:hAnsi="Times New Roman" w:cs="Times New Roman"/>
          <w:color w:val="2E74B5" w:themeColor="accent1" w:themeShade="BF"/>
          <w:sz w:val="40"/>
          <w:szCs w:val="40"/>
        </w:rPr>
      </w:pPr>
      <w:r w:rsidRPr="00B02AA6">
        <w:rPr>
          <w:rFonts w:ascii="Times New Roman" w:eastAsiaTheme="majorEastAsia" w:hAnsi="Times New Roman" w:cs="Times New Roman"/>
          <w:color w:val="2E74B5" w:themeColor="accent1" w:themeShade="BF"/>
          <w:sz w:val="40"/>
          <w:szCs w:val="40"/>
        </w:rPr>
        <w:t xml:space="preserve">Comprehensive Rational </w:t>
      </w:r>
    </w:p>
    <w:p w:rsidR="00B02AA6" w:rsidRPr="00B02AA6" w:rsidRDefault="00B02AA6" w:rsidP="00B02AA6">
      <w:pPr>
        <w:spacing w:line="480" w:lineRule="auto"/>
      </w:pPr>
    </w:p>
    <w:p w:rsidR="00B02AA6" w:rsidRPr="00B02AA6" w:rsidRDefault="00B02AA6" w:rsidP="00B02AA6">
      <w:pPr>
        <w:keepNext/>
        <w:keepLines/>
        <w:spacing w:before="40" w:after="0" w:line="480" w:lineRule="auto"/>
        <w:outlineLvl w:val="1"/>
        <w:rPr>
          <w:rFonts w:asciiTheme="majorHAnsi" w:eastAsiaTheme="majorEastAsia" w:hAnsiTheme="majorHAnsi" w:cstheme="majorBidi"/>
          <w:b/>
          <w:color w:val="2E74B5" w:themeColor="accent1" w:themeShade="BF"/>
          <w:sz w:val="26"/>
          <w:szCs w:val="26"/>
        </w:rPr>
      </w:pPr>
      <w:r w:rsidRPr="00B02AA6">
        <w:rPr>
          <w:rFonts w:asciiTheme="majorHAnsi" w:eastAsiaTheme="majorEastAsia" w:hAnsiTheme="majorHAnsi" w:cstheme="majorBidi"/>
          <w:b/>
          <w:color w:val="2E74B5" w:themeColor="accent1" w:themeShade="BF"/>
          <w:sz w:val="26"/>
          <w:szCs w:val="26"/>
        </w:rPr>
        <w:t>Description of the learning Programme/Course</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The learning Programme is a Higher Education Certificate for Skills for the Workplace at Level Four. The Certificate is a recognised qualification which assists the students in developing their careers or assisting them to enter the work force. Upon completion of the course students have the opportunity to further their education by progressing onto a BA Leadership and Management degree for a further two year study. A compulsory module for the course is Academic and Employability Skills which students must complete in order to obtain their Certificate. The course takes place over two days a week one morning session and one evening session in order to allow flexible hours for the students in order to enable them to study around their careers and family. </w:t>
      </w:r>
    </w:p>
    <w:p w:rsidR="00B02AA6" w:rsidRPr="00B02AA6" w:rsidRDefault="00B02AA6" w:rsidP="00B02AA6">
      <w:pPr>
        <w:spacing w:line="480" w:lineRule="auto"/>
        <w:rPr>
          <w:rFonts w:ascii="Times New Roman" w:hAnsi="Times New Roman" w:cs="Times New Roman"/>
          <w:sz w:val="24"/>
          <w:szCs w:val="24"/>
        </w:rPr>
      </w:pPr>
    </w:p>
    <w:p w:rsidR="00B02AA6" w:rsidRPr="00B02AA6" w:rsidRDefault="00B02AA6" w:rsidP="00B02AA6">
      <w:pPr>
        <w:keepNext/>
        <w:keepLines/>
        <w:spacing w:before="40" w:after="0" w:line="480" w:lineRule="auto"/>
        <w:outlineLvl w:val="1"/>
        <w:rPr>
          <w:rFonts w:ascii="Times New Roman" w:eastAsiaTheme="majorEastAsia" w:hAnsi="Times New Roman" w:cs="Times New Roman"/>
          <w:b/>
          <w:color w:val="2E74B5" w:themeColor="accent1" w:themeShade="BF"/>
          <w:sz w:val="24"/>
          <w:szCs w:val="24"/>
        </w:rPr>
      </w:pPr>
      <w:r w:rsidRPr="00B02AA6">
        <w:rPr>
          <w:rFonts w:ascii="Times New Roman" w:eastAsiaTheme="majorEastAsia" w:hAnsi="Times New Roman" w:cs="Times New Roman"/>
          <w:b/>
          <w:color w:val="2E74B5" w:themeColor="accent1" w:themeShade="BF"/>
          <w:sz w:val="24"/>
          <w:szCs w:val="24"/>
        </w:rPr>
        <w:t xml:space="preserve">Target Audience </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The target audience of the course are largely mature students who are interested in obtaining a degree in order to further progress in their careers and for further professional development. The target audience are mostly in full time or part time employment often within the public sector. The course aims to further develop their skills in order to allow students the opportunity to progress within their careers. The course is also aimed at students who are interested in a career change or wish to gain employment by enhancing their skills and confidence in order to prepare them for new career prospects. The target audience are a varied range of individuals from a diverse range of cultures and ethnicities.  Many of the </w:t>
      </w:r>
      <w:r w:rsidRPr="00B02AA6">
        <w:rPr>
          <w:rFonts w:ascii="Times New Roman" w:hAnsi="Times New Roman" w:cs="Times New Roman"/>
          <w:sz w:val="24"/>
          <w:szCs w:val="24"/>
        </w:rPr>
        <w:lastRenderedPageBreak/>
        <w:t>students live within close distance to the university, however there are some who travel from outside of the local area and travel by own transport or public transport.</w:t>
      </w:r>
    </w:p>
    <w:p w:rsidR="00B02AA6" w:rsidRPr="00B02AA6" w:rsidRDefault="00B02AA6" w:rsidP="00B02AA6">
      <w:pPr>
        <w:keepNext/>
        <w:keepLines/>
        <w:spacing w:before="40" w:after="0" w:line="480" w:lineRule="auto"/>
        <w:outlineLvl w:val="1"/>
        <w:rPr>
          <w:rFonts w:ascii="Times New Roman" w:eastAsiaTheme="majorEastAsia" w:hAnsi="Times New Roman" w:cs="Times New Roman"/>
          <w:b/>
          <w:color w:val="2E74B5" w:themeColor="accent1" w:themeShade="BF"/>
          <w:sz w:val="24"/>
          <w:szCs w:val="24"/>
        </w:rPr>
      </w:pPr>
      <w:r w:rsidRPr="00B02AA6">
        <w:rPr>
          <w:rFonts w:ascii="Times New Roman" w:eastAsiaTheme="majorEastAsia" w:hAnsi="Times New Roman" w:cs="Times New Roman"/>
          <w:b/>
          <w:color w:val="2E74B5" w:themeColor="accent1" w:themeShade="BF"/>
          <w:sz w:val="24"/>
          <w:szCs w:val="24"/>
        </w:rPr>
        <w:t>Learning Objectives/Outcomes</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The learning outcomes and objectives for the course are to provide students with the skills required within the workplace and to enable students to take responsibility for their own learning. The learning objectives aim to provide students with key skills such as communication, software skills and the development of their writing and planning skills. Upon the completion of the course students should be able to demonstrate their ability to reflect upon their learning and apply the skills obtained throughout the course in the workplace. Students should demonstrate their understanding and skills acquired over the course through presentation, demonstration of reflection of their work, time management and building a portfolio. The learners are expected to demonstrate their knowledge and understanding of the concepts of and principles of organisations and businesses. Learners will be expected to demonstrate their ability to complete practical tasks within the lessons through the completion of set tasks. Students will achieve the ability to demonstrate and impart their practical skills within the work place and for future employment prospects. </w:t>
      </w:r>
    </w:p>
    <w:p w:rsidR="00B02AA6" w:rsidRPr="00B02AA6" w:rsidRDefault="00B02AA6" w:rsidP="00B02AA6">
      <w:pPr>
        <w:spacing w:line="480" w:lineRule="auto"/>
        <w:rPr>
          <w:rFonts w:ascii="Times New Roman" w:hAnsi="Times New Roman" w:cs="Times New Roman"/>
          <w:sz w:val="24"/>
          <w:szCs w:val="24"/>
        </w:rPr>
      </w:pPr>
    </w:p>
    <w:p w:rsidR="00B02AA6" w:rsidRPr="00B02AA6" w:rsidRDefault="00B02AA6" w:rsidP="00B02AA6">
      <w:pPr>
        <w:keepNext/>
        <w:keepLines/>
        <w:spacing w:before="40" w:after="0" w:line="480" w:lineRule="auto"/>
        <w:outlineLvl w:val="1"/>
        <w:rPr>
          <w:rFonts w:ascii="Times New Roman" w:eastAsiaTheme="majorEastAsia" w:hAnsi="Times New Roman" w:cs="Times New Roman"/>
          <w:b/>
          <w:color w:val="2E74B5" w:themeColor="accent1" w:themeShade="BF"/>
          <w:sz w:val="24"/>
          <w:szCs w:val="24"/>
        </w:rPr>
      </w:pPr>
      <w:r w:rsidRPr="00B02AA6">
        <w:rPr>
          <w:rFonts w:ascii="Times New Roman" w:eastAsiaTheme="majorEastAsia" w:hAnsi="Times New Roman" w:cs="Times New Roman"/>
          <w:b/>
          <w:color w:val="2E74B5" w:themeColor="accent1" w:themeShade="BF"/>
          <w:sz w:val="24"/>
          <w:szCs w:val="24"/>
        </w:rPr>
        <w:t>Cross-Cutting Themes</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The main themes included within the learning programme include Employability skills embedded within the learning programme through developing teaching and learning strategies to encourage and improve student’s skills and opportunities to implement within their future career opportunities. These skills are applied through introducing the students to various key skills which are required and preferred within the workplace.</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lastRenderedPageBreak/>
        <w:t xml:space="preserve">The themes of communication are significant within the learning programme in order to enhance the student’s communication skills through presentations and tasks in order to prepare them for work settings such as interviews, meetings and discussions with colleagues and customer service. Students will be encouraged to participate in group discussions and take an active role in the classroom through question and answers sessions and interview practices. </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Students will be encouraged to improve and implement technology throughout their learning experience in order to become accustomed to technology such as creating word documents, portfolios and researching workplace positions. Students will be expected to create a professional CV and search job searching websites while carefully monitored by the lecturer. Skills in technology allow the students to enter the workplace with the skills and knowledge of basic IT requirements such as constructing emails, work tasks and any other use of technology required within the work place. </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Throughout the course the students will be required to contribute in team work within the lessons, team work encourages students to work together in order to work effectively within a group surrounding in preparation for the workplace. Students will be required to work together in groups in order to create a presentation and work together to solve problems and discuss the topics within the learning environment. </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Within the programme students must take responsibility for their own learning and research in order to prepare them for individual tasks and requirements within their chosen professions. Within the programme students will be required to research, construct their own CV and actively search for the skills required within their desired profession and displaying initiative to work towards their career goals. Independent learning is significant within the </w:t>
      </w:r>
      <w:r w:rsidRPr="00B02AA6">
        <w:rPr>
          <w:rFonts w:ascii="Times New Roman" w:hAnsi="Times New Roman" w:cs="Times New Roman"/>
          <w:sz w:val="24"/>
          <w:szCs w:val="24"/>
        </w:rPr>
        <w:lastRenderedPageBreak/>
        <w:t xml:space="preserve">workplace as this demonstrates the students drive and abilities to complete tasks successfully within the workplace. </w:t>
      </w:r>
    </w:p>
    <w:p w:rsidR="00B02AA6" w:rsidRPr="00B02AA6" w:rsidRDefault="00B02AA6" w:rsidP="00B02AA6">
      <w:pPr>
        <w:keepNext/>
        <w:keepLines/>
        <w:spacing w:before="40" w:after="0" w:line="480" w:lineRule="auto"/>
        <w:outlineLvl w:val="1"/>
        <w:rPr>
          <w:rFonts w:ascii="Times New Roman" w:eastAsiaTheme="majorEastAsia" w:hAnsi="Times New Roman" w:cs="Times New Roman"/>
          <w:b/>
          <w:color w:val="2E74B5" w:themeColor="accent1" w:themeShade="BF"/>
          <w:sz w:val="24"/>
          <w:szCs w:val="24"/>
        </w:rPr>
      </w:pPr>
      <w:r w:rsidRPr="00B02AA6">
        <w:rPr>
          <w:rFonts w:ascii="Times New Roman" w:eastAsiaTheme="majorEastAsia" w:hAnsi="Times New Roman" w:cs="Times New Roman"/>
          <w:b/>
          <w:color w:val="2E74B5" w:themeColor="accent1" w:themeShade="BF"/>
          <w:sz w:val="24"/>
          <w:szCs w:val="24"/>
        </w:rPr>
        <w:t>Teaching and Learning Strategies</w:t>
      </w:r>
    </w:p>
    <w:p w:rsidR="00B02AA6" w:rsidRPr="00B02AA6" w:rsidRDefault="00B02AA6" w:rsidP="00B02AA6">
      <w:pPr>
        <w:spacing w:line="480" w:lineRule="auto"/>
        <w:rPr>
          <w:rFonts w:ascii="Times New Roman" w:hAnsi="Times New Roman" w:cs="Times New Roman"/>
          <w:sz w:val="24"/>
          <w:szCs w:val="24"/>
        </w:rPr>
      </w:pP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The students within the programme are largely mature students who have a wide range of experiences in the work place and in life in general. Within the programme it was aimed to accommodate and take into consideration these experiences and implement it into the teaching and learning strategies. Wenger (1998) developed a model based on a number of assumptions about learners and how they learn and what the teacher’s learn about the students. Wenger developed four components for their framework, the first component discusses Meaning and the way students discuss themselves and their meaning in life. Practice as a form of discussing shared historical and social resources that can allow students to have a mutual engagement with each other. Thirdly, the community in which enterprises are defined as pursuable and competence in activities.  Lastly the student’s identity and how learning and personal history defines them as individuals. Within the learning programme the students must tailor the course in order to consider their own previous experience in the workplace such as crafting their own professional CV and applying for jobs which are best suited for them and their experiences. </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Students should be given the opportunity to take ownership of their own learning and understanding of the programme. According to Wilson (1996) students should be given the responsibilities for their own learning and research methods. Students should not be given set texts only asked to attend the library to view their own research and are completely responsible for their own research. Within the programme the aim to teach the students in an andragogic manner and to give them the responsibility of control over their own learning. </w:t>
      </w:r>
      <w:r w:rsidRPr="00B02AA6">
        <w:rPr>
          <w:rFonts w:ascii="Times New Roman" w:hAnsi="Times New Roman" w:cs="Times New Roman"/>
          <w:sz w:val="24"/>
          <w:szCs w:val="24"/>
        </w:rPr>
        <w:lastRenderedPageBreak/>
        <w:t xml:space="preserve">Students are expected to find their own research and read outside if the set texts provided to them in order to show good leadership and initiative skills ready for the workplace. </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The learning styles used within the programme aims to cater to all students and their own learning styles and methods. Honey &amp; Mumford (1992) developed four learning styles that categorises the students into their preferred method of learning the four categories are Activists, Theorists, Pragmatists and Reflectors. Activists prefer to involve themselves fully into a new experience while Theorists prefer to observe first before becoming fully involved in their learning. Pragmatists seek out different techniques and strategies when given a new learning experience while Reflectors stand back and reflect on their experience and consider research before making a conclusion. In order to cater for these different types of learners the course offers a range of teaching and learning strategies to suit the different learning styles. Students are given the opportunity to take control over their own learning at their own pace within the ten weeks and their progress monitored carefully though the building of their portfolios. The teacher is able to assess the work that they have submitted each week in order to have a clear understanding of the students understanding and progress throughout the course. </w:t>
      </w:r>
    </w:p>
    <w:p w:rsidR="00B02AA6" w:rsidRPr="00B02AA6" w:rsidRDefault="00B02AA6" w:rsidP="00B02AA6">
      <w:pPr>
        <w:spacing w:before="240" w:line="480" w:lineRule="auto"/>
        <w:rPr>
          <w:rFonts w:ascii="Times New Roman" w:hAnsi="Times New Roman" w:cs="Times New Roman"/>
          <w:sz w:val="24"/>
          <w:szCs w:val="24"/>
        </w:rPr>
      </w:pPr>
      <w:r w:rsidRPr="00B02AA6">
        <w:rPr>
          <w:rFonts w:ascii="Times New Roman" w:hAnsi="Times New Roman" w:cs="Times New Roman"/>
          <w:sz w:val="24"/>
          <w:szCs w:val="24"/>
        </w:rPr>
        <w:t xml:space="preserve">Within the learning programme the aim to transfer the crucial skills needed within the workplace is considered greatly into the teaching and learning strategies developed for the course. Butcher (2015) discusses the increasing demand of transferable skills from higher education into the workplace. Butcher suggests that the curriculum in higher education must contribute to building valuable skills in preparation for graduates to transfer into the workplace. In order to achieve these skills teachers must engage the learners into a dialogue of what they are aiming to achieve with their qualifications and their aspirations for the future in order to further develop these skills within the curriculum (p.85) Within the programme the skills required for the workplace will be transferred through reflective learning through </w:t>
      </w:r>
      <w:r w:rsidRPr="00B02AA6">
        <w:rPr>
          <w:rFonts w:ascii="Times New Roman" w:hAnsi="Times New Roman" w:cs="Times New Roman"/>
          <w:sz w:val="24"/>
          <w:szCs w:val="24"/>
        </w:rPr>
        <w:lastRenderedPageBreak/>
        <w:t xml:space="preserve">the students own reflection on their skill and what improvements they feel are needed to progress. </w:t>
      </w:r>
    </w:p>
    <w:p w:rsidR="00B02AA6" w:rsidRPr="00B02AA6" w:rsidRDefault="00B02AA6" w:rsidP="00B02AA6">
      <w:pPr>
        <w:spacing w:before="240" w:line="480" w:lineRule="auto"/>
        <w:rPr>
          <w:rFonts w:ascii="Times New Roman" w:hAnsi="Times New Roman" w:cs="Times New Roman"/>
          <w:sz w:val="24"/>
          <w:szCs w:val="24"/>
        </w:rPr>
      </w:pPr>
    </w:p>
    <w:p w:rsidR="00B02AA6" w:rsidRPr="00B02AA6" w:rsidRDefault="00B02AA6" w:rsidP="00B02AA6">
      <w:pPr>
        <w:keepNext/>
        <w:keepLines/>
        <w:spacing w:before="40" w:after="0" w:line="480" w:lineRule="auto"/>
        <w:outlineLvl w:val="1"/>
        <w:rPr>
          <w:rFonts w:ascii="Times New Roman" w:eastAsiaTheme="majorEastAsia" w:hAnsi="Times New Roman" w:cs="Times New Roman"/>
          <w:b/>
          <w:color w:val="2E74B5" w:themeColor="accent1" w:themeShade="BF"/>
          <w:sz w:val="24"/>
          <w:szCs w:val="24"/>
        </w:rPr>
      </w:pPr>
      <w:r w:rsidRPr="00B02AA6">
        <w:rPr>
          <w:rFonts w:ascii="Times New Roman" w:eastAsiaTheme="majorEastAsia" w:hAnsi="Times New Roman" w:cs="Times New Roman"/>
          <w:b/>
          <w:color w:val="2E74B5" w:themeColor="accent1" w:themeShade="BF"/>
          <w:sz w:val="24"/>
          <w:szCs w:val="24"/>
        </w:rPr>
        <w:t>Assessment Strategies/ Methods</w:t>
      </w:r>
    </w:p>
    <w:p w:rsidR="00B02AA6" w:rsidRPr="00B02AA6" w:rsidRDefault="00B02AA6" w:rsidP="00B02AA6">
      <w:pPr>
        <w:spacing w:line="480" w:lineRule="auto"/>
        <w:rPr>
          <w:rFonts w:ascii="Times New Roman" w:hAnsi="Times New Roman" w:cs="Times New Roman"/>
          <w:sz w:val="24"/>
          <w:szCs w:val="24"/>
        </w:rPr>
      </w:pP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Within the ten week learning, students will be given a range of tasks and assessments throughout the course. Formative assessment is often confused with the demand for test based assessment, many teachers rely heavily upon tests within their lessons. Formative assessment should offer the opportunity for both students and teachers to demonstrate their skills and understanding of their learning experience (Stefl-Mabry, 2018, p.52) The formative assessments used within the programme are tasks set within the lesson such as group work, engaging in discussion and completing tasks such as CV writing. Students’ progress will be monitored through observing the completion of tasks and the work that they complete within the learning environment.</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The summative assessment techniques that are utilised within the learning programme are the creation of a portfolio which the students must submit at the end of the learning programme documenting the work that they have completed throughout the ten weeks. Students will also be summatively assessed on their group presentations and given individual feedback on their performance. The targets set for students must be clear, the teacher must set a well- designed testing strategy which both the teacher and the students are clear about the method of assessment and strategy. </w:t>
      </w:r>
      <w:sdt>
        <w:sdtPr>
          <w:rPr>
            <w:rFonts w:ascii="Times New Roman" w:hAnsi="Times New Roman" w:cs="Times New Roman"/>
            <w:sz w:val="24"/>
            <w:szCs w:val="24"/>
          </w:rPr>
          <w:id w:val="1034847928"/>
          <w:citation/>
        </w:sdtPr>
        <w:sdtContent>
          <w:r w:rsidRPr="00B02AA6">
            <w:rPr>
              <w:rFonts w:ascii="Times New Roman" w:hAnsi="Times New Roman" w:cs="Times New Roman"/>
              <w:sz w:val="24"/>
              <w:szCs w:val="24"/>
            </w:rPr>
            <w:fldChar w:fldCharType="begin"/>
          </w:r>
          <w:r w:rsidRPr="00B02AA6">
            <w:rPr>
              <w:rFonts w:ascii="Times New Roman" w:hAnsi="Times New Roman" w:cs="Times New Roman"/>
              <w:sz w:val="24"/>
              <w:szCs w:val="24"/>
            </w:rPr>
            <w:instrText xml:space="preserve"> CITATION But10 \l 2057 </w:instrText>
          </w:r>
          <w:r w:rsidRPr="00B02AA6">
            <w:rPr>
              <w:rFonts w:ascii="Times New Roman" w:hAnsi="Times New Roman" w:cs="Times New Roman"/>
              <w:sz w:val="24"/>
              <w:szCs w:val="24"/>
            </w:rPr>
            <w:fldChar w:fldCharType="separate"/>
          </w:r>
          <w:r w:rsidRPr="00B02AA6">
            <w:rPr>
              <w:rFonts w:ascii="Times New Roman" w:hAnsi="Times New Roman" w:cs="Times New Roman"/>
              <w:noProof/>
              <w:sz w:val="24"/>
              <w:szCs w:val="24"/>
            </w:rPr>
            <w:t>(Butt, 2010)</w:t>
          </w:r>
          <w:r w:rsidRPr="00B02AA6">
            <w:rPr>
              <w:rFonts w:ascii="Times New Roman" w:hAnsi="Times New Roman" w:cs="Times New Roman"/>
              <w:sz w:val="24"/>
              <w:szCs w:val="24"/>
            </w:rPr>
            <w:fldChar w:fldCharType="end"/>
          </w:r>
        </w:sdtContent>
      </w:sdt>
      <w:r w:rsidRPr="00B02AA6">
        <w:rPr>
          <w:rFonts w:ascii="Times New Roman" w:hAnsi="Times New Roman" w:cs="Times New Roman"/>
          <w:sz w:val="24"/>
          <w:szCs w:val="24"/>
        </w:rPr>
        <w:t xml:space="preserve"> The targets and techniques used for the grading of the portfolio is to ensure that the students are given a fair and concise method of formulating what the students have learnt throughout the course and how they have are placed in terms of the grading criteria. </w:t>
      </w:r>
    </w:p>
    <w:p w:rsidR="00B02AA6" w:rsidRPr="00B02AA6" w:rsidRDefault="00B02AA6" w:rsidP="00B02AA6">
      <w:pPr>
        <w:spacing w:line="480" w:lineRule="auto"/>
        <w:rPr>
          <w:rFonts w:ascii="Times New Roman" w:hAnsi="Times New Roman" w:cs="Times New Roman"/>
          <w:sz w:val="24"/>
          <w:szCs w:val="24"/>
        </w:rPr>
      </w:pPr>
    </w:p>
    <w:p w:rsidR="00B02AA6" w:rsidRPr="00B02AA6" w:rsidRDefault="00B02AA6" w:rsidP="00B02AA6">
      <w:pPr>
        <w:keepNext/>
        <w:keepLines/>
        <w:spacing w:before="40" w:after="0" w:line="480" w:lineRule="auto"/>
        <w:outlineLvl w:val="1"/>
        <w:rPr>
          <w:rFonts w:ascii="Times New Roman" w:eastAsiaTheme="majorEastAsia" w:hAnsi="Times New Roman" w:cs="Times New Roman"/>
          <w:color w:val="2E74B5" w:themeColor="accent1" w:themeShade="BF"/>
          <w:sz w:val="24"/>
          <w:szCs w:val="24"/>
        </w:rPr>
      </w:pPr>
      <w:r w:rsidRPr="00B02AA6">
        <w:rPr>
          <w:rFonts w:ascii="Times New Roman" w:eastAsiaTheme="majorEastAsia" w:hAnsi="Times New Roman" w:cs="Times New Roman"/>
          <w:color w:val="2E74B5" w:themeColor="accent1" w:themeShade="BF"/>
          <w:sz w:val="24"/>
          <w:szCs w:val="24"/>
        </w:rPr>
        <w:t xml:space="preserve">Evaluation Techniques </w:t>
      </w:r>
    </w:p>
    <w:p w:rsidR="00B02AA6" w:rsidRPr="00B02AA6" w:rsidRDefault="00B02AA6" w:rsidP="00B02AA6">
      <w:pPr>
        <w:spacing w:line="480" w:lineRule="auto"/>
        <w:rPr>
          <w:rFonts w:ascii="Times New Roman" w:hAnsi="Times New Roman" w:cs="Times New Roman"/>
          <w:sz w:val="24"/>
          <w:szCs w:val="24"/>
        </w:rPr>
      </w:pPr>
      <w:r w:rsidRPr="00B02AA6">
        <w:rPr>
          <w:rFonts w:ascii="Times New Roman" w:hAnsi="Times New Roman" w:cs="Times New Roman"/>
          <w:sz w:val="24"/>
          <w:szCs w:val="24"/>
        </w:rPr>
        <w:t xml:space="preserve"> Throughout the ten week learning programme students are provided with written and verbal feedback on their progress. This is through feedback on their presentation skills and through the evaluation of their portfolio work which is submitted at the end of the learning programme. Students that are given feedback respond better to learning strategies compared to students who do not. Students are given an incentive to improve on their work and take the feedback into consideration </w:t>
      </w:r>
      <w:sdt>
        <w:sdtPr>
          <w:rPr>
            <w:rFonts w:ascii="Times New Roman" w:hAnsi="Times New Roman" w:cs="Times New Roman"/>
            <w:sz w:val="24"/>
            <w:szCs w:val="24"/>
          </w:rPr>
          <w:id w:val="2067829411"/>
          <w:citation/>
        </w:sdtPr>
        <w:sdtContent>
          <w:r w:rsidRPr="00B02AA6">
            <w:rPr>
              <w:rFonts w:ascii="Times New Roman" w:hAnsi="Times New Roman" w:cs="Times New Roman"/>
              <w:sz w:val="24"/>
              <w:szCs w:val="24"/>
            </w:rPr>
            <w:fldChar w:fldCharType="begin"/>
          </w:r>
          <w:r w:rsidRPr="00B02AA6">
            <w:rPr>
              <w:rFonts w:ascii="Times New Roman" w:hAnsi="Times New Roman" w:cs="Times New Roman"/>
              <w:sz w:val="24"/>
              <w:szCs w:val="24"/>
            </w:rPr>
            <w:instrText xml:space="preserve"> CITATION Swa08 \l 2057 </w:instrText>
          </w:r>
          <w:r w:rsidRPr="00B02AA6">
            <w:rPr>
              <w:rFonts w:ascii="Times New Roman" w:hAnsi="Times New Roman" w:cs="Times New Roman"/>
              <w:sz w:val="24"/>
              <w:szCs w:val="24"/>
            </w:rPr>
            <w:fldChar w:fldCharType="separate"/>
          </w:r>
          <w:r w:rsidRPr="00B02AA6">
            <w:rPr>
              <w:rFonts w:ascii="Times New Roman" w:hAnsi="Times New Roman" w:cs="Times New Roman"/>
              <w:noProof/>
              <w:sz w:val="24"/>
              <w:szCs w:val="24"/>
            </w:rPr>
            <w:t>(Swaffield, 2008)</w:t>
          </w:r>
          <w:r w:rsidRPr="00B02AA6">
            <w:rPr>
              <w:rFonts w:ascii="Times New Roman" w:hAnsi="Times New Roman" w:cs="Times New Roman"/>
              <w:sz w:val="24"/>
              <w:szCs w:val="24"/>
            </w:rPr>
            <w:fldChar w:fldCharType="end"/>
          </w:r>
        </w:sdtContent>
      </w:sdt>
      <w:r w:rsidRPr="00B02AA6">
        <w:rPr>
          <w:rFonts w:ascii="Times New Roman" w:hAnsi="Times New Roman" w:cs="Times New Roman"/>
          <w:sz w:val="24"/>
          <w:szCs w:val="24"/>
        </w:rPr>
        <w:t xml:space="preserve"> Students within the programme will have the ability to reflect upon their work and progress throughout the ten weeks in order to improve upon their future performances which will prove beneficial in the workplace to reflect and evaluate on their progress. </w:t>
      </w:r>
    </w:p>
    <w:p w:rsidR="00B02AA6" w:rsidRPr="00B02AA6" w:rsidRDefault="00B02AA6" w:rsidP="00B02AA6">
      <w:pPr>
        <w:spacing w:before="240" w:line="480" w:lineRule="auto"/>
        <w:rPr>
          <w:rFonts w:ascii="Times New Roman" w:hAnsi="Times New Roman" w:cs="Times New Roman"/>
          <w:sz w:val="24"/>
          <w:szCs w:val="24"/>
        </w:rPr>
      </w:pPr>
      <w:r w:rsidRPr="00B02AA6">
        <w:rPr>
          <w:rFonts w:ascii="Times New Roman" w:hAnsi="Times New Roman" w:cs="Times New Roman"/>
          <w:sz w:val="24"/>
          <w:szCs w:val="24"/>
        </w:rPr>
        <w:t xml:space="preserve">According to Pollard &amp; Triggs (1997) there are four main elements in analysing the learning experience across the whole curriculum. The first element is the knowledge that the students must gain understanding and interest in the subject. The second are the concepts of learning which enables the students to understand the relationships and meanings within the subject. The skills which enables the students to perform tasks and competency in completing the tasks required throughout the subject. The fourth element discuss the attitudes and values in which the students may also learn throughout the course of their studies (p.167) The four elements of learning is evaluated at the end of the programme through feedback from the teacher to the learner and the marking of their portfolios which allows both the student and teacher to evaluate the progress that the students have made and how they have improved over the course of the ten week programme.  </w:t>
      </w:r>
    </w:p>
    <w:p w:rsidR="00B02AA6" w:rsidRPr="00B02AA6" w:rsidRDefault="00B02AA6" w:rsidP="00B02AA6">
      <w:pPr>
        <w:spacing w:line="480" w:lineRule="auto"/>
        <w:rPr>
          <w:rFonts w:ascii="Times New Roman" w:hAnsi="Times New Roman" w:cs="Times New Roman"/>
          <w:sz w:val="24"/>
          <w:szCs w:val="24"/>
        </w:rPr>
      </w:pPr>
    </w:p>
    <w:p w:rsidR="00B02AA6" w:rsidRPr="00B02AA6" w:rsidRDefault="00B02AA6" w:rsidP="00B02AA6">
      <w:pPr>
        <w:spacing w:line="480" w:lineRule="auto"/>
        <w:rPr>
          <w:rFonts w:ascii="Times New Roman" w:hAnsi="Times New Roman" w:cs="Times New Roman"/>
          <w:sz w:val="24"/>
          <w:szCs w:val="24"/>
        </w:rPr>
      </w:pPr>
    </w:p>
    <w:p w:rsidR="00B02AA6" w:rsidRPr="00B02AA6" w:rsidRDefault="00B02AA6" w:rsidP="00B02AA6">
      <w:pPr>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02AA6" w:rsidRPr="008064B1" w:rsidRDefault="00B02AA6" w:rsidP="00B02AA6">
      <w:pPr>
        <w:spacing w:line="480" w:lineRule="auto"/>
        <w:rPr>
          <w:rFonts w:ascii="Times New Roman" w:hAnsi="Times New Roman" w:cs="Times New Roman"/>
          <w:sz w:val="24"/>
          <w:szCs w:val="24"/>
        </w:rPr>
      </w:pPr>
      <w:r>
        <w:rPr>
          <w:rFonts w:ascii="Times New Roman" w:hAnsi="Times New Roman" w:cs="Times New Roman"/>
          <w:sz w:val="24"/>
          <w:szCs w:val="24"/>
        </w:rPr>
        <w:t xml:space="preserve">The teaching and learning strategies delivered throughout the ten week course will be critically analysed and linked with various learning theories. The ten week programme offers multiple teaching and learning strategies in order to cater for each individual student, in order to evaluate the programme the various forms of learning theorists will be analysed in order to evaluate and critique the theories and the learning styles within the learning programme. The learning theories which will be applied to the learning programme are Behaviourist, Humanism, Cognitivist and Constructivist approaches which will be applied to the learning and strategies throughout the ten week learning programme. </w:t>
      </w:r>
    </w:p>
    <w:p w:rsidR="00B02AA6" w:rsidRPr="008064B1" w:rsidRDefault="00B02AA6" w:rsidP="00B02AA6">
      <w:pPr>
        <w:spacing w:line="480" w:lineRule="auto"/>
        <w:rPr>
          <w:rFonts w:ascii="Times New Roman" w:hAnsi="Times New Roman" w:cs="Times New Roman"/>
          <w:sz w:val="24"/>
          <w:szCs w:val="24"/>
        </w:rPr>
      </w:pPr>
      <w:r w:rsidRPr="008064B1">
        <w:rPr>
          <w:rFonts w:ascii="Times New Roman" w:hAnsi="Times New Roman" w:cs="Times New Roman"/>
          <w:sz w:val="24"/>
          <w:szCs w:val="24"/>
        </w:rPr>
        <w:t xml:space="preserve">The behaviourist theory believes that the role of the teacher is the active participant in controlling what the students learn and how they respond to the teaching methods. Behaviourists are concerned with the response and outcomes of a controlled environment through reinforcement of certain behaviours within the learning environment. </w:t>
      </w:r>
      <w:r>
        <w:rPr>
          <w:rFonts w:ascii="Times New Roman" w:hAnsi="Times New Roman" w:cs="Times New Roman"/>
          <w:sz w:val="24"/>
          <w:szCs w:val="24"/>
        </w:rPr>
        <w:t xml:space="preserve">The behaviourist movement began with </w:t>
      </w:r>
      <w:r w:rsidRPr="008064B1">
        <w:rPr>
          <w:rFonts w:ascii="Times New Roman" w:hAnsi="Times New Roman" w:cs="Times New Roman"/>
          <w:sz w:val="24"/>
          <w:szCs w:val="24"/>
        </w:rPr>
        <w:t>Watson</w:t>
      </w:r>
      <w:r>
        <w:rPr>
          <w:rFonts w:ascii="Times New Roman" w:hAnsi="Times New Roman" w:cs="Times New Roman"/>
          <w:sz w:val="24"/>
          <w:szCs w:val="24"/>
        </w:rPr>
        <w:t xml:space="preserve"> (1913) Watson b</w:t>
      </w:r>
      <w:r w:rsidRPr="008064B1">
        <w:rPr>
          <w:rFonts w:ascii="Times New Roman" w:hAnsi="Times New Roman" w:cs="Times New Roman"/>
          <w:sz w:val="24"/>
          <w:szCs w:val="24"/>
        </w:rPr>
        <w:t>elieved that hu</w:t>
      </w:r>
      <w:r>
        <w:rPr>
          <w:rFonts w:ascii="Times New Roman" w:hAnsi="Times New Roman" w:cs="Times New Roman"/>
          <w:sz w:val="24"/>
          <w:szCs w:val="24"/>
        </w:rPr>
        <w:t xml:space="preserve">mans are born as blank slates. Human behaviour is the product of the </w:t>
      </w:r>
      <w:r w:rsidRPr="008064B1">
        <w:rPr>
          <w:rFonts w:ascii="Times New Roman" w:hAnsi="Times New Roman" w:cs="Times New Roman"/>
          <w:sz w:val="24"/>
          <w:szCs w:val="24"/>
        </w:rPr>
        <w:t>environment and experiences</w:t>
      </w:r>
      <w:r>
        <w:rPr>
          <w:rFonts w:ascii="Times New Roman" w:hAnsi="Times New Roman" w:cs="Times New Roman"/>
          <w:sz w:val="24"/>
          <w:szCs w:val="24"/>
        </w:rPr>
        <w:t xml:space="preserve"> that each individual person experiences throughout life and believed that everyone could </w:t>
      </w:r>
      <w:r w:rsidRPr="008064B1">
        <w:rPr>
          <w:rFonts w:ascii="Times New Roman" w:hAnsi="Times New Roman" w:cs="Times New Roman"/>
          <w:sz w:val="24"/>
          <w:szCs w:val="24"/>
        </w:rPr>
        <w:t xml:space="preserve">be taught behaviours through conditioning. </w:t>
      </w:r>
      <w:r>
        <w:rPr>
          <w:rFonts w:ascii="Times New Roman" w:hAnsi="Times New Roman" w:cs="Times New Roman"/>
          <w:sz w:val="24"/>
          <w:szCs w:val="24"/>
        </w:rPr>
        <w:t xml:space="preserve">In terms of behaviourist thinking the students must be conditioned into the process of teaching and learning through reinforcement of good feedback and grades from their work in order to motivate them to work efficiently. </w:t>
      </w:r>
    </w:p>
    <w:p w:rsidR="00B02AA6" w:rsidRPr="008064B1" w:rsidRDefault="00B02AA6" w:rsidP="00B02AA6">
      <w:pPr>
        <w:spacing w:line="480" w:lineRule="auto"/>
        <w:rPr>
          <w:rFonts w:ascii="Times New Roman" w:hAnsi="Times New Roman" w:cs="Times New Roman"/>
          <w:sz w:val="24"/>
          <w:szCs w:val="24"/>
        </w:rPr>
      </w:pPr>
      <w:r w:rsidRPr="008064B1">
        <w:rPr>
          <w:rFonts w:ascii="Times New Roman" w:hAnsi="Times New Roman" w:cs="Times New Roman"/>
          <w:sz w:val="24"/>
          <w:szCs w:val="24"/>
        </w:rPr>
        <w:t>Skinner</w:t>
      </w:r>
      <w:r>
        <w:rPr>
          <w:rFonts w:ascii="Times New Roman" w:hAnsi="Times New Roman" w:cs="Times New Roman"/>
          <w:sz w:val="24"/>
          <w:szCs w:val="24"/>
        </w:rPr>
        <w:t xml:space="preserve"> (1938) similar to Watson believed that humans could be conditioned into learning behaviours. Skinner created the term Operant Conditioning which is </w:t>
      </w:r>
      <w:r w:rsidRPr="008064B1">
        <w:rPr>
          <w:rFonts w:ascii="Times New Roman" w:hAnsi="Times New Roman" w:cs="Times New Roman"/>
          <w:sz w:val="24"/>
          <w:szCs w:val="24"/>
        </w:rPr>
        <w:t>learning by positive and negative feedback. Rewarding good behaviour encourages learne</w:t>
      </w:r>
      <w:r>
        <w:rPr>
          <w:rFonts w:ascii="Times New Roman" w:hAnsi="Times New Roman" w:cs="Times New Roman"/>
          <w:sz w:val="24"/>
          <w:szCs w:val="24"/>
        </w:rPr>
        <w:t xml:space="preserve">rs to continue working hard such </w:t>
      </w:r>
      <w:r w:rsidRPr="008064B1">
        <w:rPr>
          <w:rFonts w:ascii="Times New Roman" w:hAnsi="Times New Roman" w:cs="Times New Roman"/>
          <w:sz w:val="24"/>
          <w:szCs w:val="24"/>
        </w:rPr>
        <w:t xml:space="preserve">good assignment grades, exam marks. </w:t>
      </w:r>
      <w:r>
        <w:rPr>
          <w:rFonts w:ascii="Times New Roman" w:hAnsi="Times New Roman" w:cs="Times New Roman"/>
          <w:sz w:val="24"/>
          <w:szCs w:val="24"/>
        </w:rPr>
        <w:t xml:space="preserve">Through the learning programme students are </w:t>
      </w:r>
      <w:r>
        <w:rPr>
          <w:rFonts w:ascii="Times New Roman" w:hAnsi="Times New Roman" w:cs="Times New Roman"/>
          <w:sz w:val="24"/>
          <w:szCs w:val="24"/>
        </w:rPr>
        <w:lastRenderedPageBreak/>
        <w:t xml:space="preserve">given feedback on their work closely monitoring their progress and development through marking and constructive feedback. </w:t>
      </w:r>
    </w:p>
    <w:p w:rsidR="00B02AA6" w:rsidRPr="008064B1" w:rsidRDefault="00B02AA6" w:rsidP="00B02AA6">
      <w:pPr>
        <w:spacing w:line="480" w:lineRule="auto"/>
        <w:rPr>
          <w:rFonts w:ascii="Times New Roman" w:hAnsi="Times New Roman" w:cs="Times New Roman"/>
          <w:sz w:val="24"/>
          <w:szCs w:val="24"/>
        </w:rPr>
      </w:pPr>
      <w:r>
        <w:rPr>
          <w:rFonts w:ascii="Times New Roman" w:hAnsi="Times New Roman" w:cs="Times New Roman"/>
          <w:sz w:val="24"/>
          <w:szCs w:val="24"/>
        </w:rPr>
        <w:t xml:space="preserve">Bloom (1965) created a model on the process of learning </w:t>
      </w:r>
      <w:r w:rsidRPr="008064B1">
        <w:rPr>
          <w:rFonts w:ascii="Times New Roman" w:hAnsi="Times New Roman" w:cs="Times New Roman"/>
          <w:sz w:val="24"/>
          <w:szCs w:val="24"/>
        </w:rPr>
        <w:t xml:space="preserve">Blooms taxonomy includes </w:t>
      </w:r>
      <w:r>
        <w:rPr>
          <w:rFonts w:ascii="Times New Roman" w:hAnsi="Times New Roman" w:cs="Times New Roman"/>
          <w:sz w:val="24"/>
          <w:szCs w:val="24"/>
        </w:rPr>
        <w:t>six tiers on</w:t>
      </w:r>
      <w:r w:rsidRPr="008064B1">
        <w:rPr>
          <w:rFonts w:ascii="Times New Roman" w:hAnsi="Times New Roman" w:cs="Times New Roman"/>
          <w:sz w:val="24"/>
          <w:szCs w:val="24"/>
        </w:rPr>
        <w:t xml:space="preserve"> the process of learning </w:t>
      </w:r>
      <w:r>
        <w:rPr>
          <w:rFonts w:ascii="Times New Roman" w:hAnsi="Times New Roman" w:cs="Times New Roman"/>
          <w:sz w:val="24"/>
          <w:szCs w:val="24"/>
        </w:rPr>
        <w:t xml:space="preserve">new concepts, in order to learn humans must pass through each stage in order to understand a new idea or action. Firstly they must remember what has been spoken or displayed about the new concept, secondly they must understand the new concept or experience. Thirdly, they must apply the new concept or information into a setting, fourthly they must analyse the new information and draw a connection with the idea. The new concept must be examined in detail to justify the learning and lastly the creation of a new concept or idea in which they may create a new piece of work. Bloom’s taxonomy allows teachers to create a teaching and learning strategy which enables the process of learning new concepts </w:t>
      </w:r>
    </w:p>
    <w:p w:rsidR="00B02AA6" w:rsidRPr="008064B1" w:rsidRDefault="00B02AA6" w:rsidP="00B02AA6">
      <w:pPr>
        <w:spacing w:before="240" w:line="480" w:lineRule="auto"/>
        <w:rPr>
          <w:rFonts w:ascii="Times New Roman" w:hAnsi="Times New Roman" w:cs="Times New Roman"/>
          <w:sz w:val="24"/>
          <w:szCs w:val="24"/>
        </w:rPr>
      </w:pPr>
      <w:r w:rsidRPr="008064B1">
        <w:rPr>
          <w:rFonts w:ascii="Times New Roman" w:hAnsi="Times New Roman" w:cs="Times New Roman"/>
          <w:sz w:val="24"/>
          <w:szCs w:val="24"/>
        </w:rPr>
        <w:t xml:space="preserve">The Humanist Learning theory believes that unlike Behaviourism learning should consider the needs of the students. In order to teach in a humanist style teachers must set tasks that encourages self -motivation and achieving students own personal goals and experiences. Rogers (1969) </w:t>
      </w:r>
      <w:r>
        <w:rPr>
          <w:rFonts w:ascii="Times New Roman" w:hAnsi="Times New Roman" w:cs="Times New Roman"/>
          <w:sz w:val="24"/>
          <w:szCs w:val="24"/>
        </w:rPr>
        <w:t>argued that e</w:t>
      </w:r>
      <w:r w:rsidRPr="008064B1">
        <w:rPr>
          <w:rFonts w:ascii="Times New Roman" w:hAnsi="Times New Roman" w:cs="Times New Roman"/>
          <w:sz w:val="24"/>
          <w:szCs w:val="24"/>
        </w:rPr>
        <w:t xml:space="preserve">ducation should be reflective and enlarge student’s experience. </w:t>
      </w:r>
      <w:r>
        <w:rPr>
          <w:rFonts w:ascii="Times New Roman" w:hAnsi="Times New Roman" w:cs="Times New Roman"/>
          <w:sz w:val="24"/>
          <w:szCs w:val="24"/>
        </w:rPr>
        <w:t xml:space="preserve">Rogers created the term </w:t>
      </w:r>
      <w:r w:rsidRPr="008064B1">
        <w:rPr>
          <w:rFonts w:ascii="Times New Roman" w:hAnsi="Times New Roman" w:cs="Times New Roman"/>
          <w:sz w:val="24"/>
          <w:szCs w:val="24"/>
        </w:rPr>
        <w:t xml:space="preserve">Experiential </w:t>
      </w:r>
      <w:r>
        <w:rPr>
          <w:rFonts w:ascii="Times New Roman" w:hAnsi="Times New Roman" w:cs="Times New Roman"/>
          <w:sz w:val="24"/>
          <w:szCs w:val="24"/>
        </w:rPr>
        <w:t xml:space="preserve">which is when learning is </w:t>
      </w:r>
      <w:r w:rsidRPr="008064B1">
        <w:rPr>
          <w:rFonts w:ascii="Times New Roman" w:hAnsi="Times New Roman" w:cs="Times New Roman"/>
          <w:sz w:val="24"/>
          <w:szCs w:val="24"/>
        </w:rPr>
        <w:t xml:space="preserve">concerned with interaction. </w:t>
      </w:r>
      <w:r>
        <w:rPr>
          <w:rFonts w:ascii="Times New Roman" w:hAnsi="Times New Roman" w:cs="Times New Roman"/>
          <w:sz w:val="24"/>
          <w:szCs w:val="24"/>
        </w:rPr>
        <w:t xml:space="preserve">Students should be </w:t>
      </w:r>
      <w:r w:rsidRPr="008064B1">
        <w:rPr>
          <w:rFonts w:ascii="Times New Roman" w:hAnsi="Times New Roman" w:cs="Times New Roman"/>
          <w:sz w:val="24"/>
          <w:szCs w:val="24"/>
        </w:rPr>
        <w:t xml:space="preserve">Self-initiated </w:t>
      </w:r>
      <w:r>
        <w:rPr>
          <w:rFonts w:ascii="Times New Roman" w:hAnsi="Times New Roman" w:cs="Times New Roman"/>
          <w:sz w:val="24"/>
          <w:szCs w:val="24"/>
        </w:rPr>
        <w:t xml:space="preserve">in their own learning which is when </w:t>
      </w:r>
      <w:r w:rsidRPr="008064B1">
        <w:rPr>
          <w:rFonts w:ascii="Times New Roman" w:hAnsi="Times New Roman" w:cs="Times New Roman"/>
          <w:sz w:val="24"/>
          <w:szCs w:val="24"/>
        </w:rPr>
        <w:t xml:space="preserve">the students decide when learning takes place. </w:t>
      </w:r>
      <w:r>
        <w:rPr>
          <w:rFonts w:ascii="Times New Roman" w:hAnsi="Times New Roman" w:cs="Times New Roman"/>
          <w:sz w:val="24"/>
          <w:szCs w:val="24"/>
        </w:rPr>
        <w:t xml:space="preserve">Throughout the learning programme the method of teaching and learning aim to teach the students through an andragogic approach which aims to respect the adult learners own methods of learning. However, arguably with Rogers’s theory some of the learners may need to be guided within the learning as not all students have the confidence to take initiative to direct themselves throughout the programme. The students are given the opportunity to pursue their own learning methods but are closely monitored in terms of their progress throughout the programme. </w:t>
      </w:r>
    </w:p>
    <w:p w:rsidR="00B02AA6" w:rsidRPr="008064B1" w:rsidRDefault="00B02AA6"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Another theorist that is concerned with the cognitive process of learning is </w:t>
      </w:r>
      <w:r w:rsidRPr="008064B1">
        <w:rPr>
          <w:rFonts w:ascii="Times New Roman" w:hAnsi="Times New Roman" w:cs="Times New Roman"/>
          <w:sz w:val="24"/>
          <w:szCs w:val="24"/>
        </w:rPr>
        <w:t xml:space="preserve">Kolb (1984) </w:t>
      </w:r>
      <w:r>
        <w:rPr>
          <w:rFonts w:ascii="Times New Roman" w:hAnsi="Times New Roman" w:cs="Times New Roman"/>
          <w:sz w:val="24"/>
          <w:szCs w:val="24"/>
        </w:rPr>
        <w:t xml:space="preserve">who </w:t>
      </w:r>
      <w:r w:rsidRPr="008064B1">
        <w:rPr>
          <w:rFonts w:ascii="Times New Roman" w:hAnsi="Times New Roman" w:cs="Times New Roman"/>
          <w:sz w:val="24"/>
          <w:szCs w:val="24"/>
        </w:rPr>
        <w:t xml:space="preserve">developed an Experiential Learning theory </w:t>
      </w:r>
      <w:r>
        <w:rPr>
          <w:rFonts w:ascii="Times New Roman" w:hAnsi="Times New Roman" w:cs="Times New Roman"/>
          <w:sz w:val="24"/>
          <w:szCs w:val="24"/>
        </w:rPr>
        <w:t xml:space="preserve">which is greatly concerned with the learner’s internal cognitive processes and the process of learning new concepts. The four stages of Kolb’s learning cycle are the concrete experience where the learners are exposed to a new experience or concept. The second concept is the reflective observation in which the students reflect on what they have viewed or experienced. The abstract conceptualisation which is where the learning in which the reflection of the learning is developed into an understanding of the concept. The fourth concept is the active experimentation where students apply what they have learnt and sees what the results are. Through Kolb’s theory it allows the teachers to view when the learning takes place throughout the programme and the process that learning takes place. </w:t>
      </w:r>
    </w:p>
    <w:p w:rsidR="00B02AA6" w:rsidRDefault="00B02AA6" w:rsidP="00B02AA6">
      <w:pPr>
        <w:spacing w:before="240" w:line="480" w:lineRule="auto"/>
        <w:rPr>
          <w:rFonts w:ascii="Times New Roman" w:hAnsi="Times New Roman" w:cs="Times New Roman"/>
          <w:sz w:val="24"/>
          <w:szCs w:val="24"/>
        </w:rPr>
      </w:pPr>
      <w:r w:rsidRPr="008064B1">
        <w:rPr>
          <w:rFonts w:ascii="Times New Roman" w:hAnsi="Times New Roman" w:cs="Times New Roman"/>
          <w:sz w:val="24"/>
          <w:szCs w:val="24"/>
        </w:rPr>
        <w:t xml:space="preserve">Knowles </w:t>
      </w:r>
      <w:r>
        <w:rPr>
          <w:rFonts w:ascii="Times New Roman" w:hAnsi="Times New Roman" w:cs="Times New Roman"/>
          <w:sz w:val="24"/>
          <w:szCs w:val="24"/>
        </w:rPr>
        <w:t xml:space="preserve">(1984) made four assumptions about adult learners and the difference between teaching adult learners and children. Firstly the adult learner must have a self-concept of having the ability to think and learn for themselves, secondly the adult learner must have experience which is accumulated over time. Thirdly, the readiness to learn which develops over time with maturity, the fourth element is the adult learners orientation to learning which is developed over time through changing perceptions and shift to a problem centred learning that requires self- learning. The last element to Knowles’ theory is the motivation to learn, as a person matures their motivation to learn increases and the shift from pedagogy to andragogy is required in order to successfully cater to the needs and demands of adult learners. As Knowles believes that as a person becomes older their desire to learn increases, with this idea the learning programme aims to respect the learner’s ability and maturity to take control of their learning and aims to accommodate these various methods of adult teaching and learning. </w:t>
      </w:r>
    </w:p>
    <w:p w:rsidR="00B02AA6" w:rsidRDefault="00B02AA6"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lastRenderedPageBreak/>
        <w:t>Maslow</w:t>
      </w:r>
      <w:r w:rsidRPr="008064B1">
        <w:rPr>
          <w:rFonts w:ascii="Times New Roman" w:hAnsi="Times New Roman" w:cs="Times New Roman"/>
          <w:sz w:val="24"/>
          <w:szCs w:val="24"/>
        </w:rPr>
        <w:t xml:space="preserve"> </w:t>
      </w:r>
      <w:r>
        <w:rPr>
          <w:rFonts w:ascii="Times New Roman" w:hAnsi="Times New Roman" w:cs="Times New Roman"/>
          <w:sz w:val="24"/>
          <w:szCs w:val="24"/>
        </w:rPr>
        <w:t xml:space="preserve">(1943) was also interested in the development of learning and was interested in the motivational side of learning. Maslow created a </w:t>
      </w:r>
      <w:r w:rsidRPr="008064B1">
        <w:rPr>
          <w:rFonts w:ascii="Times New Roman" w:hAnsi="Times New Roman" w:cs="Times New Roman"/>
          <w:sz w:val="24"/>
          <w:szCs w:val="24"/>
        </w:rPr>
        <w:t>hierarchy of needs</w:t>
      </w:r>
      <w:r>
        <w:rPr>
          <w:rFonts w:ascii="Times New Roman" w:hAnsi="Times New Roman" w:cs="Times New Roman"/>
          <w:sz w:val="24"/>
          <w:szCs w:val="24"/>
        </w:rPr>
        <w:t xml:space="preserve"> is a motivational theory constructed of five tiers including the needs which humans need in order to survive. At the bottom the physiological needs include the basic needs that humans need in order to survive, once those needs are met individuals may move above to the next tier. The second tier consists of safety, when humans are placed into a safe environment they are able to learn efficiently. The third tier is the sense of love and belonging which humans must encounter in order to feel secure and have a sense of belonging. The fourth tier includes esteem when individuals are given respect and recognition for their achievements in their work. The fifth tier is the self-actualization which individuals must feel in order to desire to be the most that they can be. In order to implement Maslow’s theory into the learning programme the students must be fulfilled in all tiers in order to feel the need to work at the best of their abilities. The learning programme has aimed to accommodate a safe and varied form of learning which aims to apply to each individual students learning needs. </w:t>
      </w:r>
    </w:p>
    <w:p w:rsidR="00B02AA6" w:rsidRDefault="00B02AA6"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t>Cognitivism is concerned with how humans think and gain knowledge and understanding. Cognitivists examine how knowledge and learning develops through childhood into adulthood and the process of this change. P</w:t>
      </w:r>
      <w:r w:rsidRPr="008064B1">
        <w:rPr>
          <w:rFonts w:ascii="Times New Roman" w:hAnsi="Times New Roman" w:cs="Times New Roman"/>
          <w:sz w:val="24"/>
          <w:szCs w:val="24"/>
        </w:rPr>
        <w:t>i</w:t>
      </w:r>
      <w:r>
        <w:rPr>
          <w:rFonts w:ascii="Times New Roman" w:hAnsi="Times New Roman" w:cs="Times New Roman"/>
          <w:sz w:val="24"/>
          <w:szCs w:val="24"/>
        </w:rPr>
        <w:t>a</w:t>
      </w:r>
      <w:r w:rsidRPr="008064B1">
        <w:rPr>
          <w:rFonts w:ascii="Times New Roman" w:hAnsi="Times New Roman" w:cs="Times New Roman"/>
          <w:sz w:val="24"/>
          <w:szCs w:val="24"/>
        </w:rPr>
        <w:t xml:space="preserve">get </w:t>
      </w:r>
      <w:r>
        <w:rPr>
          <w:rFonts w:ascii="Times New Roman" w:hAnsi="Times New Roman" w:cs="Times New Roman"/>
          <w:sz w:val="24"/>
          <w:szCs w:val="24"/>
        </w:rPr>
        <w:t>(1936) created a Cognitive</w:t>
      </w:r>
      <w:r w:rsidRPr="008064B1">
        <w:rPr>
          <w:rFonts w:ascii="Times New Roman" w:hAnsi="Times New Roman" w:cs="Times New Roman"/>
          <w:sz w:val="24"/>
          <w:szCs w:val="24"/>
        </w:rPr>
        <w:t xml:space="preserve"> </w:t>
      </w:r>
      <w:r>
        <w:rPr>
          <w:rFonts w:ascii="Times New Roman" w:hAnsi="Times New Roman" w:cs="Times New Roman"/>
          <w:sz w:val="24"/>
          <w:szCs w:val="24"/>
        </w:rPr>
        <w:t>development theory which observes the cognitive development of children into adults. Piaget concluded that there are four stages of development, the first the sensorimotor stage from birth to two is the development of objet permanence in which the child can conclude that an object exists. The second preoperational stage from two to seven years is the development and ability to conclude that an object has a meaning and a purpose. The third concrete operational stage from seven to eleven is the most critical part of development which is when the child begins to think for themselves.  The final form operational stage from eleven to adulthood in which children become free thinking logical adults who can understand terms and concepts.</w:t>
      </w:r>
    </w:p>
    <w:p w:rsidR="00B02AA6" w:rsidRPr="008064B1" w:rsidRDefault="00B02AA6"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In terms of Piaget’s theory the students should be at the operational stage of their development and should be free thinking in terms of logic and critical thinking. The students are given the opportunity to self-learn and have control over their own learning and critical thinking. However, it could be argued that Piaget has not taken into account each individual learners own personal development and does not consider that some students may process information and learning at a different rate to other students. The learning programme aims to teach the students at their own pace while monitoring their progress carefully through self-reflection of their work each week. Students are given the balance between self-directed learning and teacher led learning which allows them the opportunity to be taught through their own personal preferences while allowing them to develop their own personal skills and understanding. </w:t>
      </w:r>
    </w:p>
    <w:p w:rsidR="00B02AA6" w:rsidRDefault="00B02AA6"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t>Constructivism believes that s</w:t>
      </w:r>
      <w:r w:rsidRPr="008064B1">
        <w:rPr>
          <w:rFonts w:ascii="Times New Roman" w:hAnsi="Times New Roman" w:cs="Times New Roman"/>
          <w:sz w:val="24"/>
          <w:szCs w:val="24"/>
        </w:rPr>
        <w:t>tudent</w:t>
      </w:r>
      <w:r>
        <w:rPr>
          <w:rFonts w:ascii="Times New Roman" w:hAnsi="Times New Roman" w:cs="Times New Roman"/>
          <w:sz w:val="24"/>
          <w:szCs w:val="24"/>
        </w:rPr>
        <w:t xml:space="preserve">s should </w:t>
      </w:r>
      <w:r w:rsidRPr="008064B1">
        <w:rPr>
          <w:rFonts w:ascii="Times New Roman" w:hAnsi="Times New Roman" w:cs="Times New Roman"/>
          <w:sz w:val="24"/>
          <w:szCs w:val="24"/>
        </w:rPr>
        <w:t xml:space="preserve">lead </w:t>
      </w:r>
      <w:r>
        <w:rPr>
          <w:rFonts w:ascii="Times New Roman" w:hAnsi="Times New Roman" w:cs="Times New Roman"/>
          <w:sz w:val="24"/>
          <w:szCs w:val="24"/>
        </w:rPr>
        <w:t xml:space="preserve">their own </w:t>
      </w:r>
      <w:r w:rsidRPr="008064B1">
        <w:rPr>
          <w:rFonts w:ascii="Times New Roman" w:hAnsi="Times New Roman" w:cs="Times New Roman"/>
          <w:sz w:val="24"/>
          <w:szCs w:val="24"/>
        </w:rPr>
        <w:t xml:space="preserve">learning </w:t>
      </w:r>
      <w:r>
        <w:rPr>
          <w:rFonts w:ascii="Times New Roman" w:hAnsi="Times New Roman" w:cs="Times New Roman"/>
          <w:sz w:val="24"/>
          <w:szCs w:val="24"/>
        </w:rPr>
        <w:t>while</w:t>
      </w:r>
      <w:r w:rsidRPr="008064B1">
        <w:rPr>
          <w:rFonts w:ascii="Times New Roman" w:hAnsi="Times New Roman" w:cs="Times New Roman"/>
          <w:sz w:val="24"/>
          <w:szCs w:val="24"/>
        </w:rPr>
        <w:t xml:space="preserve"> the teachers learn through their students</w:t>
      </w:r>
      <w:r>
        <w:rPr>
          <w:rFonts w:ascii="Times New Roman" w:hAnsi="Times New Roman" w:cs="Times New Roman"/>
          <w:sz w:val="24"/>
          <w:szCs w:val="24"/>
        </w:rPr>
        <w:t xml:space="preserve">. Constructivists are concerned with the nature of human learning and how tis influences human learning and teaching. </w:t>
      </w:r>
      <w:r w:rsidRPr="008064B1">
        <w:rPr>
          <w:rFonts w:ascii="Times New Roman" w:hAnsi="Times New Roman" w:cs="Times New Roman"/>
          <w:sz w:val="24"/>
          <w:szCs w:val="24"/>
        </w:rPr>
        <w:t xml:space="preserve">Vygotsky </w:t>
      </w:r>
      <w:r>
        <w:rPr>
          <w:rFonts w:ascii="Times New Roman" w:hAnsi="Times New Roman" w:cs="Times New Roman"/>
          <w:sz w:val="24"/>
          <w:szCs w:val="24"/>
        </w:rPr>
        <w:t>(</w:t>
      </w:r>
      <w:r w:rsidRPr="008064B1">
        <w:rPr>
          <w:rFonts w:ascii="Times New Roman" w:hAnsi="Times New Roman" w:cs="Times New Roman"/>
          <w:sz w:val="24"/>
          <w:szCs w:val="24"/>
        </w:rPr>
        <w:t>1978</w:t>
      </w:r>
      <w:r>
        <w:rPr>
          <w:rFonts w:ascii="Times New Roman" w:hAnsi="Times New Roman" w:cs="Times New Roman"/>
          <w:sz w:val="24"/>
          <w:szCs w:val="24"/>
        </w:rPr>
        <w:t xml:space="preserve">) created a Social Development Theory which believes that a child’s learning and development is largely formed through social interactions with others and the importance of community in raising a child. Unlike Piaget’s theory Vygotsky believed that a child begins to learn socially before they develop cognitively. Vygotsky created a concept known as the Zone of Proximal Development that looks at how a child can achieve independently and how they can achieve with the help and guidance of others. The zone includes the process of learning a new concept which the child must pass in order to learn, within this process there is a zone in which some aspects of the learning may require the help of others in order to guide the child in their learning. </w:t>
      </w:r>
    </w:p>
    <w:p w:rsidR="00B02AA6" w:rsidRPr="008064B1" w:rsidRDefault="00B02AA6"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According to Vygotsky’s Zone of Proximal Development the students should have the capabilities of learning independently without much guidance from the teacher. However, the theory does not focus on the adult learner and arguably adult learners also require guidance in their learning especially learner’s that have been away from an educational setting for a period of time. Within the programme the students are expected to learn outside of the classroom setting and create their own work and presentations within the ten weeks. However, these self-directed learning sessions are monitored through the work and feedback provided by the teacher at the end of each session to monitor students development. </w:t>
      </w:r>
    </w:p>
    <w:p w:rsidR="00B02AA6" w:rsidRDefault="00B02AA6" w:rsidP="00B02AA6">
      <w:pPr>
        <w:spacing w:before="240" w:line="480" w:lineRule="auto"/>
        <w:rPr>
          <w:rFonts w:ascii="Times New Roman" w:hAnsi="Times New Roman" w:cs="Times New Roman"/>
          <w:sz w:val="24"/>
          <w:szCs w:val="24"/>
        </w:rPr>
      </w:pPr>
      <w:r>
        <w:rPr>
          <w:rFonts w:ascii="Times New Roman" w:hAnsi="Times New Roman" w:cs="Times New Roman"/>
          <w:sz w:val="24"/>
          <w:szCs w:val="24"/>
        </w:rPr>
        <w:t xml:space="preserve">In conclusion the four theories Behaviourist, Humanist, Cognitivist and Constructivist’s all apply to the learning programme in some ways. However, in reflection of the learning programme the programme is largely Humanist and Constructivist in the approach to adult learning and the learning strategies used within the programme. The course aims to give the student the respect to take control of their own learning while guiding them through the process. Both theories relate to these teaching concepts and discussed and evaluates the process in which adult learners learn and develop throughout their education. </w:t>
      </w:r>
    </w:p>
    <w:p w:rsidR="00B02AA6" w:rsidRDefault="00B02AA6" w:rsidP="00B02AA6">
      <w:pPr>
        <w:spacing w:before="240" w:line="480" w:lineRule="auto"/>
        <w:rPr>
          <w:rFonts w:ascii="Times New Roman" w:hAnsi="Times New Roman" w:cs="Times New Roman"/>
          <w:sz w:val="24"/>
          <w:szCs w:val="24"/>
        </w:rPr>
      </w:pPr>
    </w:p>
    <w:p w:rsidR="00B02AA6" w:rsidRDefault="00B02AA6" w:rsidP="00B02AA6">
      <w:pPr>
        <w:spacing w:before="240" w:line="480" w:lineRule="auto"/>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sdt>
      <w:sdtPr>
        <w:id w:val="164748787"/>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B02AA6" w:rsidRDefault="00B02AA6">
          <w:pPr>
            <w:pStyle w:val="Heading1"/>
          </w:pPr>
          <w:r>
            <w:t>Bibliography</w:t>
          </w:r>
        </w:p>
        <w:sdt>
          <w:sdtPr>
            <w:id w:val="111145805"/>
            <w:bibliography/>
          </w:sdtPr>
          <w:sdtContent>
            <w:p w:rsidR="00B02AA6" w:rsidRDefault="00B02AA6" w:rsidP="00B02AA6">
              <w:pPr>
                <w:pStyle w:val="Bibliography"/>
                <w:rPr>
                  <w:rFonts w:ascii="Times New Roman" w:hAnsi="Times New Roman" w:cs="Times New Roman"/>
                  <w:noProof/>
                  <w:sz w:val="24"/>
                  <w:szCs w:val="24"/>
                  <w:lang w:val="en-US"/>
                </w:rPr>
              </w:pPr>
              <w:r w:rsidRPr="00B02AA6">
                <w:rPr>
                  <w:rFonts w:ascii="Times New Roman" w:hAnsi="Times New Roman" w:cs="Times New Roman"/>
                  <w:sz w:val="24"/>
                  <w:szCs w:val="24"/>
                </w:rPr>
                <w:fldChar w:fldCharType="begin"/>
              </w:r>
              <w:r w:rsidRPr="00B02AA6">
                <w:rPr>
                  <w:rFonts w:ascii="Times New Roman" w:hAnsi="Times New Roman" w:cs="Times New Roman"/>
                  <w:sz w:val="24"/>
                  <w:szCs w:val="24"/>
                </w:rPr>
                <w:instrText xml:space="preserve"> BIBLIOGRAPHY </w:instrText>
              </w:r>
              <w:r w:rsidRPr="00B02AA6">
                <w:rPr>
                  <w:rFonts w:ascii="Times New Roman" w:hAnsi="Times New Roman" w:cs="Times New Roman"/>
                  <w:sz w:val="24"/>
                  <w:szCs w:val="24"/>
                </w:rPr>
                <w:fldChar w:fldCharType="separate"/>
              </w:r>
              <w:r w:rsidRPr="00B02AA6">
                <w:rPr>
                  <w:rFonts w:ascii="Times New Roman" w:hAnsi="Times New Roman" w:cs="Times New Roman"/>
                  <w:noProof/>
                  <w:sz w:val="24"/>
                  <w:szCs w:val="24"/>
                  <w:lang w:val="en-US"/>
                </w:rPr>
                <w:t xml:space="preserve">Blanchard, J., 2009. </w:t>
              </w:r>
              <w:r w:rsidRPr="00B02AA6">
                <w:rPr>
                  <w:rFonts w:ascii="Times New Roman" w:hAnsi="Times New Roman" w:cs="Times New Roman"/>
                  <w:i/>
                  <w:iCs/>
                  <w:noProof/>
                  <w:sz w:val="24"/>
                  <w:szCs w:val="24"/>
                  <w:lang w:val="en-US"/>
                </w:rPr>
                <w:t xml:space="preserve">Teaching, Learning and Assessment. </w:t>
              </w:r>
              <w:r w:rsidRPr="00B02AA6">
                <w:rPr>
                  <w:rFonts w:ascii="Times New Roman" w:hAnsi="Times New Roman" w:cs="Times New Roman"/>
                  <w:noProof/>
                  <w:sz w:val="24"/>
                  <w:szCs w:val="24"/>
                  <w:lang w:val="en-US"/>
                </w:rPr>
                <w:t>Maidenhead: Open University Press.</w:t>
              </w:r>
            </w:p>
            <w:p w:rsidR="004537FD" w:rsidRPr="004537FD" w:rsidRDefault="004537FD" w:rsidP="004537FD">
              <w:pPr>
                <w:rPr>
                  <w:rFonts w:ascii="Times New Roman" w:hAnsi="Times New Roman" w:cs="Times New Roman"/>
                  <w:sz w:val="24"/>
                  <w:szCs w:val="24"/>
                  <w:lang w:val="en-US"/>
                </w:rPr>
              </w:pPr>
              <w:r w:rsidRPr="004537FD">
                <w:rPr>
                  <w:rFonts w:ascii="Times New Roman" w:hAnsi="Times New Roman" w:cs="Times New Roman"/>
                  <w:sz w:val="24"/>
                  <w:szCs w:val="24"/>
                </w:rPr>
                <w:t>Bloom, B., Englehart, M. Furst, E.</w:t>
              </w:r>
              <w:r>
                <w:rPr>
                  <w:rFonts w:ascii="Times New Roman" w:hAnsi="Times New Roman" w:cs="Times New Roman"/>
                  <w:sz w:val="24"/>
                  <w:szCs w:val="24"/>
                </w:rPr>
                <w:t>, Hill, W., &amp; Krathwohl, D. (19</w:t>
              </w:r>
              <w:r w:rsidRPr="004537FD">
                <w:rPr>
                  <w:rFonts w:ascii="Times New Roman" w:hAnsi="Times New Roman" w:cs="Times New Roman"/>
                  <w:sz w:val="24"/>
                  <w:szCs w:val="24"/>
                </w:rPr>
                <w:t>6</w:t>
              </w:r>
              <w:r>
                <w:rPr>
                  <w:rFonts w:ascii="Times New Roman" w:hAnsi="Times New Roman" w:cs="Times New Roman"/>
                  <w:sz w:val="24"/>
                  <w:szCs w:val="24"/>
                </w:rPr>
                <w:t>5</w:t>
              </w:r>
              <w:r w:rsidRPr="004537FD">
                <w:rPr>
                  <w:rFonts w:ascii="Times New Roman" w:hAnsi="Times New Roman" w:cs="Times New Roman"/>
                  <w:sz w:val="24"/>
                  <w:szCs w:val="24"/>
                </w:rPr>
                <w:t>). Taxonomy of educational objectives: The classification of educational goals. Handbook I: Cognitive domain. New Y</w:t>
              </w:r>
              <w:r w:rsidRPr="004537FD">
                <w:rPr>
                  <w:rFonts w:ascii="Times New Roman" w:hAnsi="Times New Roman" w:cs="Times New Roman"/>
                  <w:sz w:val="24"/>
                  <w:szCs w:val="24"/>
                </w:rPr>
                <w:t xml:space="preserve">ork, Toronto: Longmans, Green. </w:t>
              </w:r>
            </w:p>
            <w:p w:rsidR="00B02AA6" w:rsidRPr="00B02AA6" w:rsidRDefault="00B02AA6" w:rsidP="00B02AA6">
              <w:pPr>
                <w:pStyle w:val="Bibliography"/>
                <w:rPr>
                  <w:rFonts w:ascii="Times New Roman" w:hAnsi="Times New Roman" w:cs="Times New Roman"/>
                  <w:noProof/>
                  <w:sz w:val="24"/>
                  <w:szCs w:val="24"/>
                  <w:lang w:val="en-US"/>
                </w:rPr>
              </w:pPr>
              <w:r w:rsidRPr="00B02AA6">
                <w:rPr>
                  <w:rFonts w:ascii="Times New Roman" w:hAnsi="Times New Roman" w:cs="Times New Roman"/>
                  <w:noProof/>
                  <w:sz w:val="24"/>
                  <w:szCs w:val="24"/>
                  <w:lang w:val="en-US"/>
                </w:rPr>
                <w:t xml:space="preserve">Butcher, C., 2015. </w:t>
              </w:r>
              <w:r w:rsidRPr="00B02AA6">
                <w:rPr>
                  <w:rFonts w:ascii="Times New Roman" w:hAnsi="Times New Roman" w:cs="Times New Roman"/>
                  <w:i/>
                  <w:iCs/>
                  <w:noProof/>
                  <w:sz w:val="24"/>
                  <w:szCs w:val="24"/>
                  <w:lang w:val="en-US"/>
                </w:rPr>
                <w:t xml:space="preserve">A Handbook for Teaching &amp; Learning in Higher Education. </w:t>
              </w:r>
              <w:r w:rsidRPr="00B02AA6">
                <w:rPr>
                  <w:rFonts w:ascii="Times New Roman" w:hAnsi="Times New Roman" w:cs="Times New Roman"/>
                  <w:noProof/>
                  <w:sz w:val="24"/>
                  <w:szCs w:val="24"/>
                  <w:lang w:val="en-US"/>
                </w:rPr>
                <w:t>4th ed. London: Routledge.</w:t>
              </w:r>
            </w:p>
            <w:p w:rsidR="00B02AA6" w:rsidRPr="00B02AA6" w:rsidRDefault="00B02AA6" w:rsidP="00B02AA6">
              <w:pPr>
                <w:pStyle w:val="Bibliography"/>
                <w:rPr>
                  <w:rFonts w:ascii="Times New Roman" w:hAnsi="Times New Roman" w:cs="Times New Roman"/>
                  <w:noProof/>
                  <w:sz w:val="24"/>
                  <w:szCs w:val="24"/>
                  <w:lang w:val="en-US"/>
                </w:rPr>
              </w:pPr>
              <w:r w:rsidRPr="00B02AA6">
                <w:rPr>
                  <w:rFonts w:ascii="Times New Roman" w:hAnsi="Times New Roman" w:cs="Times New Roman"/>
                  <w:noProof/>
                  <w:sz w:val="24"/>
                  <w:szCs w:val="24"/>
                  <w:lang w:val="en-US"/>
                </w:rPr>
                <w:t xml:space="preserve">Butt, G., 2010. </w:t>
              </w:r>
              <w:r w:rsidRPr="00B02AA6">
                <w:rPr>
                  <w:rFonts w:ascii="Times New Roman" w:hAnsi="Times New Roman" w:cs="Times New Roman"/>
                  <w:i/>
                  <w:iCs/>
                  <w:noProof/>
                  <w:sz w:val="24"/>
                  <w:szCs w:val="24"/>
                  <w:lang w:val="en-US"/>
                </w:rPr>
                <w:t xml:space="preserve">Making Assessment Matter. </w:t>
              </w:r>
              <w:r w:rsidRPr="00B02AA6">
                <w:rPr>
                  <w:rFonts w:ascii="Times New Roman" w:hAnsi="Times New Roman" w:cs="Times New Roman"/>
                  <w:noProof/>
                  <w:sz w:val="24"/>
                  <w:szCs w:val="24"/>
                  <w:lang w:val="en-US"/>
                </w:rPr>
                <w:t>London : Continuum .</w:t>
              </w:r>
            </w:p>
            <w:p w:rsidR="00B02AA6" w:rsidRPr="00B02AA6" w:rsidRDefault="00B02AA6" w:rsidP="00B02AA6">
              <w:pPr>
                <w:pStyle w:val="Bibliography"/>
                <w:rPr>
                  <w:rFonts w:ascii="Times New Roman" w:hAnsi="Times New Roman" w:cs="Times New Roman"/>
                  <w:noProof/>
                  <w:sz w:val="24"/>
                  <w:szCs w:val="24"/>
                  <w:lang w:val="en-US"/>
                </w:rPr>
              </w:pPr>
              <w:r w:rsidRPr="00B02AA6">
                <w:rPr>
                  <w:rFonts w:ascii="Times New Roman" w:hAnsi="Times New Roman" w:cs="Times New Roman"/>
                  <w:noProof/>
                  <w:sz w:val="24"/>
                  <w:szCs w:val="24"/>
                  <w:lang w:val="en-US"/>
                </w:rPr>
                <w:t xml:space="preserve">Ecclestone, K. D. J. D. J. G. J., 2010. </w:t>
              </w:r>
              <w:r w:rsidRPr="00B02AA6">
                <w:rPr>
                  <w:rFonts w:ascii="Times New Roman" w:hAnsi="Times New Roman" w:cs="Times New Roman"/>
                  <w:i/>
                  <w:iCs/>
                  <w:noProof/>
                  <w:sz w:val="24"/>
                  <w:szCs w:val="24"/>
                  <w:lang w:val="en-US"/>
                </w:rPr>
                <w:t xml:space="preserve">Transforming Formative Assessment in Lifelong Learning. </w:t>
              </w:r>
              <w:r w:rsidRPr="00B02AA6">
                <w:rPr>
                  <w:rFonts w:ascii="Times New Roman" w:hAnsi="Times New Roman" w:cs="Times New Roman"/>
                  <w:noProof/>
                  <w:sz w:val="24"/>
                  <w:szCs w:val="24"/>
                  <w:lang w:val="en-US"/>
                </w:rPr>
                <w:t>Berkshire: Open University Press .</w:t>
              </w:r>
            </w:p>
            <w:p w:rsidR="00B02AA6" w:rsidRDefault="00E044A4" w:rsidP="00B02AA6">
              <w:pPr>
                <w:pStyle w:val="Bibliography"/>
                <w:rPr>
                  <w:rFonts w:ascii="Times New Roman" w:hAnsi="Times New Roman" w:cs="Times New Roman"/>
                  <w:noProof/>
                  <w:sz w:val="24"/>
                  <w:szCs w:val="24"/>
                  <w:lang w:val="en-US"/>
                </w:rPr>
              </w:pPr>
              <w:r>
                <w:rPr>
                  <w:rFonts w:ascii="Times New Roman" w:hAnsi="Times New Roman" w:cs="Times New Roman"/>
                  <w:noProof/>
                  <w:sz w:val="24"/>
                  <w:szCs w:val="24"/>
                  <w:lang w:val="en-US"/>
                </w:rPr>
                <w:t>Gair, M. &amp;. Mullins,</w:t>
              </w:r>
              <w:r w:rsidR="00B02AA6" w:rsidRPr="00B02AA6">
                <w:rPr>
                  <w:rFonts w:ascii="Times New Roman" w:hAnsi="Times New Roman" w:cs="Times New Roman"/>
                  <w:noProof/>
                  <w:sz w:val="24"/>
                  <w:szCs w:val="24"/>
                  <w:lang w:val="en-US"/>
                </w:rPr>
                <w:t xml:space="preserve"> G., 2001. Hiding in Plain Sight. In: E. Margolis, ed. </w:t>
              </w:r>
              <w:r w:rsidR="00B02AA6" w:rsidRPr="00B02AA6">
                <w:rPr>
                  <w:rFonts w:ascii="Times New Roman" w:hAnsi="Times New Roman" w:cs="Times New Roman"/>
                  <w:i/>
                  <w:iCs/>
                  <w:noProof/>
                  <w:sz w:val="24"/>
                  <w:szCs w:val="24"/>
                  <w:lang w:val="en-US"/>
                </w:rPr>
                <w:t xml:space="preserve">The Hidden Curriculum in Higher Education . </w:t>
              </w:r>
              <w:r w:rsidR="00B02AA6" w:rsidRPr="00B02AA6">
                <w:rPr>
                  <w:rFonts w:ascii="Times New Roman" w:hAnsi="Times New Roman" w:cs="Times New Roman"/>
                  <w:noProof/>
                  <w:sz w:val="24"/>
                  <w:szCs w:val="24"/>
                  <w:lang w:val="en-US"/>
                </w:rPr>
                <w:t>London: Routledge , p. 23.</w:t>
              </w:r>
            </w:p>
            <w:p w:rsidR="003F35D0" w:rsidRPr="00E044A4" w:rsidRDefault="003F35D0" w:rsidP="00E044A4">
              <w:pPr>
                <w:shd w:val="clear" w:color="auto" w:fill="FFFFFF"/>
                <w:spacing w:after="180" w:line="360" w:lineRule="atLeast"/>
                <w:rPr>
                  <w:rFonts w:ascii="Times New Roman" w:eastAsia="Times New Roman" w:hAnsi="Times New Roman" w:cs="Times New Roman"/>
                  <w:color w:val="333333"/>
                  <w:sz w:val="24"/>
                  <w:szCs w:val="24"/>
                  <w:lang w:eastAsia="en-GB"/>
                </w:rPr>
              </w:pPr>
              <w:r w:rsidRPr="003F35D0">
                <w:rPr>
                  <w:rFonts w:ascii="Times New Roman" w:eastAsia="Times New Roman" w:hAnsi="Times New Roman" w:cs="Times New Roman"/>
                  <w:color w:val="333333"/>
                  <w:sz w:val="24"/>
                  <w:szCs w:val="24"/>
                  <w:lang w:eastAsia="en-GB"/>
                </w:rPr>
                <w:t>Honey, P. &amp; Mumford, A. (1982) Manual of Learning Styles London: P Honey</w:t>
              </w:r>
            </w:p>
            <w:p w:rsidR="00B02AA6" w:rsidRDefault="00B02AA6" w:rsidP="00B02AA6">
              <w:pPr>
                <w:pStyle w:val="Bibliography"/>
                <w:rPr>
                  <w:rFonts w:ascii="Times New Roman" w:hAnsi="Times New Roman" w:cs="Times New Roman"/>
                  <w:noProof/>
                  <w:sz w:val="24"/>
                  <w:szCs w:val="24"/>
                  <w:lang w:val="en-US"/>
                </w:rPr>
              </w:pPr>
              <w:r w:rsidRPr="00B02AA6">
                <w:rPr>
                  <w:rFonts w:ascii="Times New Roman" w:hAnsi="Times New Roman" w:cs="Times New Roman"/>
                  <w:noProof/>
                  <w:sz w:val="24"/>
                  <w:szCs w:val="24"/>
                  <w:lang w:val="en-US"/>
                </w:rPr>
                <w:t xml:space="preserve">Kelly, A., 2004. </w:t>
              </w:r>
              <w:r w:rsidRPr="00B02AA6">
                <w:rPr>
                  <w:rFonts w:ascii="Times New Roman" w:hAnsi="Times New Roman" w:cs="Times New Roman"/>
                  <w:i/>
                  <w:iCs/>
                  <w:noProof/>
                  <w:sz w:val="24"/>
                  <w:szCs w:val="24"/>
                  <w:lang w:val="en-US"/>
                </w:rPr>
                <w:t xml:space="preserve">The Curriculum Theory and Practice. </w:t>
              </w:r>
              <w:r w:rsidRPr="00B02AA6">
                <w:rPr>
                  <w:rFonts w:ascii="Times New Roman" w:hAnsi="Times New Roman" w:cs="Times New Roman"/>
                  <w:noProof/>
                  <w:sz w:val="24"/>
                  <w:szCs w:val="24"/>
                  <w:lang w:val="en-US"/>
                </w:rPr>
                <w:t>5th ed. London: Sage.</w:t>
              </w:r>
            </w:p>
            <w:p w:rsidR="003F35D0" w:rsidRDefault="003F35D0" w:rsidP="003F35D0">
              <w:pPr>
                <w:spacing w:after="120" w:line="240" w:lineRule="auto"/>
                <w:rPr>
                  <w:rFonts w:ascii="Times New Roman" w:eastAsia="Times New Roman" w:hAnsi="Times New Roman" w:cs="Times New Roman"/>
                  <w:color w:val="4B4B4B"/>
                  <w:sz w:val="24"/>
                  <w:szCs w:val="24"/>
                  <w:lang w:eastAsia="en-GB"/>
                </w:rPr>
              </w:pPr>
              <w:r w:rsidRPr="003F35D0">
                <w:rPr>
                  <w:rFonts w:ascii="Times New Roman" w:eastAsia="Times New Roman" w:hAnsi="Times New Roman" w:cs="Times New Roman"/>
                  <w:color w:val="4B4B4B"/>
                  <w:sz w:val="24"/>
                  <w:szCs w:val="24"/>
                  <w:lang w:eastAsia="en-GB"/>
                </w:rPr>
                <w:t>Knowles, M. (1984). Andragogy in Action. San Francisco: Jossey-Bass.</w:t>
              </w:r>
            </w:p>
            <w:p w:rsidR="003F35D0" w:rsidRPr="003F35D0" w:rsidRDefault="003F35D0" w:rsidP="003F35D0">
              <w:pPr>
                <w:spacing w:after="120" w:line="240" w:lineRule="auto"/>
                <w:rPr>
                  <w:rFonts w:ascii="Times New Roman" w:eastAsia="Times New Roman" w:hAnsi="Times New Roman" w:cs="Times New Roman"/>
                  <w:color w:val="4B4B4B"/>
                  <w:sz w:val="24"/>
                  <w:szCs w:val="24"/>
                  <w:lang w:eastAsia="en-GB"/>
                </w:rPr>
              </w:pPr>
              <w:r w:rsidRPr="003F35D0">
                <w:rPr>
                  <w:rFonts w:ascii="Times New Roman" w:hAnsi="Times New Roman" w:cs="Times New Roman"/>
                  <w:color w:val="333333"/>
                  <w:sz w:val="24"/>
                  <w:szCs w:val="24"/>
                  <w:shd w:val="clear" w:color="auto" w:fill="FFFFFF"/>
                </w:rPr>
                <w:t>Kolb, D. A. (1984). </w:t>
              </w:r>
              <w:r w:rsidRPr="003F35D0">
                <w:rPr>
                  <w:rStyle w:val="Emphasis"/>
                  <w:rFonts w:ascii="Times New Roman" w:hAnsi="Times New Roman" w:cs="Times New Roman"/>
                  <w:color w:val="333333"/>
                  <w:sz w:val="24"/>
                  <w:szCs w:val="24"/>
                  <w:shd w:val="clear" w:color="auto" w:fill="FFFFFF"/>
                </w:rPr>
                <w:t>Experiential learning: Experience as the source of learning and development</w:t>
              </w:r>
              <w:r w:rsidRPr="003F35D0">
                <w:rPr>
                  <w:rFonts w:ascii="Times New Roman" w:hAnsi="Times New Roman" w:cs="Times New Roman"/>
                  <w:color w:val="333333"/>
                  <w:sz w:val="24"/>
                  <w:szCs w:val="24"/>
                  <w:shd w:val="clear" w:color="auto" w:fill="FFFFFF"/>
                </w:rPr>
                <w:t> (Vol. 1). Englewood Cliffs, NJ: Prentice-Hall.</w:t>
              </w:r>
            </w:p>
            <w:p w:rsidR="00B02AA6" w:rsidRDefault="00B02AA6" w:rsidP="00B02AA6">
              <w:pPr>
                <w:rPr>
                  <w:rFonts w:ascii="Times New Roman" w:hAnsi="Times New Roman" w:cs="Times New Roman"/>
                  <w:color w:val="333333"/>
                  <w:sz w:val="24"/>
                  <w:szCs w:val="24"/>
                  <w:shd w:val="clear" w:color="auto" w:fill="FFFFFF"/>
                </w:rPr>
              </w:pPr>
              <w:r w:rsidRPr="00B02AA6">
                <w:rPr>
                  <w:rFonts w:ascii="Times New Roman" w:hAnsi="Times New Roman" w:cs="Times New Roman"/>
                  <w:color w:val="333333"/>
                  <w:sz w:val="24"/>
                  <w:szCs w:val="24"/>
                  <w:shd w:val="clear" w:color="auto" w:fill="FFFFFF"/>
                </w:rPr>
                <w:t>Maslow, A. H. 1943</w:t>
              </w:r>
              <w:r w:rsidRPr="00B02AA6">
                <w:rPr>
                  <w:rFonts w:ascii="Times New Roman" w:hAnsi="Times New Roman" w:cs="Times New Roman"/>
                  <w:color w:val="333333"/>
                  <w:sz w:val="24"/>
                  <w:szCs w:val="24"/>
                  <w:shd w:val="clear" w:color="auto" w:fill="FFFFFF"/>
                </w:rPr>
                <w:t>. </w:t>
              </w:r>
              <w:r w:rsidRPr="00B02AA6">
                <w:rPr>
                  <w:rFonts w:ascii="Times New Roman" w:hAnsi="Times New Roman" w:cs="Times New Roman"/>
                  <w:color w:val="000000" w:themeColor="text1"/>
                  <w:sz w:val="24"/>
                  <w:szCs w:val="24"/>
                </w:rPr>
                <w:t>A Theory of Human Motivation</w:t>
              </w:r>
              <w:r w:rsidRPr="00B02AA6">
                <w:rPr>
                  <w:rFonts w:ascii="Times New Roman" w:hAnsi="Times New Roman" w:cs="Times New Roman"/>
                  <w:color w:val="000000" w:themeColor="text1"/>
                  <w:sz w:val="24"/>
                  <w:szCs w:val="24"/>
                  <w:shd w:val="clear" w:color="auto" w:fill="FFFFFF"/>
                </w:rPr>
                <w:t>.</w:t>
              </w:r>
              <w:r w:rsidRPr="00B02AA6">
                <w:rPr>
                  <w:rFonts w:ascii="Times New Roman" w:hAnsi="Times New Roman" w:cs="Times New Roman"/>
                  <w:color w:val="333333"/>
                  <w:sz w:val="24"/>
                  <w:szCs w:val="24"/>
                  <w:shd w:val="clear" w:color="auto" w:fill="FFFFFF"/>
                </w:rPr>
                <w:t> </w:t>
              </w:r>
              <w:r w:rsidRPr="00B02AA6">
                <w:rPr>
                  <w:rStyle w:val="Emphasis"/>
                  <w:rFonts w:ascii="Times New Roman" w:hAnsi="Times New Roman" w:cs="Times New Roman"/>
                  <w:color w:val="333333"/>
                  <w:sz w:val="24"/>
                  <w:szCs w:val="24"/>
                  <w:shd w:val="clear" w:color="auto" w:fill="FFFFFF"/>
                </w:rPr>
                <w:t>Psychological Review, 50(4)</w:t>
              </w:r>
              <w:r w:rsidRPr="00B02AA6">
                <w:rPr>
                  <w:rFonts w:ascii="Times New Roman" w:hAnsi="Times New Roman" w:cs="Times New Roman"/>
                  <w:color w:val="333333"/>
                  <w:sz w:val="24"/>
                  <w:szCs w:val="24"/>
                  <w:shd w:val="clear" w:color="auto" w:fill="FFFFFF"/>
                </w:rPr>
                <w:t>, 370-96.</w:t>
              </w:r>
            </w:p>
            <w:p w:rsidR="003F35D0" w:rsidRPr="003F35D0" w:rsidRDefault="003F35D0" w:rsidP="00B02AA6">
              <w:pPr>
                <w:rPr>
                  <w:rFonts w:ascii="Times New Roman" w:hAnsi="Times New Roman" w:cs="Times New Roman"/>
                  <w:sz w:val="24"/>
                  <w:szCs w:val="24"/>
                  <w:lang w:val="en-US"/>
                </w:rPr>
              </w:pPr>
              <w:r w:rsidRPr="003F35D0">
                <w:rPr>
                  <w:rFonts w:ascii="Times New Roman" w:hAnsi="Times New Roman" w:cs="Times New Roman"/>
                  <w:color w:val="333333"/>
                  <w:sz w:val="24"/>
                  <w:szCs w:val="24"/>
                  <w:shd w:val="clear" w:color="auto" w:fill="FFFFFF"/>
                </w:rPr>
                <w:t>Piaget, J. (1936). </w:t>
              </w:r>
              <w:r w:rsidRPr="003F35D0">
                <w:rPr>
                  <w:rStyle w:val="Emphasis"/>
                  <w:rFonts w:ascii="Times New Roman" w:hAnsi="Times New Roman" w:cs="Times New Roman"/>
                  <w:color w:val="333333"/>
                  <w:sz w:val="24"/>
                  <w:szCs w:val="24"/>
                  <w:shd w:val="clear" w:color="auto" w:fill="FFFFFF"/>
                </w:rPr>
                <w:t>Origins of intelligence in the child.</w:t>
              </w:r>
              <w:r w:rsidRPr="003F35D0">
                <w:rPr>
                  <w:rFonts w:ascii="Times New Roman" w:hAnsi="Times New Roman" w:cs="Times New Roman"/>
                  <w:color w:val="333333"/>
                  <w:sz w:val="24"/>
                  <w:szCs w:val="24"/>
                  <w:shd w:val="clear" w:color="auto" w:fill="FFFFFF"/>
                </w:rPr>
                <w:t> London: Routledge &amp; Kegan Paul.</w:t>
              </w:r>
            </w:p>
            <w:p w:rsidR="00B02AA6" w:rsidRDefault="00B02AA6" w:rsidP="00B02AA6">
              <w:pPr>
                <w:pStyle w:val="Bibliography"/>
                <w:rPr>
                  <w:rFonts w:ascii="Times New Roman" w:hAnsi="Times New Roman" w:cs="Times New Roman"/>
                  <w:noProof/>
                  <w:sz w:val="24"/>
                  <w:szCs w:val="24"/>
                  <w:lang w:val="en-US"/>
                </w:rPr>
              </w:pPr>
              <w:r w:rsidRPr="00B02AA6">
                <w:rPr>
                  <w:rFonts w:ascii="Times New Roman" w:hAnsi="Times New Roman" w:cs="Times New Roman"/>
                  <w:noProof/>
                  <w:sz w:val="24"/>
                  <w:szCs w:val="24"/>
                  <w:lang w:val="en-US"/>
                </w:rPr>
                <w:t xml:space="preserve">Pollard, A. &amp;. T. P., 1997. </w:t>
              </w:r>
              <w:r w:rsidRPr="00B02AA6">
                <w:rPr>
                  <w:rFonts w:ascii="Times New Roman" w:hAnsi="Times New Roman" w:cs="Times New Roman"/>
                  <w:i/>
                  <w:iCs/>
                  <w:noProof/>
                  <w:sz w:val="24"/>
                  <w:szCs w:val="24"/>
                  <w:lang w:val="en-US"/>
                </w:rPr>
                <w:t xml:space="preserve">Reflective Teaching in Secondary Education. </w:t>
              </w:r>
              <w:r w:rsidRPr="00B02AA6">
                <w:rPr>
                  <w:rFonts w:ascii="Times New Roman" w:hAnsi="Times New Roman" w:cs="Times New Roman"/>
                  <w:noProof/>
                  <w:sz w:val="24"/>
                  <w:szCs w:val="24"/>
                  <w:lang w:val="en-US"/>
                </w:rPr>
                <w:t>London: Cassell.</w:t>
              </w:r>
            </w:p>
            <w:p w:rsidR="00E044A4" w:rsidRPr="00E044A4" w:rsidRDefault="00E044A4" w:rsidP="00E044A4">
              <w:pPr>
                <w:rPr>
                  <w:rFonts w:ascii="Times New Roman" w:hAnsi="Times New Roman" w:cs="Times New Roman"/>
                  <w:sz w:val="24"/>
                  <w:szCs w:val="24"/>
                  <w:lang w:val="en-US"/>
                </w:rPr>
              </w:pPr>
              <w:r w:rsidRPr="00E044A4">
                <w:rPr>
                  <w:rFonts w:ascii="Times New Roman" w:hAnsi="Times New Roman" w:cs="Times New Roman"/>
                  <w:color w:val="333333"/>
                  <w:sz w:val="24"/>
                  <w:szCs w:val="24"/>
                  <w:shd w:val="clear" w:color="auto" w:fill="FFFFFF"/>
                </w:rPr>
                <w:t>Rogers, Carl R. </w:t>
              </w:r>
              <w:r w:rsidRPr="00E044A4">
                <w:rPr>
                  <w:rStyle w:val="Emphasis"/>
                  <w:rFonts w:ascii="Times New Roman" w:hAnsi="Times New Roman" w:cs="Times New Roman"/>
                  <w:color w:val="333333"/>
                  <w:sz w:val="24"/>
                  <w:szCs w:val="24"/>
                  <w:shd w:val="clear" w:color="auto" w:fill="FFFFFF"/>
                </w:rPr>
                <w:t>Freedom to Learn: A View of What Education Might Become</w:t>
              </w:r>
              <w:r w:rsidRPr="00E044A4">
                <w:rPr>
                  <w:rStyle w:val="Emphasis"/>
                  <w:rFonts w:ascii="Times New Roman" w:hAnsi="Times New Roman" w:cs="Times New Roman"/>
                  <w:color w:val="333333"/>
                  <w:sz w:val="24"/>
                  <w:szCs w:val="24"/>
                  <w:shd w:val="clear" w:color="auto" w:fill="FFFFFF"/>
                </w:rPr>
                <w:t>.</w:t>
              </w:r>
              <w:r w:rsidRPr="00E044A4">
                <w:rPr>
                  <w:rFonts w:ascii="Times New Roman" w:hAnsi="Times New Roman" w:cs="Times New Roman"/>
                  <w:color w:val="333333"/>
                  <w:sz w:val="24"/>
                  <w:szCs w:val="24"/>
                  <w:shd w:val="clear" w:color="auto" w:fill="FFFFFF"/>
                </w:rPr>
                <w:t> Columbus, Ohio: Charles E. Merrill Publishing Company, 1969.</w:t>
              </w:r>
            </w:p>
            <w:p w:rsidR="00B02AA6" w:rsidRDefault="00B02AA6" w:rsidP="00B02AA6">
              <w:pPr>
                <w:pStyle w:val="Bibliography"/>
                <w:rPr>
                  <w:rFonts w:ascii="Times New Roman" w:hAnsi="Times New Roman" w:cs="Times New Roman"/>
                  <w:noProof/>
                  <w:sz w:val="24"/>
                  <w:szCs w:val="24"/>
                  <w:lang w:val="en-US"/>
                </w:rPr>
              </w:pPr>
              <w:r w:rsidRPr="00B02AA6">
                <w:rPr>
                  <w:rFonts w:ascii="Times New Roman" w:hAnsi="Times New Roman" w:cs="Times New Roman"/>
                  <w:noProof/>
                  <w:sz w:val="24"/>
                  <w:szCs w:val="24"/>
                  <w:lang w:val="en-US"/>
                </w:rPr>
                <w:t xml:space="preserve">Sambell, K. M. M. C., 2012. </w:t>
              </w:r>
              <w:r w:rsidRPr="00B02AA6">
                <w:rPr>
                  <w:rFonts w:ascii="Times New Roman" w:hAnsi="Times New Roman" w:cs="Times New Roman"/>
                  <w:i/>
                  <w:iCs/>
                  <w:noProof/>
                  <w:sz w:val="24"/>
                  <w:szCs w:val="24"/>
                  <w:lang w:val="en-US"/>
                </w:rPr>
                <w:t xml:space="preserve">Assessment for Learning in Higher Education. </w:t>
              </w:r>
              <w:r w:rsidRPr="00B02AA6">
                <w:rPr>
                  <w:rFonts w:ascii="Times New Roman" w:hAnsi="Times New Roman" w:cs="Times New Roman"/>
                  <w:noProof/>
                  <w:sz w:val="24"/>
                  <w:szCs w:val="24"/>
                  <w:lang w:val="en-US"/>
                </w:rPr>
                <w:t>New York : Routledge .</w:t>
              </w:r>
            </w:p>
            <w:p w:rsidR="003F35D0" w:rsidRPr="003F35D0" w:rsidRDefault="003F35D0" w:rsidP="003F35D0">
              <w:pPr>
                <w:rPr>
                  <w:rFonts w:ascii="Times New Roman" w:hAnsi="Times New Roman" w:cs="Times New Roman"/>
                  <w:sz w:val="24"/>
                  <w:szCs w:val="24"/>
                  <w:lang w:val="en-US"/>
                </w:rPr>
              </w:pPr>
              <w:r w:rsidRPr="003F35D0">
                <w:rPr>
                  <w:rFonts w:ascii="Times New Roman" w:hAnsi="Times New Roman" w:cs="Times New Roman"/>
                  <w:color w:val="333333"/>
                  <w:sz w:val="24"/>
                  <w:szCs w:val="24"/>
                  <w:shd w:val="clear" w:color="auto" w:fill="FFFFFF"/>
                </w:rPr>
                <w:t>Skinner, B. F. (1938). </w:t>
              </w:r>
              <w:r w:rsidRPr="003F35D0">
                <w:rPr>
                  <w:rStyle w:val="Emphasis"/>
                  <w:rFonts w:ascii="Times New Roman" w:hAnsi="Times New Roman" w:cs="Times New Roman"/>
                  <w:color w:val="333333"/>
                  <w:sz w:val="24"/>
                  <w:szCs w:val="24"/>
                  <w:shd w:val="clear" w:color="auto" w:fill="FFFFFF"/>
                </w:rPr>
                <w:t>The Behavior of organisms: An experimental analysis</w:t>
              </w:r>
              <w:r w:rsidRPr="003F35D0">
                <w:rPr>
                  <w:rFonts w:ascii="Times New Roman" w:hAnsi="Times New Roman" w:cs="Times New Roman"/>
                  <w:color w:val="333333"/>
                  <w:sz w:val="24"/>
                  <w:szCs w:val="24"/>
                  <w:shd w:val="clear" w:color="auto" w:fill="FFFFFF"/>
                </w:rPr>
                <w:t>. New York: Appleton-Century.</w:t>
              </w:r>
            </w:p>
            <w:p w:rsidR="00B02AA6" w:rsidRPr="00B02AA6" w:rsidRDefault="00B02AA6" w:rsidP="00B02AA6">
              <w:pPr>
                <w:pStyle w:val="Bibliography"/>
                <w:rPr>
                  <w:rFonts w:ascii="Times New Roman" w:hAnsi="Times New Roman" w:cs="Times New Roman"/>
                  <w:noProof/>
                  <w:sz w:val="24"/>
                  <w:szCs w:val="24"/>
                  <w:lang w:val="en-US"/>
                </w:rPr>
              </w:pPr>
              <w:r w:rsidRPr="00B02AA6">
                <w:rPr>
                  <w:rFonts w:ascii="Times New Roman" w:hAnsi="Times New Roman" w:cs="Times New Roman"/>
                  <w:noProof/>
                  <w:sz w:val="24"/>
                  <w:szCs w:val="24"/>
                  <w:lang w:val="en-US"/>
                </w:rPr>
                <w:t xml:space="preserve">Stefl- Mabry, J., 2018. Documenting Evidence of Practice: The Power of Formative Assessment. </w:t>
              </w:r>
              <w:r w:rsidRPr="00B02AA6">
                <w:rPr>
                  <w:rFonts w:ascii="Times New Roman" w:hAnsi="Times New Roman" w:cs="Times New Roman"/>
                  <w:i/>
                  <w:iCs/>
                  <w:noProof/>
                  <w:sz w:val="24"/>
                  <w:szCs w:val="24"/>
                  <w:lang w:val="en-US"/>
                </w:rPr>
                <w:t xml:space="preserve">Knowledge Quest, </w:t>
              </w:r>
              <w:r w:rsidRPr="00B02AA6">
                <w:rPr>
                  <w:rFonts w:ascii="Times New Roman" w:hAnsi="Times New Roman" w:cs="Times New Roman"/>
                  <w:noProof/>
                  <w:sz w:val="24"/>
                  <w:szCs w:val="24"/>
                  <w:lang w:val="en-US"/>
                </w:rPr>
                <w:t>46(3), p. 52.</w:t>
              </w:r>
            </w:p>
            <w:p w:rsidR="00B02AA6" w:rsidRDefault="00B02AA6" w:rsidP="00B02AA6">
              <w:pPr>
                <w:pStyle w:val="Bibliography"/>
                <w:rPr>
                  <w:rFonts w:ascii="Times New Roman" w:hAnsi="Times New Roman" w:cs="Times New Roman"/>
                  <w:noProof/>
                  <w:sz w:val="24"/>
                  <w:szCs w:val="24"/>
                  <w:lang w:val="en-US"/>
                </w:rPr>
              </w:pPr>
              <w:r w:rsidRPr="00B02AA6">
                <w:rPr>
                  <w:rFonts w:ascii="Times New Roman" w:hAnsi="Times New Roman" w:cs="Times New Roman"/>
                  <w:noProof/>
                  <w:sz w:val="24"/>
                  <w:szCs w:val="24"/>
                  <w:lang w:val="en-US"/>
                </w:rPr>
                <w:t xml:space="preserve">Swaffield, S., 2008. </w:t>
              </w:r>
              <w:r w:rsidRPr="00B02AA6">
                <w:rPr>
                  <w:rFonts w:ascii="Times New Roman" w:hAnsi="Times New Roman" w:cs="Times New Roman"/>
                  <w:i/>
                  <w:iCs/>
                  <w:noProof/>
                  <w:sz w:val="24"/>
                  <w:szCs w:val="24"/>
                  <w:lang w:val="en-US"/>
                </w:rPr>
                <w:t xml:space="preserve">Assessment Understanding for Application and Process. </w:t>
              </w:r>
              <w:r w:rsidRPr="00B02AA6">
                <w:rPr>
                  <w:rFonts w:ascii="Times New Roman" w:hAnsi="Times New Roman" w:cs="Times New Roman"/>
                  <w:noProof/>
                  <w:sz w:val="24"/>
                  <w:szCs w:val="24"/>
                  <w:lang w:val="en-US"/>
                </w:rPr>
                <w:t>London: Routledge .</w:t>
              </w:r>
            </w:p>
            <w:p w:rsidR="00B02AA6" w:rsidRPr="00B02AA6" w:rsidRDefault="00B02AA6" w:rsidP="00B02AA6">
              <w:pPr>
                <w:rPr>
                  <w:rFonts w:ascii="Times New Roman" w:hAnsi="Times New Roman" w:cs="Times New Roman"/>
                  <w:sz w:val="24"/>
                  <w:szCs w:val="24"/>
                  <w:lang w:val="en-US"/>
                </w:rPr>
              </w:pPr>
              <w:r w:rsidRPr="00B02AA6">
                <w:rPr>
                  <w:rFonts w:ascii="Times New Roman" w:hAnsi="Times New Roman" w:cs="Times New Roman"/>
                  <w:color w:val="333333"/>
                  <w:sz w:val="24"/>
                  <w:szCs w:val="24"/>
                  <w:shd w:val="clear" w:color="auto" w:fill="FFFFFF"/>
                </w:rPr>
                <w:t>Vygotsky, L. S. (1978). </w:t>
              </w:r>
              <w:r w:rsidRPr="00B02AA6">
                <w:rPr>
                  <w:rStyle w:val="Emphasis"/>
                  <w:rFonts w:ascii="Times New Roman" w:hAnsi="Times New Roman" w:cs="Times New Roman"/>
                  <w:color w:val="333333"/>
                  <w:sz w:val="24"/>
                  <w:szCs w:val="24"/>
                  <w:shd w:val="clear" w:color="auto" w:fill="FFFFFF"/>
                </w:rPr>
                <w:t>Mind in society: The development of higher psychological processes</w:t>
              </w:r>
              <w:r w:rsidRPr="00B02AA6">
                <w:rPr>
                  <w:rFonts w:ascii="Times New Roman" w:hAnsi="Times New Roman" w:cs="Times New Roman"/>
                  <w:color w:val="333333"/>
                  <w:sz w:val="24"/>
                  <w:szCs w:val="24"/>
                  <w:shd w:val="clear" w:color="auto" w:fill="FFFFFF"/>
                </w:rPr>
                <w:t>. Cambridge, MA: Harvard University Press.</w:t>
              </w:r>
            </w:p>
            <w:p w:rsidR="004537FD" w:rsidRDefault="00B02AA6" w:rsidP="00B02AA6">
              <w:pPr>
                <w:rPr>
                  <w:rFonts w:ascii="Times New Roman" w:hAnsi="Times New Roman" w:cs="Times New Roman"/>
                  <w:color w:val="333333"/>
                  <w:sz w:val="24"/>
                  <w:szCs w:val="24"/>
                  <w:shd w:val="clear" w:color="auto" w:fill="FFFFFF"/>
                </w:rPr>
              </w:pPr>
              <w:r w:rsidRPr="00B02AA6">
                <w:rPr>
                  <w:rFonts w:ascii="Times New Roman" w:hAnsi="Times New Roman" w:cs="Times New Roman"/>
                  <w:b/>
                  <w:bCs/>
                  <w:noProof/>
                  <w:sz w:val="24"/>
                  <w:szCs w:val="24"/>
                </w:rPr>
                <w:fldChar w:fldCharType="end"/>
              </w:r>
              <w:bookmarkStart w:id="0" w:name="_GoBack"/>
              <w:bookmarkEnd w:id="0"/>
              <w:r w:rsidR="004537FD" w:rsidRPr="004537FD">
                <w:rPr>
                  <w:rFonts w:ascii="Times New Roman" w:hAnsi="Times New Roman" w:cs="Times New Roman"/>
                  <w:color w:val="333333"/>
                  <w:sz w:val="24"/>
                  <w:szCs w:val="24"/>
                  <w:shd w:val="clear" w:color="auto" w:fill="FFFFFF"/>
                </w:rPr>
                <w:t>Watson, J. B. (1913). </w:t>
              </w:r>
              <w:r w:rsidR="004537FD">
                <w:rPr>
                  <w:rFonts w:ascii="Times New Roman" w:hAnsi="Times New Roman" w:cs="Times New Roman"/>
                  <w:sz w:val="24"/>
                  <w:szCs w:val="24"/>
                  <w:shd w:val="clear" w:color="auto" w:fill="FFFFFF"/>
                </w:rPr>
                <w:t>Psychology as the behaviourist views it</w:t>
              </w:r>
              <w:r w:rsidR="004537FD" w:rsidRPr="004537FD">
                <w:rPr>
                  <w:rStyle w:val="Emphasis"/>
                  <w:rFonts w:ascii="Times New Roman" w:hAnsi="Times New Roman" w:cs="Times New Roman"/>
                  <w:color w:val="333333"/>
                  <w:sz w:val="24"/>
                  <w:szCs w:val="24"/>
                  <w:shd w:val="clear" w:color="auto" w:fill="FFFFFF"/>
                </w:rPr>
                <w:t>. Psychological Review, 20</w:t>
              </w:r>
              <w:r w:rsidR="004537FD" w:rsidRPr="004537FD">
                <w:rPr>
                  <w:rFonts w:ascii="Times New Roman" w:hAnsi="Times New Roman" w:cs="Times New Roman"/>
                  <w:color w:val="333333"/>
                  <w:sz w:val="24"/>
                  <w:szCs w:val="24"/>
                  <w:shd w:val="clear" w:color="auto" w:fill="FFFFFF"/>
                </w:rPr>
                <w:t>, 158-178.</w:t>
              </w:r>
            </w:p>
            <w:p w:rsidR="00E044A4" w:rsidRDefault="004537FD" w:rsidP="00B02AA6">
              <w:pPr>
                <w:rPr>
                  <w:rFonts w:ascii="Times New Roman" w:hAnsi="Times New Roman" w:cs="Times New Roman"/>
                  <w:sz w:val="24"/>
                  <w:szCs w:val="24"/>
                </w:rPr>
              </w:pPr>
              <w:r>
                <w:rPr>
                  <w:rFonts w:ascii="Times New Roman" w:hAnsi="Times New Roman" w:cs="Times New Roman"/>
                  <w:sz w:val="24"/>
                  <w:szCs w:val="24"/>
                </w:rPr>
                <w:lastRenderedPageBreak/>
                <w:t>Wenger, E.</w:t>
              </w:r>
              <w:r w:rsidRPr="004537FD">
                <w:rPr>
                  <w:rFonts w:ascii="Times New Roman" w:hAnsi="Times New Roman" w:cs="Times New Roman"/>
                  <w:sz w:val="24"/>
                  <w:szCs w:val="24"/>
                </w:rPr>
                <w:t xml:space="preserve"> (1998) </w:t>
              </w:r>
              <w:r w:rsidRPr="004537FD">
                <w:rPr>
                  <w:rFonts w:ascii="Times New Roman" w:hAnsi="Times New Roman" w:cs="Times New Roman"/>
                  <w:i/>
                  <w:sz w:val="24"/>
                  <w:szCs w:val="24"/>
                </w:rPr>
                <w:t>Communities of practice: learning, meaning, and identit</w:t>
              </w:r>
              <w:r w:rsidRPr="004537FD">
                <w:rPr>
                  <w:rFonts w:ascii="Times New Roman" w:hAnsi="Times New Roman" w:cs="Times New Roman"/>
                  <w:i/>
                  <w:sz w:val="24"/>
                  <w:szCs w:val="24"/>
                </w:rPr>
                <w:t>y</w:t>
              </w:r>
              <w:r>
                <w:rPr>
                  <w:rFonts w:ascii="Times New Roman" w:hAnsi="Times New Roman" w:cs="Times New Roman"/>
                  <w:sz w:val="24"/>
                  <w:szCs w:val="24"/>
                </w:rPr>
                <w:t xml:space="preserve">. Cambridge University Press. </w:t>
              </w:r>
            </w:p>
            <w:p w:rsidR="00E044A4" w:rsidRPr="00E044A4" w:rsidRDefault="00E044A4" w:rsidP="00E044A4">
              <w:pPr>
                <w:pStyle w:val="Bibliography"/>
                <w:rPr>
                  <w:rFonts w:ascii="Times New Roman" w:hAnsi="Times New Roman" w:cs="Times New Roman"/>
                  <w:noProof/>
                  <w:sz w:val="24"/>
                  <w:szCs w:val="24"/>
                </w:rPr>
              </w:pPr>
              <w:r w:rsidRPr="00E044A4">
                <w:rPr>
                  <w:rFonts w:ascii="Times New Roman" w:hAnsi="Times New Roman" w:cs="Times New Roman"/>
                  <w:noProof/>
                  <w:sz w:val="24"/>
                  <w:szCs w:val="24"/>
                </w:rPr>
                <w:t xml:space="preserve">Wilson, B., 1996. </w:t>
              </w:r>
              <w:r w:rsidRPr="00E044A4">
                <w:rPr>
                  <w:rFonts w:ascii="Times New Roman" w:hAnsi="Times New Roman" w:cs="Times New Roman"/>
                  <w:i/>
                  <w:iCs/>
                  <w:noProof/>
                  <w:sz w:val="24"/>
                  <w:szCs w:val="24"/>
                </w:rPr>
                <w:t xml:space="preserve">Constructivist Learning Environment. Case Studies in Instructional Design. </w:t>
              </w:r>
              <w:r w:rsidRPr="00E044A4">
                <w:rPr>
                  <w:rFonts w:ascii="Times New Roman" w:hAnsi="Times New Roman" w:cs="Times New Roman"/>
                  <w:noProof/>
                  <w:sz w:val="24"/>
                  <w:szCs w:val="24"/>
                </w:rPr>
                <w:t>1st ed. New Jersey: Educational Technology Publications .</w:t>
              </w:r>
            </w:p>
            <w:p w:rsidR="00B02AA6" w:rsidRPr="004537FD" w:rsidRDefault="00B02AA6" w:rsidP="00B02AA6">
              <w:pPr>
                <w:rPr>
                  <w:rFonts w:ascii="Times New Roman" w:hAnsi="Times New Roman" w:cs="Times New Roman"/>
                  <w:color w:val="333333"/>
                  <w:sz w:val="24"/>
                  <w:szCs w:val="24"/>
                  <w:shd w:val="clear" w:color="auto" w:fill="FFFFFF"/>
                </w:rPr>
              </w:pPr>
            </w:p>
          </w:sdtContent>
        </w:sdt>
      </w:sdtContent>
    </w:sdt>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p>
    <w:p w:rsidR="00BB6D71" w:rsidRDefault="00BB6D71" w:rsidP="006527DC">
      <w:pPr>
        <w:spacing w:before="240"/>
        <w:rPr>
          <w:rFonts w:ascii="Times New Roman" w:hAnsi="Times New Roman" w:cs="Times New Roman"/>
          <w:sz w:val="24"/>
          <w:szCs w:val="24"/>
        </w:rPr>
      </w:pPr>
      <w:r>
        <w:rPr>
          <w:rFonts w:ascii="Times New Roman" w:hAnsi="Times New Roman" w:cs="Times New Roman"/>
          <w:sz w:val="24"/>
          <w:szCs w:val="24"/>
        </w:rPr>
        <w:t>+</w:t>
      </w:r>
    </w:p>
    <w:p w:rsidR="00BB6D71" w:rsidRPr="006527DC" w:rsidRDefault="00BB6D71" w:rsidP="006527DC">
      <w:pPr>
        <w:spacing w:before="240"/>
        <w:rPr>
          <w:rFonts w:ascii="Times New Roman" w:hAnsi="Times New Roman" w:cs="Times New Roman"/>
          <w:sz w:val="24"/>
          <w:szCs w:val="24"/>
        </w:rPr>
      </w:pPr>
    </w:p>
    <w:sectPr w:rsidR="00BB6D71" w:rsidRPr="006527D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42A9" w:rsidRDefault="002042A9" w:rsidP="00B02AA6">
      <w:pPr>
        <w:spacing w:after="0" w:line="240" w:lineRule="auto"/>
      </w:pPr>
      <w:r>
        <w:separator/>
      </w:r>
    </w:p>
  </w:endnote>
  <w:endnote w:type="continuationSeparator" w:id="0">
    <w:p w:rsidR="002042A9" w:rsidRDefault="002042A9" w:rsidP="00B02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0765543"/>
      <w:docPartObj>
        <w:docPartGallery w:val="Page Numbers (Bottom of Page)"/>
        <w:docPartUnique/>
      </w:docPartObj>
    </w:sdtPr>
    <w:sdtEndPr>
      <w:rPr>
        <w:noProof/>
      </w:rPr>
    </w:sdtEndPr>
    <w:sdtContent>
      <w:p w:rsidR="00B02AA6" w:rsidRDefault="00B02AA6">
        <w:pPr>
          <w:pStyle w:val="Footer"/>
        </w:pPr>
        <w:r>
          <w:fldChar w:fldCharType="begin"/>
        </w:r>
        <w:r>
          <w:instrText xml:space="preserve"> PAGE   \* MERGEFORMAT </w:instrText>
        </w:r>
        <w:r>
          <w:fldChar w:fldCharType="separate"/>
        </w:r>
        <w:r w:rsidR="00E044A4">
          <w:rPr>
            <w:noProof/>
          </w:rPr>
          <w:t>20</w:t>
        </w:r>
        <w:r>
          <w:rPr>
            <w:noProof/>
          </w:rPr>
          <w:fldChar w:fldCharType="end"/>
        </w:r>
      </w:p>
    </w:sdtContent>
  </w:sdt>
  <w:p w:rsidR="00B02AA6" w:rsidRDefault="00B02A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42A9" w:rsidRDefault="002042A9" w:rsidP="00B02AA6">
      <w:pPr>
        <w:spacing w:after="0" w:line="240" w:lineRule="auto"/>
      </w:pPr>
      <w:r>
        <w:separator/>
      </w:r>
    </w:p>
  </w:footnote>
  <w:footnote w:type="continuationSeparator" w:id="0">
    <w:p w:rsidR="002042A9" w:rsidRDefault="002042A9" w:rsidP="00B02A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312B6"/>
    <w:multiLevelType w:val="multilevel"/>
    <w:tmpl w:val="00541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CF7EF8"/>
    <w:multiLevelType w:val="multilevel"/>
    <w:tmpl w:val="A0B00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33C"/>
    <w:rsid w:val="000A2D05"/>
    <w:rsid w:val="000E5177"/>
    <w:rsid w:val="0013733C"/>
    <w:rsid w:val="0018013C"/>
    <w:rsid w:val="001A0593"/>
    <w:rsid w:val="002042A9"/>
    <w:rsid w:val="0026459B"/>
    <w:rsid w:val="002B6951"/>
    <w:rsid w:val="002E1FC0"/>
    <w:rsid w:val="002E580D"/>
    <w:rsid w:val="003C36B8"/>
    <w:rsid w:val="003F35D0"/>
    <w:rsid w:val="004537FD"/>
    <w:rsid w:val="00510636"/>
    <w:rsid w:val="005224B4"/>
    <w:rsid w:val="00573262"/>
    <w:rsid w:val="005B26F9"/>
    <w:rsid w:val="00624E98"/>
    <w:rsid w:val="00645A86"/>
    <w:rsid w:val="006527DC"/>
    <w:rsid w:val="00701184"/>
    <w:rsid w:val="00725E76"/>
    <w:rsid w:val="007A7432"/>
    <w:rsid w:val="007C4AAF"/>
    <w:rsid w:val="0080103C"/>
    <w:rsid w:val="00843956"/>
    <w:rsid w:val="008A3D1C"/>
    <w:rsid w:val="00A055DB"/>
    <w:rsid w:val="00A36870"/>
    <w:rsid w:val="00AB369C"/>
    <w:rsid w:val="00AD38B0"/>
    <w:rsid w:val="00B02AA6"/>
    <w:rsid w:val="00B17804"/>
    <w:rsid w:val="00BB6D71"/>
    <w:rsid w:val="00BE5C86"/>
    <w:rsid w:val="00C0709D"/>
    <w:rsid w:val="00C12789"/>
    <w:rsid w:val="00C70A05"/>
    <w:rsid w:val="00D10D9D"/>
    <w:rsid w:val="00DD5524"/>
    <w:rsid w:val="00DF29DF"/>
    <w:rsid w:val="00E044A4"/>
    <w:rsid w:val="00F111DF"/>
    <w:rsid w:val="00F23E3B"/>
    <w:rsid w:val="00F420CF"/>
    <w:rsid w:val="00F43A53"/>
    <w:rsid w:val="00F955B4"/>
    <w:rsid w:val="00FC326E"/>
    <w:rsid w:val="00FE3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8063E6-3A58-4F9D-BCF9-674D832A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2AA6"/>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2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AA6"/>
  </w:style>
  <w:style w:type="paragraph" w:styleId="Footer">
    <w:name w:val="footer"/>
    <w:basedOn w:val="Normal"/>
    <w:link w:val="FooterChar"/>
    <w:uiPriority w:val="99"/>
    <w:unhideWhenUsed/>
    <w:rsid w:val="00B02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AA6"/>
  </w:style>
  <w:style w:type="character" w:customStyle="1" w:styleId="Heading1Char">
    <w:name w:val="Heading 1 Char"/>
    <w:basedOn w:val="DefaultParagraphFont"/>
    <w:link w:val="Heading1"/>
    <w:uiPriority w:val="9"/>
    <w:rsid w:val="00B02AA6"/>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02AA6"/>
  </w:style>
  <w:style w:type="character" w:styleId="Hyperlink">
    <w:name w:val="Hyperlink"/>
    <w:basedOn w:val="DefaultParagraphFont"/>
    <w:uiPriority w:val="99"/>
    <w:semiHidden/>
    <w:unhideWhenUsed/>
    <w:rsid w:val="00B02AA6"/>
    <w:rPr>
      <w:color w:val="0000FF"/>
      <w:u w:val="single"/>
    </w:rPr>
  </w:style>
  <w:style w:type="character" w:styleId="Emphasis">
    <w:name w:val="Emphasis"/>
    <w:basedOn w:val="DefaultParagraphFont"/>
    <w:uiPriority w:val="20"/>
    <w:qFormat/>
    <w:rsid w:val="00B02A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846767">
      <w:bodyDiv w:val="1"/>
      <w:marLeft w:val="0"/>
      <w:marRight w:val="0"/>
      <w:marTop w:val="0"/>
      <w:marBottom w:val="0"/>
      <w:divBdr>
        <w:top w:val="none" w:sz="0" w:space="0" w:color="auto"/>
        <w:left w:val="none" w:sz="0" w:space="0" w:color="auto"/>
        <w:bottom w:val="none" w:sz="0" w:space="0" w:color="auto"/>
        <w:right w:val="none" w:sz="0" w:space="0" w:color="auto"/>
      </w:divBdr>
    </w:div>
    <w:div w:id="190848525">
      <w:bodyDiv w:val="1"/>
      <w:marLeft w:val="0"/>
      <w:marRight w:val="0"/>
      <w:marTop w:val="0"/>
      <w:marBottom w:val="0"/>
      <w:divBdr>
        <w:top w:val="none" w:sz="0" w:space="0" w:color="auto"/>
        <w:left w:val="none" w:sz="0" w:space="0" w:color="auto"/>
        <w:bottom w:val="none" w:sz="0" w:space="0" w:color="auto"/>
        <w:right w:val="none" w:sz="0" w:space="0" w:color="auto"/>
      </w:divBdr>
    </w:div>
    <w:div w:id="314723405">
      <w:bodyDiv w:val="1"/>
      <w:marLeft w:val="0"/>
      <w:marRight w:val="0"/>
      <w:marTop w:val="0"/>
      <w:marBottom w:val="0"/>
      <w:divBdr>
        <w:top w:val="none" w:sz="0" w:space="0" w:color="auto"/>
        <w:left w:val="none" w:sz="0" w:space="0" w:color="auto"/>
        <w:bottom w:val="none" w:sz="0" w:space="0" w:color="auto"/>
        <w:right w:val="none" w:sz="0" w:space="0" w:color="auto"/>
      </w:divBdr>
    </w:div>
    <w:div w:id="475538163">
      <w:bodyDiv w:val="1"/>
      <w:marLeft w:val="0"/>
      <w:marRight w:val="0"/>
      <w:marTop w:val="0"/>
      <w:marBottom w:val="0"/>
      <w:divBdr>
        <w:top w:val="none" w:sz="0" w:space="0" w:color="auto"/>
        <w:left w:val="none" w:sz="0" w:space="0" w:color="auto"/>
        <w:bottom w:val="none" w:sz="0" w:space="0" w:color="auto"/>
        <w:right w:val="none" w:sz="0" w:space="0" w:color="auto"/>
      </w:divBdr>
    </w:div>
    <w:div w:id="479658421">
      <w:bodyDiv w:val="1"/>
      <w:marLeft w:val="0"/>
      <w:marRight w:val="0"/>
      <w:marTop w:val="0"/>
      <w:marBottom w:val="0"/>
      <w:divBdr>
        <w:top w:val="none" w:sz="0" w:space="0" w:color="auto"/>
        <w:left w:val="none" w:sz="0" w:space="0" w:color="auto"/>
        <w:bottom w:val="none" w:sz="0" w:space="0" w:color="auto"/>
        <w:right w:val="none" w:sz="0" w:space="0" w:color="auto"/>
      </w:divBdr>
    </w:div>
    <w:div w:id="713385067">
      <w:bodyDiv w:val="1"/>
      <w:marLeft w:val="0"/>
      <w:marRight w:val="0"/>
      <w:marTop w:val="0"/>
      <w:marBottom w:val="0"/>
      <w:divBdr>
        <w:top w:val="none" w:sz="0" w:space="0" w:color="auto"/>
        <w:left w:val="none" w:sz="0" w:space="0" w:color="auto"/>
        <w:bottom w:val="none" w:sz="0" w:space="0" w:color="auto"/>
        <w:right w:val="none" w:sz="0" w:space="0" w:color="auto"/>
      </w:divBdr>
    </w:div>
    <w:div w:id="1064059926">
      <w:bodyDiv w:val="1"/>
      <w:marLeft w:val="0"/>
      <w:marRight w:val="0"/>
      <w:marTop w:val="0"/>
      <w:marBottom w:val="0"/>
      <w:divBdr>
        <w:top w:val="none" w:sz="0" w:space="0" w:color="auto"/>
        <w:left w:val="none" w:sz="0" w:space="0" w:color="auto"/>
        <w:bottom w:val="none" w:sz="0" w:space="0" w:color="auto"/>
        <w:right w:val="none" w:sz="0" w:space="0" w:color="auto"/>
      </w:divBdr>
    </w:div>
    <w:div w:id="1087576134">
      <w:bodyDiv w:val="1"/>
      <w:marLeft w:val="0"/>
      <w:marRight w:val="0"/>
      <w:marTop w:val="0"/>
      <w:marBottom w:val="0"/>
      <w:divBdr>
        <w:top w:val="none" w:sz="0" w:space="0" w:color="auto"/>
        <w:left w:val="none" w:sz="0" w:space="0" w:color="auto"/>
        <w:bottom w:val="none" w:sz="0" w:space="0" w:color="auto"/>
        <w:right w:val="none" w:sz="0" w:space="0" w:color="auto"/>
      </w:divBdr>
    </w:div>
    <w:div w:id="1318223233">
      <w:bodyDiv w:val="1"/>
      <w:marLeft w:val="0"/>
      <w:marRight w:val="0"/>
      <w:marTop w:val="0"/>
      <w:marBottom w:val="0"/>
      <w:divBdr>
        <w:top w:val="none" w:sz="0" w:space="0" w:color="auto"/>
        <w:left w:val="none" w:sz="0" w:space="0" w:color="auto"/>
        <w:bottom w:val="none" w:sz="0" w:space="0" w:color="auto"/>
        <w:right w:val="none" w:sz="0" w:space="0" w:color="auto"/>
      </w:divBdr>
    </w:div>
    <w:div w:id="1329404247">
      <w:bodyDiv w:val="1"/>
      <w:marLeft w:val="0"/>
      <w:marRight w:val="0"/>
      <w:marTop w:val="0"/>
      <w:marBottom w:val="0"/>
      <w:divBdr>
        <w:top w:val="none" w:sz="0" w:space="0" w:color="auto"/>
        <w:left w:val="none" w:sz="0" w:space="0" w:color="auto"/>
        <w:bottom w:val="none" w:sz="0" w:space="0" w:color="auto"/>
        <w:right w:val="none" w:sz="0" w:space="0" w:color="auto"/>
      </w:divBdr>
    </w:div>
    <w:div w:id="1395423113">
      <w:bodyDiv w:val="1"/>
      <w:marLeft w:val="0"/>
      <w:marRight w:val="0"/>
      <w:marTop w:val="0"/>
      <w:marBottom w:val="0"/>
      <w:divBdr>
        <w:top w:val="none" w:sz="0" w:space="0" w:color="auto"/>
        <w:left w:val="none" w:sz="0" w:space="0" w:color="auto"/>
        <w:bottom w:val="none" w:sz="0" w:space="0" w:color="auto"/>
        <w:right w:val="none" w:sz="0" w:space="0" w:color="auto"/>
      </w:divBdr>
    </w:div>
    <w:div w:id="1600025480">
      <w:bodyDiv w:val="1"/>
      <w:marLeft w:val="0"/>
      <w:marRight w:val="0"/>
      <w:marTop w:val="0"/>
      <w:marBottom w:val="0"/>
      <w:divBdr>
        <w:top w:val="none" w:sz="0" w:space="0" w:color="auto"/>
        <w:left w:val="none" w:sz="0" w:space="0" w:color="auto"/>
        <w:bottom w:val="none" w:sz="0" w:space="0" w:color="auto"/>
        <w:right w:val="none" w:sz="0" w:space="0" w:color="auto"/>
      </w:divBdr>
    </w:div>
    <w:div w:id="1642541437">
      <w:bodyDiv w:val="1"/>
      <w:marLeft w:val="0"/>
      <w:marRight w:val="0"/>
      <w:marTop w:val="0"/>
      <w:marBottom w:val="0"/>
      <w:divBdr>
        <w:top w:val="none" w:sz="0" w:space="0" w:color="auto"/>
        <w:left w:val="none" w:sz="0" w:space="0" w:color="auto"/>
        <w:bottom w:val="none" w:sz="0" w:space="0" w:color="auto"/>
        <w:right w:val="none" w:sz="0" w:space="0" w:color="auto"/>
      </w:divBdr>
    </w:div>
    <w:div w:id="1930310579">
      <w:bodyDiv w:val="1"/>
      <w:marLeft w:val="0"/>
      <w:marRight w:val="0"/>
      <w:marTop w:val="0"/>
      <w:marBottom w:val="0"/>
      <w:divBdr>
        <w:top w:val="none" w:sz="0" w:space="0" w:color="auto"/>
        <w:left w:val="none" w:sz="0" w:space="0" w:color="auto"/>
        <w:bottom w:val="none" w:sz="0" w:space="0" w:color="auto"/>
        <w:right w:val="none" w:sz="0" w:space="0" w:color="auto"/>
      </w:divBdr>
    </w:div>
    <w:div w:id="204702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Pol97</b:Tag>
    <b:SourceType>Book</b:SourceType>
    <b:Guid>{707FDC44-F73F-494C-8062-44C99223D0C8}</b:Guid>
    <b:Author>
      <b:Author>
        <b:NameList>
          <b:Person>
            <b:Last>Pollard</b:Last>
            <b:First>A</b:First>
            <b:Middle>&amp; Triggs, P</b:Middle>
          </b:Person>
        </b:NameList>
      </b:Author>
    </b:Author>
    <b:Title>Reflective Teaching in Secondary Education</b:Title>
    <b:Year>1997</b:Year>
    <b:City>London</b:City>
    <b:Publisher>Cassell</b:Publisher>
    <b:RefOrder>5</b:RefOrder>
  </b:Source>
  <b:Source>
    <b:Tag>But15</b:Tag>
    <b:SourceType>Book</b:SourceType>
    <b:Guid>{D679177C-B8B9-4397-A22F-87DD4EBBD608}</b:Guid>
    <b:Author>
      <b:Author>
        <b:NameList>
          <b:Person>
            <b:Last>Butcher</b:Last>
            <b:First>C</b:First>
          </b:Person>
        </b:NameList>
      </b:Author>
    </b:Author>
    <b:Title>A Handbook for Teaching &amp; Learning in Higher Education</b:Title>
    <b:Year>2015</b:Year>
    <b:City>London</b:City>
    <b:Publisher>Routledge</b:Publisher>
    <b:Edition>4th</b:Edition>
    <b:RefOrder>6</b:RefOrder>
  </b:Source>
  <b:Source>
    <b:Tag>Ste18</b:Tag>
    <b:SourceType>JournalArticle</b:SourceType>
    <b:Guid>{9DB8CE42-024E-4345-A2C3-BCED7313207F}</b:Guid>
    <b:Title>Documenting Evidence of Practice: The Power of Formative Assessment </b:Title>
    <b:Year>2018</b:Year>
    <b:Author>
      <b:Author>
        <b:NameList>
          <b:Person>
            <b:Last>Stefl- Mabry</b:Last>
            <b:First>J</b:First>
          </b:Person>
        </b:NameList>
      </b:Author>
    </b:Author>
    <b:JournalName>Knowledge Quest</b:JournalName>
    <b:Pages>52</b:Pages>
    <b:Volume>46</b:Volume>
    <b:Issue>3</b:Issue>
    <b:RefOrder>7</b:RefOrder>
  </b:Source>
  <b:Source>
    <b:Tag>Ecc10</b:Tag>
    <b:SourceType>Book</b:SourceType>
    <b:Guid>{40C304BF-4560-42A7-B5A4-A8B98FB69FEE}</b:Guid>
    <b:Title>Transforming Formative Assessment in Lifelong Learning</b:Title>
    <b:Year>2010</b:Year>
    <b:Author>
      <b:Author>
        <b:NameList>
          <b:Person>
            <b:Last>Ecclestone</b:Last>
            <b:First>K.</b:First>
            <b:Middle>Davies, J. Derrick, J. Gawn, J</b:Middle>
          </b:Person>
        </b:NameList>
      </b:Author>
    </b:Author>
    <b:City>Berkshire</b:City>
    <b:Publisher>Open University Press </b:Publisher>
    <b:RefOrder>8</b:RefOrder>
  </b:Source>
  <b:Source>
    <b:Tag>Bla09</b:Tag>
    <b:SourceType>Book</b:SourceType>
    <b:Guid>{B4057EDB-B32E-4544-8745-C29874838758}</b:Guid>
    <b:Author>
      <b:Author>
        <b:NameList>
          <b:Person>
            <b:Last>Blanchard</b:Last>
            <b:First>J</b:First>
          </b:Person>
        </b:NameList>
      </b:Author>
    </b:Author>
    <b:Title>Teaching, Learning and Assessment</b:Title>
    <b:Year>2009</b:Year>
    <b:City>Maidenhead</b:City>
    <b:Publisher>Open University Press</b:Publisher>
    <b:RefOrder>2</b:RefOrder>
  </b:Source>
  <b:Source>
    <b:Tag>Sam12</b:Tag>
    <b:SourceType>Book</b:SourceType>
    <b:Guid>{E78E5469-F8C7-4197-B18A-1CB1F6E46584}</b:Guid>
    <b:Author>
      <b:Author>
        <b:NameList>
          <b:Person>
            <b:Last>Sambell</b:Last>
            <b:First>K,</b:First>
            <b:Middle>McDowell,L, Montgomery, C</b:Middle>
          </b:Person>
        </b:NameList>
      </b:Author>
    </b:Author>
    <b:Title>Assessment for Learning in Higher Education </b:Title>
    <b:Year>2012</b:Year>
    <b:City>New York </b:City>
    <b:Publisher>Routledge </b:Publisher>
    <b:RefOrder>9</b:RefOrder>
  </b:Source>
  <b:Source>
    <b:Tag>Kel04</b:Tag>
    <b:SourceType>Book</b:SourceType>
    <b:Guid>{1E9273C3-0081-4686-AAFE-6FCF88AD55B0}</b:Guid>
    <b:Author>
      <b:Author>
        <b:NameList>
          <b:Person>
            <b:Last>Kelly</b:Last>
            <b:First>A.V.</b:First>
          </b:Person>
        </b:NameList>
      </b:Author>
    </b:Author>
    <b:Title>The Curriculum Theory and Practice </b:Title>
    <b:Year>2004</b:Year>
    <b:City>London</b:City>
    <b:Publisher>Sage</b:Publisher>
    <b:Edition>5th</b:Edition>
    <b:RefOrder>1</b:RefOrder>
  </b:Source>
  <b:Source>
    <b:Tag>Gai01</b:Tag>
    <b:SourceType>BookSection</b:SourceType>
    <b:Guid>{C5E9968E-198A-46C2-B587-F9206F7FCA95}</b:Guid>
    <b:Title>Hiding in Plain Sight</b:Title>
    <b:Year>2001</b:Year>
    <b:City>London</b:City>
    <b:Publisher>Routledge </b:Publisher>
    <b:Author>
      <b:Author>
        <b:NameList>
          <b:Person>
            <b:Last>Gair</b:Last>
            <b:First>M</b:First>
            <b:Middle>&amp; Mullins, G</b:Middle>
          </b:Person>
        </b:NameList>
      </b:Author>
      <b:Editor>
        <b:NameList>
          <b:Person>
            <b:Last>Margolis</b:Last>
            <b:First>E</b:First>
          </b:Person>
        </b:NameList>
      </b:Editor>
    </b:Author>
    <b:BookTitle>The Hidden Curriculum in Higher Education </b:BookTitle>
    <b:Pages>23</b:Pages>
    <b:RefOrder>10</b:RefOrder>
  </b:Source>
  <b:Source>
    <b:Tag>But10</b:Tag>
    <b:SourceType>Book</b:SourceType>
    <b:Guid>{737F4E6C-138B-48FF-BAA3-96EAF3233B28}</b:Guid>
    <b:Author>
      <b:Author>
        <b:NameList>
          <b:Person>
            <b:Last>Butt</b:Last>
            <b:First>G</b:First>
          </b:Person>
        </b:NameList>
      </b:Author>
    </b:Author>
    <b:Title>Making Assessment Matter</b:Title>
    <b:Year>2010</b:Year>
    <b:City>London </b:City>
    <b:Publisher>Continuum </b:Publisher>
    <b:RefOrder>3</b:RefOrder>
  </b:Source>
  <b:Source>
    <b:Tag>Swa08</b:Tag>
    <b:SourceType>Book</b:SourceType>
    <b:Guid>{941719D7-3A0D-47E3-BFCC-A2B1B54D160F}</b:Guid>
    <b:Author>
      <b:Author>
        <b:NameList>
          <b:Person>
            <b:Last>Swaffield</b:Last>
            <b:First>S</b:First>
          </b:Person>
        </b:NameList>
      </b:Author>
    </b:Author>
    <b:Title>Assessment Understanding for Application and Process</b:Title>
    <b:Year>2008</b:Year>
    <b:City>London</b:City>
    <b:Publisher>Routledge </b:Publisher>
    <b:RefOrder>4</b:RefOrder>
  </b:Source>
</b:Sources>
</file>

<file path=customXml/itemProps1.xml><?xml version="1.0" encoding="utf-8"?>
<ds:datastoreItem xmlns:ds="http://schemas.openxmlformats.org/officeDocument/2006/customXml" ds:itemID="{5F645CC8-2B95-420A-AC8F-ABC94E711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5239</Words>
  <Characters>29863</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Jones</dc:creator>
  <cp:keywords/>
  <dc:description/>
  <cp:lastModifiedBy>Lowri Jones</cp:lastModifiedBy>
  <cp:revision>2</cp:revision>
  <dcterms:created xsi:type="dcterms:W3CDTF">2018-02-19T07:59:00Z</dcterms:created>
  <dcterms:modified xsi:type="dcterms:W3CDTF">2018-02-19T07:59:00Z</dcterms:modified>
</cp:coreProperties>
</file>