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78179" w14:textId="5BE477A1" w:rsidR="00E71C42" w:rsidRPr="00715EFC" w:rsidRDefault="00E71C42">
      <w:pPr>
        <w:rPr>
          <w:i/>
          <w:iCs/>
        </w:rPr>
      </w:pPr>
      <w:proofErr w:type="spellStart"/>
      <w:r w:rsidRPr="00715EFC">
        <w:rPr>
          <w:i/>
          <w:iCs/>
        </w:rPr>
        <w:t>Orderic</w:t>
      </w:r>
      <w:proofErr w:type="spellEnd"/>
      <w:r w:rsidRPr="00715EFC">
        <w:rPr>
          <w:i/>
          <w:iCs/>
        </w:rPr>
        <w:t xml:space="preserve"> Vitalis: Life, Work and Interpretations</w:t>
      </w:r>
    </w:p>
    <w:p w14:paraId="66CE425D" w14:textId="1A279D00" w:rsidR="00E71C42" w:rsidRDefault="00E71C42">
      <w:r>
        <w:t xml:space="preserve">ed. Charles C. Rozier, Daniel Roach, Giles E. M. Gasper and Elisabeth van </w:t>
      </w:r>
      <w:proofErr w:type="spellStart"/>
      <w:r>
        <w:t>Houts</w:t>
      </w:r>
      <w:proofErr w:type="spellEnd"/>
    </w:p>
    <w:p w14:paraId="47880DBC" w14:textId="5BE7F786" w:rsidR="00E71C42" w:rsidRDefault="008A1BEE">
      <w:r>
        <w:t xml:space="preserve">(Woodbridge: </w:t>
      </w:r>
      <w:r w:rsidR="00E71C42">
        <w:t>Boydell</w:t>
      </w:r>
      <w:r>
        <w:t xml:space="preserve">, </w:t>
      </w:r>
      <w:r w:rsidR="00E71C42">
        <w:t>2018</w:t>
      </w:r>
      <w:r>
        <w:t>)</w:t>
      </w:r>
    </w:p>
    <w:p w14:paraId="75ABA4A2" w14:textId="54D7D44F" w:rsidR="00E71C42" w:rsidRDefault="00E71C42"/>
    <w:p w14:paraId="5DB6EE52" w14:textId="50C10B9F" w:rsidR="001B346F" w:rsidRDefault="00E71C42" w:rsidP="001B346F">
      <w:r>
        <w:t>Newly released in paperback, this</w:t>
      </w:r>
      <w:r w:rsidR="001B346F">
        <w:t xml:space="preserve"> affordable</w:t>
      </w:r>
      <w:r>
        <w:t xml:space="preserve"> volume </w:t>
      </w:r>
      <w:r w:rsidR="001B346F">
        <w:t>is an essential read</w:t>
      </w:r>
      <w:r>
        <w:t xml:space="preserve"> for students and scholars alike working on many facets of medieval life in the twelfth century, from manuscript studies, historiography, monastic life and communities, and attitudes towards the preservation and composition of the past</w:t>
      </w:r>
      <w:r w:rsidR="00487627">
        <w:t xml:space="preserve"> in narrative</w:t>
      </w:r>
      <w:r>
        <w:t xml:space="preserve">. </w:t>
      </w:r>
      <w:r w:rsidR="001B346F">
        <w:t xml:space="preserve">The contributors to the volume are of impressive pedigree and include Emily </w:t>
      </w:r>
      <w:proofErr w:type="spellStart"/>
      <w:r w:rsidR="001B346F">
        <w:t>Albu</w:t>
      </w:r>
      <w:proofErr w:type="spellEnd"/>
      <w:r w:rsidR="001B346F">
        <w:t xml:space="preserve">, James G. Clark, Giles E.M. Gasper and Elisabeth van </w:t>
      </w:r>
      <w:proofErr w:type="spellStart"/>
      <w:r w:rsidR="001B346F">
        <w:t>Houts</w:t>
      </w:r>
      <w:proofErr w:type="spellEnd"/>
      <w:r w:rsidR="001B346F">
        <w:t xml:space="preserve">. It represents the culmination of almost a decade’s worth of discussion and debate on </w:t>
      </w:r>
      <w:proofErr w:type="spellStart"/>
      <w:r w:rsidR="001B346F">
        <w:t>Orderic’s</w:t>
      </w:r>
      <w:proofErr w:type="spellEnd"/>
      <w:r w:rsidR="001B346F">
        <w:t xml:space="preserve"> work and a conference centred on the medieval historian in 2013.</w:t>
      </w:r>
    </w:p>
    <w:p w14:paraId="56568CD8" w14:textId="4513F548" w:rsidR="007C1B14" w:rsidRDefault="00E71C42">
      <w:r>
        <w:t xml:space="preserve">Its interdisciplinary approach to historical writing considers the full range of </w:t>
      </w:r>
      <w:proofErr w:type="spellStart"/>
      <w:r>
        <w:t>Orderic</w:t>
      </w:r>
      <w:proofErr w:type="spellEnd"/>
      <w:r>
        <w:t xml:space="preserve"> Vitalis’s works and </w:t>
      </w:r>
      <w:r w:rsidR="00601468">
        <w:t>can be divided into four main topics</w:t>
      </w:r>
      <w:r>
        <w:t>:</w:t>
      </w:r>
      <w:r w:rsidR="001B346F">
        <w:t xml:space="preserve"> 1)</w:t>
      </w:r>
      <w:r w:rsidR="006F0625">
        <w:t xml:space="preserve"> </w:t>
      </w:r>
      <w:proofErr w:type="spellStart"/>
      <w:r>
        <w:t>Orderic’s</w:t>
      </w:r>
      <w:proofErr w:type="spellEnd"/>
      <w:r>
        <w:t xml:space="preserve"> early and working life</w:t>
      </w:r>
      <w:r w:rsidR="001B346F">
        <w:t>; 2) t</w:t>
      </w:r>
      <w:r>
        <w:t>he content of his writing</w:t>
      </w:r>
      <w:r w:rsidR="001B346F">
        <w:t>,</w:t>
      </w:r>
      <w:r>
        <w:t xml:space="preserve"> </w:t>
      </w:r>
      <w:r w:rsidR="001B346F">
        <w:t>his sources and</w:t>
      </w:r>
      <w:r>
        <w:t xml:space="preserve"> evidence</w:t>
      </w:r>
      <w:r w:rsidR="001B346F">
        <w:t>; 3) h</w:t>
      </w:r>
      <w:r>
        <w:t xml:space="preserve">is wider role as </w:t>
      </w:r>
      <w:r w:rsidR="00CB0579">
        <w:t>theologian and writer</w:t>
      </w:r>
      <w:r w:rsidR="001B346F">
        <w:t xml:space="preserve">; and 4) </w:t>
      </w:r>
      <w:r>
        <w:t>the medieval reception of his writing</w:t>
      </w:r>
      <w:r w:rsidR="001B346F">
        <w:t>.</w:t>
      </w:r>
      <w:r w:rsidR="006F0625">
        <w:t xml:space="preserve"> Van </w:t>
      </w:r>
      <w:proofErr w:type="spellStart"/>
      <w:r w:rsidR="006F0625">
        <w:t>Houts</w:t>
      </w:r>
      <w:proofErr w:type="spellEnd"/>
      <w:r w:rsidR="006F0625">
        <w:t xml:space="preserve">’ opening contribution takes the reader back to </w:t>
      </w:r>
      <w:proofErr w:type="spellStart"/>
      <w:r w:rsidR="006F0625">
        <w:t>Orderic’s</w:t>
      </w:r>
      <w:proofErr w:type="spellEnd"/>
      <w:r w:rsidR="006F0625">
        <w:t xml:space="preserve"> childhood, and reassesses what we know of his parentage, his </w:t>
      </w:r>
      <w:proofErr w:type="gramStart"/>
      <w:r w:rsidR="006F0625">
        <w:t>father in particular, and</w:t>
      </w:r>
      <w:proofErr w:type="gramEnd"/>
      <w:r w:rsidR="006F0625">
        <w:t xml:space="preserve"> the impact </w:t>
      </w:r>
      <w:r w:rsidR="00BC6D75">
        <w:t>this</w:t>
      </w:r>
      <w:r w:rsidR="006F0625">
        <w:t xml:space="preserve"> had on the historian’s later life and writings. Weston’s offering demonstrates the value of palaeographical evidence: every time a new manuscript featuring </w:t>
      </w:r>
      <w:proofErr w:type="spellStart"/>
      <w:r w:rsidR="006F0625">
        <w:t>Orderic’s</w:t>
      </w:r>
      <w:proofErr w:type="spellEnd"/>
      <w:r w:rsidR="006F0625">
        <w:t xml:space="preserve"> distinctive hand is discovered, it </w:t>
      </w:r>
      <w:proofErr w:type="gramStart"/>
      <w:r w:rsidR="006F0625">
        <w:t>opens up</w:t>
      </w:r>
      <w:proofErr w:type="gramEnd"/>
      <w:r w:rsidR="006F0625">
        <w:t xml:space="preserve"> new opportunities for research into topics including twelfth-century scribal and codicological practices. </w:t>
      </w:r>
      <w:proofErr w:type="spellStart"/>
      <w:r w:rsidR="006F0625">
        <w:t>Orderic’s</w:t>
      </w:r>
      <w:proofErr w:type="spellEnd"/>
      <w:r w:rsidR="006F0625">
        <w:t xml:space="preserve"> roles within the monastic community beyond that of scribe and historian are considered in </w:t>
      </w:r>
      <w:proofErr w:type="spellStart"/>
      <w:r w:rsidR="006F0625">
        <w:t>Rosier’s</w:t>
      </w:r>
      <w:proofErr w:type="spellEnd"/>
      <w:r w:rsidR="006F0625">
        <w:t xml:space="preserve"> chapter,</w:t>
      </w:r>
      <w:r w:rsidR="00601468">
        <w:t xml:space="preserve"> in which he</w:t>
      </w:r>
      <w:r w:rsidR="006F0625">
        <w:t xml:space="preserve"> suggest</w:t>
      </w:r>
      <w:r w:rsidR="00601468">
        <w:t>s</w:t>
      </w:r>
      <w:r w:rsidR="006F0625">
        <w:t xml:space="preserve"> that </w:t>
      </w:r>
      <w:r w:rsidR="00601468">
        <w:t>the</w:t>
      </w:r>
      <w:r w:rsidR="006F0625">
        <w:t xml:space="preserve"> overlapping roles</w:t>
      </w:r>
      <w:r w:rsidR="007C1B14">
        <w:t xml:space="preserve"> of librarian and cantor</w:t>
      </w:r>
      <w:r w:rsidR="006F0625">
        <w:t xml:space="preserve"> helped to shape </w:t>
      </w:r>
      <w:proofErr w:type="spellStart"/>
      <w:r w:rsidR="006F0625">
        <w:t>Orderic’s</w:t>
      </w:r>
      <w:proofErr w:type="spellEnd"/>
      <w:r w:rsidR="006F0625">
        <w:t xml:space="preserve"> </w:t>
      </w:r>
      <w:r w:rsidR="003826FB">
        <w:t>scholarship.</w:t>
      </w:r>
      <w:r w:rsidR="007C1B14">
        <w:t xml:space="preserve"> Through an examination of the Norman diaspora and </w:t>
      </w:r>
      <w:proofErr w:type="spellStart"/>
      <w:r w:rsidR="007C1B14">
        <w:t>Orderic’s</w:t>
      </w:r>
      <w:proofErr w:type="spellEnd"/>
      <w:r w:rsidR="007C1B14">
        <w:t xml:space="preserve"> narration of events in </w:t>
      </w:r>
      <w:r w:rsidR="00601468">
        <w:t>s</w:t>
      </w:r>
      <w:r w:rsidR="007C1B14">
        <w:t>outhern Italy, Roach uses textual and material culture to</w:t>
      </w:r>
      <w:r w:rsidR="00C32BC8">
        <w:t xml:space="preserve"> evidence</w:t>
      </w:r>
      <w:r w:rsidR="007C1B14">
        <w:t xml:space="preserve"> the links and ties </w:t>
      </w:r>
      <w:r w:rsidR="00601468">
        <w:t>of</w:t>
      </w:r>
      <w:r w:rsidR="007C1B14">
        <w:t xml:space="preserve"> a cross-border network of monastic communities. </w:t>
      </w:r>
      <w:r w:rsidR="00C32BC8">
        <w:t xml:space="preserve">This first section is drawn to a close by Faulkner using evidence drawn from the </w:t>
      </w:r>
      <w:r w:rsidR="00C32BC8" w:rsidRPr="00C32BC8">
        <w:rPr>
          <w:i/>
          <w:iCs/>
        </w:rPr>
        <w:t xml:space="preserve">Historia </w:t>
      </w:r>
      <w:proofErr w:type="spellStart"/>
      <w:r w:rsidR="00C32BC8" w:rsidRPr="00C32BC8">
        <w:rPr>
          <w:i/>
          <w:iCs/>
        </w:rPr>
        <w:t>ecclesisatica</w:t>
      </w:r>
      <w:proofErr w:type="spellEnd"/>
      <w:r w:rsidR="00C32BC8">
        <w:rPr>
          <w:i/>
          <w:iCs/>
        </w:rPr>
        <w:t xml:space="preserve"> </w:t>
      </w:r>
      <w:r w:rsidR="00C32BC8">
        <w:t>to shed light on the treatment of the English language by the Normans and their educational practices.</w:t>
      </w:r>
    </w:p>
    <w:p w14:paraId="29C4F73B" w14:textId="5D068127" w:rsidR="00C32BC8" w:rsidRDefault="00C32BC8">
      <w:r>
        <w:t xml:space="preserve">The second section of the volume moves towards a study of the content of </w:t>
      </w:r>
      <w:proofErr w:type="spellStart"/>
      <w:r>
        <w:t>Orderic’s</w:t>
      </w:r>
      <w:proofErr w:type="spellEnd"/>
      <w:r>
        <w:t xml:space="preserve"> works and his use of sources. </w:t>
      </w:r>
      <w:proofErr w:type="spellStart"/>
      <w:r>
        <w:t>Debiais</w:t>
      </w:r>
      <w:proofErr w:type="spellEnd"/>
      <w:r>
        <w:t xml:space="preserve"> and </w:t>
      </w:r>
      <w:proofErr w:type="spellStart"/>
      <w:r>
        <w:t>Ingrand-Varenne</w:t>
      </w:r>
      <w:proofErr w:type="spellEnd"/>
      <w:r>
        <w:t xml:space="preserve"> consider his use of inscriptions, epitaphs and poetry both as evidence and as narrative tools to convey moral messages. Roche continues in this vein by </w:t>
      </w:r>
      <w:r w:rsidR="00BC6D75">
        <w:t>analys</w:t>
      </w:r>
      <w:r>
        <w:t xml:space="preserve">ing his frequent use of diplomatic sources </w:t>
      </w:r>
      <w:r w:rsidR="00601468">
        <w:t>such as charters</w:t>
      </w:r>
      <w:r>
        <w:t xml:space="preserve">, and how </w:t>
      </w:r>
      <w:proofErr w:type="spellStart"/>
      <w:r>
        <w:t>Orderic</w:t>
      </w:r>
      <w:proofErr w:type="spellEnd"/>
      <w:r>
        <w:t xml:space="preserve"> uses them to great literary effect as vehicles of </w:t>
      </w:r>
      <w:proofErr w:type="spellStart"/>
      <w:r>
        <w:t>dramatisation</w:t>
      </w:r>
      <w:proofErr w:type="spellEnd"/>
      <w:r>
        <w:t xml:space="preserve">.  </w:t>
      </w:r>
      <w:r w:rsidR="00BC6D75">
        <w:t xml:space="preserve">To complete the triptych of sources, </w:t>
      </w:r>
      <w:proofErr w:type="spellStart"/>
      <w:r w:rsidR="00BC6D75">
        <w:t>Gazeau</w:t>
      </w:r>
      <w:proofErr w:type="spellEnd"/>
      <w:r w:rsidR="00BC6D75">
        <w:t xml:space="preserve"> reflects on the role of the cult of saints and associated source materials in </w:t>
      </w:r>
      <w:proofErr w:type="spellStart"/>
      <w:r w:rsidR="00BC6D75">
        <w:t>Orderic’s</w:t>
      </w:r>
      <w:proofErr w:type="spellEnd"/>
      <w:r w:rsidR="00BC6D75">
        <w:t xml:space="preserve"> historical writing. No study of medieval historical writing would be complete without considering the author’s attitude toward the monarch of the day: </w:t>
      </w:r>
      <w:proofErr w:type="spellStart"/>
      <w:r w:rsidR="00BC6D75">
        <w:t>Aird</w:t>
      </w:r>
      <w:proofErr w:type="spellEnd"/>
      <w:r w:rsidR="00BC6D75">
        <w:t xml:space="preserve"> suggests that </w:t>
      </w:r>
      <w:proofErr w:type="spellStart"/>
      <w:r w:rsidR="00BC6D75">
        <w:t>Orderic</w:t>
      </w:r>
      <w:proofErr w:type="spellEnd"/>
      <w:r w:rsidR="00BC6D75">
        <w:t xml:space="preserve"> is gently critical, especially of morally dubious activity. In an even closer reading of the nuances of his writing, </w:t>
      </w:r>
      <w:proofErr w:type="spellStart"/>
      <w:r w:rsidR="00BC6D75">
        <w:t>Albu</w:t>
      </w:r>
      <w:proofErr w:type="spellEnd"/>
      <w:r w:rsidR="00BC6D75">
        <w:t xml:space="preserve"> looks for clues in the tone and emotional feeling portrayed in </w:t>
      </w:r>
      <w:proofErr w:type="spellStart"/>
      <w:r w:rsidR="00BC6D75">
        <w:t>Orderic’s</w:t>
      </w:r>
      <w:proofErr w:type="spellEnd"/>
      <w:r w:rsidR="00BC6D75">
        <w:t xml:space="preserve"> works and the shades of meaning this adds to t</w:t>
      </w:r>
      <w:r w:rsidR="00CB0579">
        <w:t>h</w:t>
      </w:r>
      <w:r w:rsidR="00BC6D75">
        <w:t>e author</w:t>
      </w:r>
      <w:r w:rsidR="00601468">
        <w:t>’s</w:t>
      </w:r>
      <w:r w:rsidR="00BC6D75">
        <w:t xml:space="preserve"> </w:t>
      </w:r>
      <w:r w:rsidR="00CB0579">
        <w:t>interpretation of events</w:t>
      </w:r>
      <w:r w:rsidR="00BC6D75">
        <w:t xml:space="preserve">.  </w:t>
      </w:r>
    </w:p>
    <w:p w14:paraId="2A3C39D1" w14:textId="3EF87908" w:rsidR="00E369DA" w:rsidRPr="00C37BF9" w:rsidRDefault="00E369DA">
      <w:r>
        <w:t xml:space="preserve">In the third section, Gasper opens with a discussion of </w:t>
      </w:r>
      <w:proofErr w:type="spellStart"/>
      <w:r>
        <w:t>Orderic’s</w:t>
      </w:r>
      <w:proofErr w:type="spellEnd"/>
      <w:r>
        <w:t xml:space="preserve"> distinct ‘theology of Reckoning’ and the seeming lack of influence from the wider theological landscape of the day</w:t>
      </w:r>
      <w:r w:rsidR="00790E49">
        <w:t xml:space="preserve">. </w:t>
      </w:r>
      <w:proofErr w:type="spellStart"/>
      <w:r w:rsidR="00790E49">
        <w:t>M</w:t>
      </w:r>
      <w:r w:rsidR="00790E49">
        <w:rPr>
          <w:rFonts w:cstheme="minorHAnsi"/>
        </w:rPr>
        <w:t>é</w:t>
      </w:r>
      <w:r w:rsidR="00790E49">
        <w:t>gier</w:t>
      </w:r>
      <w:proofErr w:type="spellEnd"/>
      <w:r w:rsidR="00790E49">
        <w:t xml:space="preserve"> takes a step back to consider the whole of the </w:t>
      </w:r>
      <w:r w:rsidR="00790E49" w:rsidRPr="00790E49">
        <w:rPr>
          <w:i/>
          <w:iCs/>
        </w:rPr>
        <w:t xml:space="preserve">Historia </w:t>
      </w:r>
      <w:proofErr w:type="spellStart"/>
      <w:r w:rsidR="00790E49" w:rsidRPr="00790E49">
        <w:rPr>
          <w:i/>
          <w:iCs/>
        </w:rPr>
        <w:t>ecclesisatica</w:t>
      </w:r>
      <w:proofErr w:type="spellEnd"/>
      <w:r w:rsidR="00790E49">
        <w:t xml:space="preserve">, </w:t>
      </w:r>
      <w:proofErr w:type="gramStart"/>
      <w:r w:rsidR="00790E49">
        <w:t>in particular the</w:t>
      </w:r>
      <w:proofErr w:type="gramEnd"/>
      <w:r w:rsidR="00790E49">
        <w:t xml:space="preserve"> first two books, and what this add to our understanding of </w:t>
      </w:r>
      <w:proofErr w:type="spellStart"/>
      <w:r w:rsidR="00790E49">
        <w:t>Orderic’s</w:t>
      </w:r>
      <w:proofErr w:type="spellEnd"/>
      <w:r w:rsidR="00790E49">
        <w:t xml:space="preserve"> ‘theology of history’. The ‘hidden mystery of history’ is explored further by </w:t>
      </w:r>
      <w:proofErr w:type="spellStart"/>
      <w:r w:rsidR="00790E49">
        <w:t>S</w:t>
      </w:r>
      <w:r w:rsidR="00790E49">
        <w:rPr>
          <w:rFonts w:cstheme="minorHAnsi"/>
        </w:rPr>
        <w:t>ø</w:t>
      </w:r>
      <w:r w:rsidR="00790E49">
        <w:t>nnesyn</w:t>
      </w:r>
      <w:proofErr w:type="spellEnd"/>
      <w:r w:rsidR="00790E49">
        <w:t xml:space="preserve">, in whose chapter </w:t>
      </w:r>
      <w:proofErr w:type="spellStart"/>
      <w:r w:rsidR="00790E49">
        <w:t>Orderic’s</w:t>
      </w:r>
      <w:proofErr w:type="spellEnd"/>
      <w:r w:rsidR="00790E49">
        <w:t xml:space="preserve"> </w:t>
      </w:r>
      <w:r w:rsidR="0061445F">
        <w:t xml:space="preserve">intention for </w:t>
      </w:r>
      <w:r w:rsidR="00790E49">
        <w:t xml:space="preserve">history itself </w:t>
      </w:r>
      <w:r w:rsidR="0061445F">
        <w:t xml:space="preserve">to be </w:t>
      </w:r>
      <w:r w:rsidR="00790E49">
        <w:t>a subject for monastic meditation</w:t>
      </w:r>
      <w:r w:rsidR="0061445F">
        <w:t xml:space="preserve"> is revealed. O’Donnell continues this focus on monastic communities, by demonstrating in his chapter how the </w:t>
      </w:r>
      <w:r w:rsidR="0061445F">
        <w:rPr>
          <w:i/>
          <w:iCs/>
        </w:rPr>
        <w:t>Historia</w:t>
      </w:r>
      <w:r w:rsidR="0061445F">
        <w:t xml:space="preserve">, with all its apparent twists and turns, </w:t>
      </w:r>
      <w:proofErr w:type="gramStart"/>
      <w:r w:rsidR="0061445F">
        <w:t>actually helped</w:t>
      </w:r>
      <w:proofErr w:type="gramEnd"/>
      <w:r w:rsidR="0061445F">
        <w:t xml:space="preserve"> </w:t>
      </w:r>
      <w:r w:rsidR="0061445F">
        <w:lastRenderedPageBreak/>
        <w:t>to create social unity and a shared sense of identity at the Abbey of Saint-</w:t>
      </w:r>
      <w:proofErr w:type="spellStart"/>
      <w:r w:rsidR="0061445F">
        <w:rPr>
          <w:rFonts w:cstheme="minorHAnsi"/>
        </w:rPr>
        <w:t>É</w:t>
      </w:r>
      <w:r w:rsidR="0061445F">
        <w:t>vroul</w:t>
      </w:r>
      <w:proofErr w:type="spellEnd"/>
      <w:r w:rsidR="0061445F">
        <w:t xml:space="preserve">. To end this section of the volume, Thompson focuses on </w:t>
      </w:r>
      <w:r w:rsidR="00C37BF9">
        <w:t xml:space="preserve">one particular </w:t>
      </w:r>
      <w:r w:rsidR="00601468">
        <w:t xml:space="preserve">portion </w:t>
      </w:r>
      <w:r w:rsidR="00C37BF9">
        <w:t xml:space="preserve">of the </w:t>
      </w:r>
      <w:r w:rsidR="00C37BF9">
        <w:rPr>
          <w:i/>
          <w:iCs/>
        </w:rPr>
        <w:t>Historia</w:t>
      </w:r>
      <w:r w:rsidR="00601468">
        <w:t>:</w:t>
      </w:r>
      <w:r w:rsidR="00C37BF9">
        <w:t xml:space="preserve"> the account of the foundation of </w:t>
      </w:r>
      <w:proofErr w:type="spellStart"/>
      <w:r w:rsidR="00C37BF9">
        <w:t>Tiron</w:t>
      </w:r>
      <w:proofErr w:type="spellEnd"/>
      <w:r w:rsidR="00C37BF9">
        <w:t xml:space="preserve">, and its value as an early independent witness to a controversial episode in their founder’s history that received a rather different treatment in the later </w:t>
      </w:r>
      <w:r w:rsidR="00C37BF9" w:rsidRPr="00C37BF9">
        <w:rPr>
          <w:i/>
          <w:iCs/>
        </w:rPr>
        <w:t xml:space="preserve">Vita </w:t>
      </w:r>
      <w:proofErr w:type="spellStart"/>
      <w:r w:rsidR="00C37BF9" w:rsidRPr="00C37BF9">
        <w:rPr>
          <w:i/>
          <w:iCs/>
        </w:rPr>
        <w:t>Bernardi</w:t>
      </w:r>
      <w:proofErr w:type="spellEnd"/>
      <w:r w:rsidR="00C37BF9">
        <w:t>.</w:t>
      </w:r>
    </w:p>
    <w:p w14:paraId="287EF3C5" w14:textId="7E631EA2" w:rsidR="00C32BC8" w:rsidRPr="00601468" w:rsidRDefault="00C37BF9">
      <w:pPr>
        <w:rPr>
          <w:i/>
          <w:iCs/>
        </w:rPr>
      </w:pPr>
      <w:r>
        <w:t xml:space="preserve">The volume is brought to a close with two final chapters on the reception of </w:t>
      </w:r>
      <w:proofErr w:type="spellStart"/>
      <w:r>
        <w:t>Orderic’s</w:t>
      </w:r>
      <w:proofErr w:type="spellEnd"/>
      <w:r>
        <w:t xml:space="preserve"> works in the Middle Ages: Pohl uses the lens of cultural memory to explore </w:t>
      </w:r>
      <w:proofErr w:type="spellStart"/>
      <w:r>
        <w:t>Orderic’s</w:t>
      </w:r>
      <w:proofErr w:type="spellEnd"/>
      <w:r>
        <w:t xml:space="preserve"> attitude towards preserving the past for posterity, while Clark demonstrates how later medieval works did indeed draw upon his historical writing: four centuries later it was still revered as a model of historical writing</w:t>
      </w:r>
      <w:r w:rsidR="00487627">
        <w:t xml:space="preserve">. To round off the volume’s interdisciplinary approach, are two useful </w:t>
      </w:r>
      <w:r w:rsidR="00601468">
        <w:t>appendices.</w:t>
      </w:r>
      <w:r w:rsidR="00487627">
        <w:t xml:space="preserve"> The first is an archaeological report on excavations undertaken at the Abbey of Saint-</w:t>
      </w:r>
      <w:proofErr w:type="spellStart"/>
      <w:r w:rsidR="00487627">
        <w:rPr>
          <w:rFonts w:cstheme="minorHAnsi"/>
        </w:rPr>
        <w:t>É</w:t>
      </w:r>
      <w:r w:rsidR="00487627">
        <w:t>vroul</w:t>
      </w:r>
      <w:proofErr w:type="spellEnd"/>
      <w:r w:rsidR="00487627">
        <w:t xml:space="preserve">. Here </w:t>
      </w:r>
      <w:proofErr w:type="spellStart"/>
      <w:r w:rsidR="00487627">
        <w:t>Vigot</w:t>
      </w:r>
      <w:proofErr w:type="spellEnd"/>
      <w:r w:rsidR="00487627">
        <w:t xml:space="preserve"> explores the findings to </w:t>
      </w:r>
      <w:proofErr w:type="gramStart"/>
      <w:r w:rsidR="00487627">
        <w:t>date, and</w:t>
      </w:r>
      <w:proofErr w:type="gramEnd"/>
      <w:r w:rsidR="00487627">
        <w:t xml:space="preserve"> suggests the utility of such an undertaking to better understand the evolution, decoration and modification made to the house. In Appendix 2</w:t>
      </w:r>
      <w:r w:rsidR="00601468">
        <w:t>,</w:t>
      </w:r>
      <w:r w:rsidR="00487627">
        <w:t xml:space="preserve"> Weston and Rosier have compiled a descriptive </w:t>
      </w:r>
      <w:r w:rsidR="00601468">
        <w:t>catalogue</w:t>
      </w:r>
      <w:r w:rsidR="00487627">
        <w:t xml:space="preserve"> of the manuscript</w:t>
      </w:r>
      <w:r w:rsidR="00601468">
        <w:t>s</w:t>
      </w:r>
      <w:r w:rsidR="00487627">
        <w:t xml:space="preserve"> known to contain the hand of </w:t>
      </w:r>
      <w:proofErr w:type="spellStart"/>
      <w:r w:rsidR="00487627">
        <w:t>Orderic</w:t>
      </w:r>
      <w:proofErr w:type="spellEnd"/>
      <w:r w:rsidR="00487627">
        <w:t xml:space="preserve"> Vitalis himself. This </w:t>
      </w:r>
      <w:r w:rsidR="00601468">
        <w:t>demonstrates</w:t>
      </w:r>
      <w:r w:rsidR="00487627">
        <w:t xml:space="preserve"> the range of scribal activity</w:t>
      </w:r>
      <w:r w:rsidR="00601468">
        <w:t xml:space="preserve"> </w:t>
      </w:r>
      <w:r w:rsidR="00487627">
        <w:t xml:space="preserve">in which </w:t>
      </w:r>
      <w:proofErr w:type="spellStart"/>
      <w:r w:rsidR="00487627">
        <w:t>Orderic</w:t>
      </w:r>
      <w:proofErr w:type="spellEnd"/>
      <w:r w:rsidR="00487627">
        <w:t xml:space="preserve"> was involved, helping to underpin much of the proceeding discussion about his life beyond </w:t>
      </w:r>
      <w:r w:rsidR="00601468">
        <w:t xml:space="preserve">writing of </w:t>
      </w:r>
      <w:r w:rsidR="00487627">
        <w:t xml:space="preserve">the </w:t>
      </w:r>
      <w:proofErr w:type="spellStart"/>
      <w:r w:rsidR="00487627" w:rsidRPr="00601468">
        <w:rPr>
          <w:i/>
          <w:iCs/>
        </w:rPr>
        <w:t>Gesta</w:t>
      </w:r>
      <w:proofErr w:type="spellEnd"/>
      <w:r w:rsidR="00487627" w:rsidRPr="00601468">
        <w:rPr>
          <w:i/>
          <w:iCs/>
        </w:rPr>
        <w:t xml:space="preserve"> </w:t>
      </w:r>
      <w:proofErr w:type="spellStart"/>
      <w:r w:rsidR="00487627" w:rsidRPr="00601468">
        <w:rPr>
          <w:i/>
          <w:iCs/>
        </w:rPr>
        <w:t>Normannorum</w:t>
      </w:r>
      <w:proofErr w:type="spellEnd"/>
      <w:r w:rsidR="00487627" w:rsidRPr="00601468">
        <w:rPr>
          <w:i/>
          <w:iCs/>
        </w:rPr>
        <w:t xml:space="preserve"> </w:t>
      </w:r>
      <w:proofErr w:type="spellStart"/>
      <w:r w:rsidR="00487627" w:rsidRPr="00601468">
        <w:rPr>
          <w:i/>
          <w:iCs/>
        </w:rPr>
        <w:t>ducum</w:t>
      </w:r>
      <w:proofErr w:type="spellEnd"/>
      <w:r w:rsidR="00487627">
        <w:t xml:space="preserve"> and </w:t>
      </w:r>
      <w:r w:rsidR="00487627" w:rsidRPr="00601468">
        <w:rPr>
          <w:i/>
          <w:iCs/>
        </w:rPr>
        <w:t xml:space="preserve">Historia </w:t>
      </w:r>
      <w:proofErr w:type="spellStart"/>
      <w:r w:rsidR="00487627" w:rsidRPr="00601468">
        <w:rPr>
          <w:i/>
          <w:iCs/>
        </w:rPr>
        <w:t>Ecclesiastica</w:t>
      </w:r>
      <w:proofErr w:type="spellEnd"/>
      <w:r w:rsidR="00487627" w:rsidRPr="00601468">
        <w:rPr>
          <w:i/>
          <w:iCs/>
        </w:rPr>
        <w:t>.</w:t>
      </w:r>
    </w:p>
    <w:p w14:paraId="7B8C876C" w14:textId="756924AA" w:rsidR="00B63A2F" w:rsidRDefault="00601468">
      <w:r>
        <w:t>By drawing the reader’s attention to the sheer variety of ways in which t</w:t>
      </w:r>
      <w:r w:rsidR="0061445F">
        <w:t xml:space="preserve">he works of </w:t>
      </w:r>
      <w:proofErr w:type="spellStart"/>
      <w:r w:rsidR="0061445F">
        <w:t>Orderic</w:t>
      </w:r>
      <w:proofErr w:type="spellEnd"/>
      <w:r w:rsidR="0061445F">
        <w:t xml:space="preserve"> Vitalis can be approached</w:t>
      </w:r>
      <w:r>
        <w:t>, the editors have compiled a volume that is p</w:t>
      </w:r>
      <w:r w:rsidR="001B346F">
        <w:t xml:space="preserve">articularly useful for </w:t>
      </w:r>
      <w:r w:rsidR="0061445F">
        <w:t xml:space="preserve">university students </w:t>
      </w:r>
      <w:r w:rsidR="001B346F">
        <w:t>commencing independent research projects. It illustrates how a single topic can be approached from a whole variety of angles depending on the research interests of the individual – close reading of the manuscript evidence and analysis of the handwriting; biographical</w:t>
      </w:r>
      <w:r>
        <w:t xml:space="preserve"> or </w:t>
      </w:r>
      <w:proofErr w:type="spellStart"/>
      <w:r w:rsidR="001B346F">
        <w:t>psyco</w:t>
      </w:r>
      <w:proofErr w:type="spellEnd"/>
      <w:r w:rsidR="001B346F">
        <w:t>-analysis of the author</w:t>
      </w:r>
      <w:r>
        <w:t>; the</w:t>
      </w:r>
      <w:r w:rsidR="001B346F">
        <w:t xml:space="preserve"> reception of texts</w:t>
      </w:r>
      <w:r>
        <w:t>;</w:t>
      </w:r>
      <w:r w:rsidR="001B346F">
        <w:t xml:space="preserve"> archaeological</w:t>
      </w:r>
      <w:r>
        <w:t>ly</w:t>
      </w:r>
      <w:r w:rsidR="001B346F">
        <w:t xml:space="preserve"> informed discussion of space and place. </w:t>
      </w:r>
      <w:r w:rsidR="00B63A2F">
        <w:t>As the editors suggest in their introduction</w:t>
      </w:r>
      <w:r w:rsidR="001B346F">
        <w:t xml:space="preserve"> (p. </w:t>
      </w:r>
      <w:r w:rsidR="003826FB">
        <w:t>1</w:t>
      </w:r>
      <w:r w:rsidR="001B346F">
        <w:t>6)</w:t>
      </w:r>
      <w:r w:rsidR="00B63A2F">
        <w:t xml:space="preserve">, this is indeed a volume that should </w:t>
      </w:r>
      <w:r w:rsidR="003826FB">
        <w:t>‘</w:t>
      </w:r>
      <w:r w:rsidR="00B63A2F">
        <w:t xml:space="preserve">light the way for scholars for </w:t>
      </w:r>
      <w:r w:rsidR="003826FB">
        <w:t xml:space="preserve">many </w:t>
      </w:r>
      <w:r w:rsidR="00B63A2F">
        <w:t>years to come</w:t>
      </w:r>
      <w:r w:rsidR="003826FB">
        <w:t>’</w:t>
      </w:r>
      <w:r w:rsidR="00B63A2F">
        <w:t>.</w:t>
      </w:r>
    </w:p>
    <w:p w14:paraId="5DB08305" w14:textId="579F3AFF" w:rsidR="00411887" w:rsidRDefault="00411887"/>
    <w:p w14:paraId="300ADDB1" w14:textId="77777777" w:rsidR="00411887" w:rsidRDefault="00411887" w:rsidP="00411887">
      <w:r>
        <w:t>Harriett Webster</w:t>
      </w:r>
    </w:p>
    <w:p w14:paraId="2BE7AADD" w14:textId="77777777" w:rsidR="00411887" w:rsidRDefault="00411887" w:rsidP="00411887">
      <w:r>
        <w:t>Lecturer in Medieval History</w:t>
      </w:r>
    </w:p>
    <w:p w14:paraId="7192B8C6" w14:textId="77777777" w:rsidR="00411887" w:rsidRDefault="00411887" w:rsidP="00411887">
      <w:r>
        <w:t>University of Wales, Trinity Saint David</w:t>
      </w:r>
    </w:p>
    <w:p w14:paraId="12A71CDC" w14:textId="77777777" w:rsidR="00411887" w:rsidRDefault="00411887">
      <w:bookmarkStart w:id="0" w:name="_GoBack"/>
      <w:bookmarkEnd w:id="0"/>
    </w:p>
    <w:sectPr w:rsidR="00411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42"/>
    <w:rsid w:val="000351D2"/>
    <w:rsid w:val="001B346F"/>
    <w:rsid w:val="003826FB"/>
    <w:rsid w:val="00411887"/>
    <w:rsid w:val="00487627"/>
    <w:rsid w:val="00601468"/>
    <w:rsid w:val="0061445F"/>
    <w:rsid w:val="006F0625"/>
    <w:rsid w:val="00715EFC"/>
    <w:rsid w:val="00790E49"/>
    <w:rsid w:val="007C1B14"/>
    <w:rsid w:val="008A1BEE"/>
    <w:rsid w:val="00AB3FD9"/>
    <w:rsid w:val="00B63A2F"/>
    <w:rsid w:val="00BC6D75"/>
    <w:rsid w:val="00C32BC8"/>
    <w:rsid w:val="00C37BF9"/>
    <w:rsid w:val="00CB0579"/>
    <w:rsid w:val="00E369DA"/>
    <w:rsid w:val="00E71C42"/>
    <w:rsid w:val="00EA4BCB"/>
    <w:rsid w:val="00FD2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11B02"/>
  <w15:chartTrackingRefBased/>
  <w15:docId w15:val="{ADEAA1EC-8374-40FC-8767-24F0E37B4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2</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7</cp:revision>
  <dcterms:created xsi:type="dcterms:W3CDTF">2019-11-20T16:28:00Z</dcterms:created>
  <dcterms:modified xsi:type="dcterms:W3CDTF">2020-01-29T14:54:00Z</dcterms:modified>
</cp:coreProperties>
</file>