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AC15E" w14:textId="4E0C1A8B" w:rsidR="00B21DA9" w:rsidRDefault="00412ACA">
      <w:pPr>
        <w:rPr>
          <w:rFonts w:ascii="Abadi" w:hAnsi="Abadi"/>
          <w:sz w:val="24"/>
          <w:szCs w:val="24"/>
        </w:rPr>
      </w:pPr>
      <w:r>
        <w:rPr>
          <w:rFonts w:ascii="Abadi" w:hAnsi="Abadi"/>
          <w:b/>
          <w:bCs/>
          <w:sz w:val="24"/>
          <w:szCs w:val="24"/>
        </w:rPr>
        <w:t xml:space="preserve">Student name: </w:t>
      </w:r>
      <w:r>
        <w:rPr>
          <w:rFonts w:ascii="Abadi" w:hAnsi="Abadi"/>
          <w:sz w:val="24"/>
          <w:szCs w:val="24"/>
        </w:rPr>
        <w:t xml:space="preserve">Vasile – </w:t>
      </w:r>
      <w:proofErr w:type="spellStart"/>
      <w:r>
        <w:rPr>
          <w:rFonts w:ascii="Abadi" w:hAnsi="Abadi"/>
          <w:sz w:val="24"/>
          <w:szCs w:val="24"/>
        </w:rPr>
        <w:t>Aurel</w:t>
      </w:r>
      <w:proofErr w:type="spellEnd"/>
      <w:r>
        <w:rPr>
          <w:rFonts w:ascii="Abadi" w:hAnsi="Abadi"/>
          <w:sz w:val="24"/>
          <w:szCs w:val="24"/>
        </w:rPr>
        <w:t xml:space="preserve"> Cristescu</w:t>
      </w:r>
    </w:p>
    <w:p w14:paraId="41631B64" w14:textId="30D9C08C" w:rsidR="00412ACA" w:rsidRDefault="00412ACA">
      <w:pPr>
        <w:rPr>
          <w:rFonts w:ascii="Abadi" w:hAnsi="Abadi"/>
          <w:sz w:val="24"/>
          <w:szCs w:val="24"/>
        </w:rPr>
      </w:pPr>
      <w:r>
        <w:rPr>
          <w:rFonts w:ascii="Abadi" w:hAnsi="Abadi"/>
          <w:b/>
          <w:bCs/>
          <w:sz w:val="24"/>
          <w:szCs w:val="24"/>
        </w:rPr>
        <w:t xml:space="preserve">Student ID number: </w:t>
      </w:r>
      <w:r>
        <w:rPr>
          <w:rFonts w:ascii="Abadi" w:hAnsi="Abadi"/>
          <w:sz w:val="24"/>
          <w:szCs w:val="24"/>
        </w:rPr>
        <w:t>2228672</w:t>
      </w:r>
    </w:p>
    <w:p w14:paraId="2CBC9680" w14:textId="5DC92B2B" w:rsidR="00412ACA" w:rsidRDefault="00412ACA">
      <w:pPr>
        <w:rPr>
          <w:rFonts w:ascii="Abadi" w:hAnsi="Abadi"/>
          <w:sz w:val="24"/>
          <w:szCs w:val="24"/>
        </w:rPr>
      </w:pPr>
      <w:r>
        <w:rPr>
          <w:rFonts w:ascii="Abadi" w:hAnsi="Abadi"/>
          <w:b/>
          <w:bCs/>
          <w:sz w:val="24"/>
          <w:szCs w:val="24"/>
        </w:rPr>
        <w:t>Module:</w:t>
      </w:r>
      <w:r>
        <w:rPr>
          <w:rFonts w:ascii="Abadi" w:hAnsi="Abadi"/>
          <w:sz w:val="24"/>
          <w:szCs w:val="24"/>
        </w:rPr>
        <w:t xml:space="preserve"> Legal Process</w:t>
      </w:r>
    </w:p>
    <w:p w14:paraId="098A0750" w14:textId="01771343" w:rsidR="00412ACA" w:rsidRDefault="00412ACA">
      <w:pPr>
        <w:rPr>
          <w:rFonts w:ascii="Abadi" w:hAnsi="Abadi"/>
          <w:sz w:val="24"/>
          <w:szCs w:val="24"/>
        </w:rPr>
      </w:pPr>
      <w:r>
        <w:rPr>
          <w:rFonts w:ascii="Abadi" w:hAnsi="Abadi"/>
          <w:b/>
          <w:bCs/>
          <w:sz w:val="24"/>
          <w:szCs w:val="24"/>
        </w:rPr>
        <w:t xml:space="preserve">Module code: </w:t>
      </w:r>
      <w:r>
        <w:rPr>
          <w:rFonts w:ascii="Abadi" w:hAnsi="Abadi"/>
          <w:sz w:val="24"/>
          <w:szCs w:val="24"/>
        </w:rPr>
        <w:t>BMPL 4005, BMLW 4006</w:t>
      </w:r>
    </w:p>
    <w:p w14:paraId="502AADF5" w14:textId="1D87595B" w:rsidR="00412ACA" w:rsidRDefault="00412ACA">
      <w:pPr>
        <w:rPr>
          <w:rFonts w:ascii="Abadi" w:hAnsi="Abadi"/>
          <w:sz w:val="24"/>
          <w:szCs w:val="24"/>
        </w:rPr>
      </w:pPr>
      <w:r>
        <w:rPr>
          <w:rFonts w:ascii="Abadi" w:hAnsi="Abadi"/>
          <w:b/>
          <w:bCs/>
          <w:sz w:val="24"/>
          <w:szCs w:val="24"/>
        </w:rPr>
        <w:t xml:space="preserve">Lecturer: </w:t>
      </w:r>
      <w:r>
        <w:rPr>
          <w:rFonts w:ascii="Abadi" w:hAnsi="Abadi"/>
          <w:sz w:val="24"/>
          <w:szCs w:val="24"/>
        </w:rPr>
        <w:t>Louis Hughes</w:t>
      </w:r>
    </w:p>
    <w:p w14:paraId="1B1FB9C9" w14:textId="77777777" w:rsidR="00412ACA" w:rsidRDefault="00412ACA">
      <w:pPr>
        <w:rPr>
          <w:rFonts w:ascii="Abadi" w:hAnsi="Abadi"/>
          <w:sz w:val="24"/>
          <w:szCs w:val="24"/>
        </w:rPr>
      </w:pPr>
      <w:r>
        <w:rPr>
          <w:rFonts w:ascii="Abadi" w:hAnsi="Abadi"/>
          <w:b/>
          <w:bCs/>
          <w:sz w:val="24"/>
          <w:szCs w:val="24"/>
        </w:rPr>
        <w:t xml:space="preserve">Assignment Title: </w:t>
      </w:r>
      <w:r>
        <w:rPr>
          <w:rFonts w:ascii="Abadi" w:hAnsi="Abadi"/>
          <w:sz w:val="24"/>
          <w:szCs w:val="24"/>
        </w:rPr>
        <w:t xml:space="preserve">Common Law </w:t>
      </w:r>
    </w:p>
    <w:p w14:paraId="5E5BD958" w14:textId="77777777" w:rsidR="00412ACA" w:rsidRDefault="00412ACA">
      <w:pPr>
        <w:rPr>
          <w:rFonts w:ascii="Abadi" w:hAnsi="Abadi"/>
          <w:sz w:val="24"/>
          <w:szCs w:val="24"/>
        </w:rPr>
      </w:pPr>
      <w:r>
        <w:rPr>
          <w:rFonts w:ascii="Abadi" w:hAnsi="Abadi"/>
          <w:b/>
          <w:bCs/>
          <w:sz w:val="24"/>
          <w:szCs w:val="24"/>
        </w:rPr>
        <w:t xml:space="preserve">Submission deadline: </w:t>
      </w:r>
      <w:r>
        <w:rPr>
          <w:rFonts w:ascii="Abadi" w:hAnsi="Abadi"/>
          <w:sz w:val="24"/>
          <w:szCs w:val="24"/>
        </w:rPr>
        <w:t>10</w:t>
      </w:r>
      <w:r w:rsidRPr="00412ACA">
        <w:rPr>
          <w:rFonts w:ascii="Abadi" w:hAnsi="Abadi"/>
          <w:sz w:val="24"/>
          <w:szCs w:val="24"/>
          <w:vertAlign w:val="superscript"/>
        </w:rPr>
        <w:t>th</w:t>
      </w:r>
      <w:r>
        <w:rPr>
          <w:rFonts w:ascii="Abadi" w:hAnsi="Abadi"/>
          <w:sz w:val="24"/>
          <w:szCs w:val="24"/>
        </w:rPr>
        <w:t xml:space="preserve"> march</w:t>
      </w:r>
    </w:p>
    <w:p w14:paraId="1F7723C9" w14:textId="77777777" w:rsidR="00412ACA" w:rsidRDefault="00412ACA">
      <w:pPr>
        <w:rPr>
          <w:rFonts w:ascii="Abadi" w:hAnsi="Abadi"/>
          <w:sz w:val="24"/>
          <w:szCs w:val="24"/>
        </w:rPr>
      </w:pPr>
    </w:p>
    <w:p w14:paraId="1C1614FB" w14:textId="77777777" w:rsidR="00412ACA" w:rsidRDefault="00412ACA">
      <w:pPr>
        <w:rPr>
          <w:rFonts w:ascii="Abadi" w:hAnsi="Abadi"/>
          <w:sz w:val="24"/>
          <w:szCs w:val="24"/>
        </w:rPr>
      </w:pPr>
    </w:p>
    <w:p w14:paraId="4AFC4EAE" w14:textId="77777777" w:rsidR="00412ACA" w:rsidRDefault="00412ACA">
      <w:pPr>
        <w:rPr>
          <w:rFonts w:ascii="Abadi" w:hAnsi="Abadi"/>
          <w:b/>
          <w:bCs/>
          <w:sz w:val="24"/>
          <w:szCs w:val="24"/>
        </w:rPr>
      </w:pPr>
      <w:r>
        <w:rPr>
          <w:rFonts w:ascii="Abadi" w:hAnsi="Abadi"/>
          <w:b/>
          <w:bCs/>
          <w:sz w:val="24"/>
          <w:szCs w:val="24"/>
        </w:rPr>
        <w:t xml:space="preserve">Summary: </w:t>
      </w:r>
    </w:p>
    <w:p w14:paraId="6C7BACA8" w14:textId="3B214DDA" w:rsidR="00412ACA" w:rsidRPr="00412ACA" w:rsidRDefault="00412ACA">
      <w:pPr>
        <w:rPr>
          <w:rFonts w:ascii="Abadi" w:hAnsi="Abadi"/>
          <w:b/>
          <w:bCs/>
          <w:sz w:val="24"/>
          <w:szCs w:val="24"/>
        </w:rPr>
      </w:pPr>
      <w:r w:rsidRPr="00412ACA">
        <w:rPr>
          <w:rFonts w:ascii="Abadi" w:hAnsi="Abadi" w:cs="Segoe UI"/>
          <w:color w:val="212529"/>
          <w:sz w:val="24"/>
          <w:szCs w:val="24"/>
          <w:shd w:val="clear" w:color="auto" w:fill="FFFFFF"/>
        </w:rPr>
        <w:t>Common law is the legal system used in Great Britain and the United States (except the state of Louisiana). According to common law, judges must consider the decisions of earlier courts (precedents) about similar cases when making their own decisions. People sometimes call common law “customary law” because judges consider the customs (common practices) of the country when making decisions. In many countries the justice system combines elements of civil law (private cases), which was handed down from Roman law, and common law, which developed in England</w:t>
      </w:r>
      <w:r>
        <w:rPr>
          <w:rFonts w:ascii="Segoe UI" w:hAnsi="Segoe UI" w:cs="Segoe UI"/>
          <w:color w:val="212529"/>
          <w:shd w:val="clear" w:color="auto" w:fill="FFFFFF"/>
        </w:rPr>
        <w:t>. </w:t>
      </w:r>
      <w:r>
        <w:rPr>
          <w:rFonts w:ascii="Abadi" w:hAnsi="Abadi"/>
          <w:b/>
          <w:bCs/>
          <w:sz w:val="24"/>
          <w:szCs w:val="24"/>
        </w:rPr>
        <w:t xml:space="preserve"> </w:t>
      </w:r>
    </w:p>
    <w:p w14:paraId="57C5BA25" w14:textId="6E0D501B" w:rsidR="00412ACA" w:rsidRDefault="00412ACA">
      <w:pPr>
        <w:rPr>
          <w:rFonts w:ascii="Abadi" w:hAnsi="Abadi"/>
          <w:sz w:val="24"/>
          <w:szCs w:val="24"/>
        </w:rPr>
      </w:pPr>
    </w:p>
    <w:p w14:paraId="0FC71F03" w14:textId="625E9FC8" w:rsidR="00412ACA" w:rsidRDefault="00412ACA">
      <w:pPr>
        <w:rPr>
          <w:rFonts w:ascii="Abadi" w:hAnsi="Abadi"/>
          <w:b/>
          <w:bCs/>
          <w:sz w:val="24"/>
          <w:szCs w:val="24"/>
        </w:rPr>
      </w:pPr>
      <w:r>
        <w:rPr>
          <w:rFonts w:ascii="Abadi" w:hAnsi="Abadi"/>
          <w:b/>
          <w:bCs/>
          <w:sz w:val="24"/>
          <w:szCs w:val="24"/>
        </w:rPr>
        <w:t>Table of content:</w:t>
      </w:r>
    </w:p>
    <w:p w14:paraId="6324987E" w14:textId="5B91A455" w:rsidR="00412ACA" w:rsidRDefault="00412ACA">
      <w:pPr>
        <w:rPr>
          <w:rFonts w:ascii="Abadi" w:hAnsi="Abadi"/>
          <w:sz w:val="24"/>
          <w:szCs w:val="24"/>
        </w:rPr>
      </w:pPr>
      <w:r>
        <w:rPr>
          <w:rFonts w:ascii="Abadi" w:hAnsi="Abadi"/>
          <w:sz w:val="24"/>
          <w:szCs w:val="24"/>
        </w:rPr>
        <w:t>Work Description………………………</w:t>
      </w:r>
      <w:r w:rsidR="001C7CDC">
        <w:rPr>
          <w:rFonts w:ascii="Abadi" w:hAnsi="Abadi"/>
          <w:sz w:val="24"/>
          <w:szCs w:val="24"/>
        </w:rPr>
        <w:t>………………….…</w:t>
      </w:r>
      <w:r>
        <w:rPr>
          <w:rFonts w:ascii="Abadi" w:hAnsi="Abadi"/>
          <w:sz w:val="24"/>
          <w:szCs w:val="24"/>
        </w:rPr>
        <w:t>1</w:t>
      </w:r>
    </w:p>
    <w:p w14:paraId="4F4DC96D" w14:textId="28A58641" w:rsidR="00412ACA" w:rsidRDefault="00412ACA">
      <w:pPr>
        <w:rPr>
          <w:rFonts w:ascii="Abadi" w:hAnsi="Abadi"/>
          <w:sz w:val="24"/>
          <w:szCs w:val="24"/>
        </w:rPr>
      </w:pPr>
      <w:r>
        <w:rPr>
          <w:rFonts w:ascii="Abadi" w:hAnsi="Abadi"/>
          <w:sz w:val="24"/>
          <w:szCs w:val="24"/>
        </w:rPr>
        <w:t>Summary…………………………………</w:t>
      </w:r>
      <w:r w:rsidR="001C7CDC">
        <w:rPr>
          <w:rFonts w:ascii="Abadi" w:hAnsi="Abadi"/>
          <w:sz w:val="24"/>
          <w:szCs w:val="24"/>
        </w:rPr>
        <w:t>…………………...</w:t>
      </w:r>
      <w:r>
        <w:rPr>
          <w:rFonts w:ascii="Abadi" w:hAnsi="Abadi"/>
          <w:sz w:val="24"/>
          <w:szCs w:val="24"/>
        </w:rPr>
        <w:t>2</w:t>
      </w:r>
    </w:p>
    <w:p w14:paraId="2D365A87" w14:textId="60F54F1A" w:rsidR="001C7CDC" w:rsidRDefault="001C7CDC">
      <w:pPr>
        <w:rPr>
          <w:rFonts w:ascii="Abadi" w:hAnsi="Abadi"/>
          <w:sz w:val="24"/>
          <w:szCs w:val="24"/>
        </w:rPr>
      </w:pPr>
      <w:r>
        <w:rPr>
          <w:rFonts w:ascii="Abadi" w:hAnsi="Abadi"/>
          <w:sz w:val="24"/>
          <w:szCs w:val="24"/>
        </w:rPr>
        <w:t>Common Law………………………………………………....</w:t>
      </w:r>
      <w:r w:rsidR="00B22CBC">
        <w:rPr>
          <w:rFonts w:ascii="Abadi" w:hAnsi="Abadi"/>
          <w:sz w:val="24"/>
          <w:szCs w:val="24"/>
        </w:rPr>
        <w:t>3</w:t>
      </w:r>
    </w:p>
    <w:p w14:paraId="732BE78D" w14:textId="1A21A46F" w:rsidR="001C7CDC" w:rsidRDefault="001C7CDC">
      <w:pPr>
        <w:rPr>
          <w:rFonts w:ascii="Abadi" w:hAnsi="Abadi"/>
          <w:sz w:val="24"/>
          <w:szCs w:val="24"/>
        </w:rPr>
      </w:pPr>
      <w:r>
        <w:rPr>
          <w:rFonts w:ascii="Abadi" w:hAnsi="Abadi"/>
          <w:sz w:val="24"/>
          <w:szCs w:val="24"/>
        </w:rPr>
        <w:t>Civil Law………………………………………………………</w:t>
      </w:r>
      <w:r w:rsidR="00B22CBC">
        <w:rPr>
          <w:rFonts w:ascii="Abadi" w:hAnsi="Abadi"/>
          <w:sz w:val="24"/>
          <w:szCs w:val="24"/>
        </w:rPr>
        <w:t>4</w:t>
      </w:r>
    </w:p>
    <w:p w14:paraId="2B3A4795" w14:textId="10110CFA" w:rsidR="001C7CDC" w:rsidRDefault="001C7CDC">
      <w:pPr>
        <w:rPr>
          <w:rFonts w:ascii="Abadi" w:hAnsi="Abadi"/>
          <w:sz w:val="24"/>
          <w:szCs w:val="24"/>
        </w:rPr>
      </w:pPr>
      <w:r>
        <w:rPr>
          <w:rFonts w:ascii="Abadi" w:hAnsi="Abadi"/>
          <w:sz w:val="24"/>
          <w:szCs w:val="24"/>
        </w:rPr>
        <w:t>Contrast the two systems……………………………………</w:t>
      </w:r>
      <w:proofErr w:type="gramStart"/>
      <w:r w:rsidR="00B22CBC">
        <w:rPr>
          <w:rFonts w:ascii="Abadi" w:hAnsi="Abadi"/>
          <w:sz w:val="24"/>
          <w:szCs w:val="24"/>
        </w:rPr>
        <w:t>5</w:t>
      </w:r>
      <w:proofErr w:type="gramEnd"/>
    </w:p>
    <w:p w14:paraId="2970EDCC" w14:textId="5F6A4B20" w:rsidR="001C7CDC" w:rsidRDefault="001C7CDC">
      <w:pPr>
        <w:rPr>
          <w:rFonts w:ascii="Abadi" w:hAnsi="Abadi"/>
          <w:sz w:val="24"/>
          <w:szCs w:val="24"/>
        </w:rPr>
      </w:pPr>
      <w:r>
        <w:rPr>
          <w:rFonts w:ascii="Abadi" w:hAnsi="Abadi"/>
          <w:sz w:val="24"/>
          <w:szCs w:val="24"/>
        </w:rPr>
        <w:t>History of th</w:t>
      </w:r>
      <w:r w:rsidR="00B22CBC">
        <w:rPr>
          <w:rFonts w:ascii="Abadi" w:hAnsi="Abadi"/>
          <w:sz w:val="24"/>
          <w:szCs w:val="24"/>
        </w:rPr>
        <w:t>e</w:t>
      </w:r>
      <w:r>
        <w:rPr>
          <w:rFonts w:ascii="Abadi" w:hAnsi="Abadi"/>
          <w:sz w:val="24"/>
          <w:szCs w:val="24"/>
        </w:rPr>
        <w:t xml:space="preserve"> Common law………………………………</w:t>
      </w:r>
      <w:proofErr w:type="gramStart"/>
      <w:r>
        <w:rPr>
          <w:rFonts w:ascii="Abadi" w:hAnsi="Abadi"/>
          <w:sz w:val="24"/>
          <w:szCs w:val="24"/>
        </w:rPr>
        <w:t>…..</w:t>
      </w:r>
      <w:proofErr w:type="gramEnd"/>
      <w:r w:rsidR="00B22CBC">
        <w:rPr>
          <w:rFonts w:ascii="Abadi" w:hAnsi="Abadi"/>
          <w:sz w:val="24"/>
          <w:szCs w:val="24"/>
        </w:rPr>
        <w:t>6</w:t>
      </w:r>
    </w:p>
    <w:p w14:paraId="06282D90" w14:textId="34E066D9" w:rsidR="001C7CDC" w:rsidRDefault="001C7CDC">
      <w:pPr>
        <w:rPr>
          <w:rFonts w:ascii="Abadi" w:hAnsi="Abadi"/>
          <w:sz w:val="24"/>
          <w:szCs w:val="24"/>
        </w:rPr>
      </w:pPr>
      <w:r>
        <w:rPr>
          <w:rFonts w:ascii="Abadi" w:hAnsi="Abadi"/>
          <w:sz w:val="24"/>
          <w:szCs w:val="24"/>
        </w:rPr>
        <w:t>Examples of the Common law working in practice…………</w:t>
      </w:r>
      <w:r w:rsidR="00B22CBC">
        <w:rPr>
          <w:rFonts w:ascii="Abadi" w:hAnsi="Abadi"/>
          <w:sz w:val="24"/>
          <w:szCs w:val="24"/>
        </w:rPr>
        <w:t>7</w:t>
      </w:r>
    </w:p>
    <w:p w14:paraId="08699392" w14:textId="4BB19026" w:rsidR="001C7CDC" w:rsidRDefault="001C7CDC">
      <w:pPr>
        <w:rPr>
          <w:rFonts w:ascii="Abadi" w:hAnsi="Abadi"/>
          <w:sz w:val="24"/>
          <w:szCs w:val="24"/>
        </w:rPr>
      </w:pPr>
      <w:r>
        <w:rPr>
          <w:rFonts w:ascii="Abadi" w:hAnsi="Abadi"/>
          <w:sz w:val="24"/>
          <w:szCs w:val="24"/>
        </w:rPr>
        <w:t>Conclusion…………………………………………………</w:t>
      </w:r>
      <w:proofErr w:type="gramStart"/>
      <w:r>
        <w:rPr>
          <w:rFonts w:ascii="Abadi" w:hAnsi="Abadi"/>
          <w:sz w:val="24"/>
          <w:szCs w:val="24"/>
        </w:rPr>
        <w:t>…..</w:t>
      </w:r>
      <w:proofErr w:type="gramEnd"/>
      <w:r w:rsidR="00B22CBC">
        <w:rPr>
          <w:rFonts w:ascii="Abadi" w:hAnsi="Abadi"/>
          <w:sz w:val="24"/>
          <w:szCs w:val="24"/>
        </w:rPr>
        <w:t>8</w:t>
      </w:r>
    </w:p>
    <w:p w14:paraId="75F3DCD7" w14:textId="616973E5" w:rsidR="00710648" w:rsidRDefault="00710648">
      <w:pPr>
        <w:rPr>
          <w:rFonts w:ascii="Abadi" w:hAnsi="Abadi"/>
          <w:sz w:val="24"/>
          <w:szCs w:val="24"/>
        </w:rPr>
      </w:pPr>
      <w:r>
        <w:rPr>
          <w:rFonts w:ascii="Abadi" w:hAnsi="Abadi"/>
          <w:sz w:val="24"/>
          <w:szCs w:val="24"/>
        </w:rPr>
        <w:t>Reference list………………………………………………</w:t>
      </w:r>
      <w:proofErr w:type="gramStart"/>
      <w:r>
        <w:rPr>
          <w:rFonts w:ascii="Abadi" w:hAnsi="Abadi"/>
          <w:sz w:val="24"/>
          <w:szCs w:val="24"/>
        </w:rPr>
        <w:t>…..</w:t>
      </w:r>
      <w:proofErr w:type="gramEnd"/>
      <w:r>
        <w:rPr>
          <w:rFonts w:ascii="Abadi" w:hAnsi="Abadi"/>
          <w:sz w:val="24"/>
          <w:szCs w:val="24"/>
        </w:rPr>
        <w:t>9</w:t>
      </w:r>
    </w:p>
    <w:p w14:paraId="09DA675A" w14:textId="1ABB9F12" w:rsidR="001C7CDC" w:rsidRDefault="001C7CDC">
      <w:pPr>
        <w:rPr>
          <w:rFonts w:ascii="Abadi" w:hAnsi="Abadi"/>
          <w:sz w:val="24"/>
          <w:szCs w:val="24"/>
        </w:rPr>
      </w:pPr>
    </w:p>
    <w:p w14:paraId="2AD231EF" w14:textId="6D247B80" w:rsidR="001C7CDC" w:rsidRDefault="00B22CBC">
      <w:pPr>
        <w:rPr>
          <w:rFonts w:ascii="Abadi" w:hAnsi="Abadi"/>
          <w:b/>
          <w:bCs/>
          <w:sz w:val="24"/>
          <w:szCs w:val="24"/>
        </w:rPr>
      </w:pPr>
      <w:r>
        <w:rPr>
          <w:rFonts w:ascii="Abadi" w:hAnsi="Abadi"/>
          <w:b/>
          <w:bCs/>
          <w:sz w:val="24"/>
          <w:szCs w:val="24"/>
        </w:rPr>
        <w:t>Common Law,</w:t>
      </w:r>
    </w:p>
    <w:p w14:paraId="17ED90B7" w14:textId="77777777" w:rsidR="00B22CBC" w:rsidRPr="00B22CBC" w:rsidRDefault="00B22CBC" w:rsidP="00B22CBC">
      <w:pPr>
        <w:pStyle w:val="NormalWeb"/>
        <w:rPr>
          <w:rFonts w:ascii="Abadi" w:hAnsi="Abadi" w:cs="Arial"/>
          <w:color w:val="000000" w:themeColor="text1"/>
        </w:rPr>
      </w:pPr>
      <w:r w:rsidRPr="00B22CBC">
        <w:rPr>
          <w:rFonts w:ascii="Abadi" w:hAnsi="Abadi" w:cs="Arial"/>
          <w:color w:val="000000" w:themeColor="text1"/>
        </w:rPr>
        <w:t>Common law is in effect legal precedent that is made by judges sitting in court. Unlike statutory provisions, which are laws that are codified as Acts of Parliament, the common law is constantly changing.</w:t>
      </w:r>
    </w:p>
    <w:p w14:paraId="2D0AA26E" w14:textId="77777777" w:rsidR="00A518EB" w:rsidRDefault="00B22CBC" w:rsidP="00A518EB">
      <w:pPr>
        <w:pStyle w:val="NormalWeb"/>
        <w:rPr>
          <w:rFonts w:ascii="Abadi" w:hAnsi="Abadi" w:cs="Arial"/>
          <w:color w:val="636363"/>
        </w:rPr>
      </w:pPr>
      <w:r w:rsidRPr="00B22CBC">
        <w:rPr>
          <w:rFonts w:ascii="Abadi" w:hAnsi="Abadi" w:cs="Arial"/>
          <w:color w:val="000000" w:themeColor="text1"/>
        </w:rPr>
        <w:lastRenderedPageBreak/>
        <w:t>This is because of the fluid way in which judges interpret the law using their knowledge of legal precedent and common sense and by applying the facts of the case they are hearing to those prior decisions. English law works on a common law system, as opposed to a civil law system, which relies on statute and certain texts</w:t>
      </w:r>
      <w:r w:rsidRPr="00B22CBC">
        <w:rPr>
          <w:rFonts w:ascii="Abadi" w:hAnsi="Abadi" w:cs="Arial"/>
          <w:color w:val="636363"/>
        </w:rPr>
        <w:t>.</w:t>
      </w:r>
    </w:p>
    <w:p w14:paraId="177C0D49" w14:textId="77777777" w:rsidR="00A518EB" w:rsidRDefault="00A518EB" w:rsidP="00A518EB">
      <w:pPr>
        <w:pStyle w:val="NormalWeb"/>
        <w:rPr>
          <w:rFonts w:ascii="Arial" w:hAnsi="Arial" w:cs="Arial"/>
          <w:color w:val="636363"/>
          <w:shd w:val="clear" w:color="auto" w:fill="FFFFFF"/>
        </w:rPr>
      </w:pPr>
      <w:r w:rsidRPr="00A518EB">
        <w:rPr>
          <w:rFonts w:ascii="Abadi" w:hAnsi="Abadi" w:cs="Arial"/>
          <w:color w:val="000000" w:themeColor="text1"/>
          <w:shd w:val="clear" w:color="auto" w:fill="FFFFFF"/>
        </w:rPr>
        <w:t xml:space="preserve">The common law ensures that the law remains </w:t>
      </w:r>
      <w:r>
        <w:rPr>
          <w:rFonts w:ascii="Abadi" w:hAnsi="Abadi" w:cs="Arial"/>
          <w:color w:val="000000" w:themeColor="text1"/>
          <w:shd w:val="clear" w:color="auto" w:fill="FFFFFF"/>
        </w:rPr>
        <w:t>“C</w:t>
      </w:r>
      <w:r w:rsidRPr="00A518EB">
        <w:rPr>
          <w:rFonts w:ascii="Abadi" w:hAnsi="Abadi" w:cs="Arial"/>
          <w:color w:val="000000" w:themeColor="text1"/>
          <w:shd w:val="clear" w:color="auto" w:fill="FFFFFF"/>
        </w:rPr>
        <w:t>ommon</w:t>
      </w:r>
      <w:r>
        <w:rPr>
          <w:rFonts w:ascii="Abadi" w:hAnsi="Abadi" w:cs="Arial"/>
          <w:color w:val="000000" w:themeColor="text1"/>
          <w:shd w:val="clear" w:color="auto" w:fill="FFFFFF"/>
        </w:rPr>
        <w:t>”</w:t>
      </w:r>
      <w:r w:rsidRPr="00A518EB">
        <w:rPr>
          <w:rFonts w:ascii="Abadi" w:hAnsi="Abadi" w:cs="Arial"/>
          <w:color w:val="000000" w:themeColor="text1"/>
          <w:shd w:val="clear" w:color="auto" w:fill="FFFFFF"/>
        </w:rPr>
        <w:t xml:space="preserve"> throughout the land. However, as it is the House of Lords and the Court of Appeal (Criminal Division) that create the legal precedent in relation to criminal matters in England and Wales, it is the decisions made by these higher courts that bind the lower courts.</w:t>
      </w:r>
      <w:r w:rsidRPr="00A518EB">
        <w:rPr>
          <w:rFonts w:ascii="Arial" w:hAnsi="Arial" w:cs="Arial"/>
          <w:color w:val="636363"/>
          <w:shd w:val="clear" w:color="auto" w:fill="FFFFFF"/>
        </w:rPr>
        <w:t xml:space="preserve"> </w:t>
      </w:r>
    </w:p>
    <w:p w14:paraId="7661C9F2" w14:textId="0F3D5761" w:rsidR="001C7CDC" w:rsidRDefault="00A518EB" w:rsidP="00A518EB">
      <w:pPr>
        <w:pStyle w:val="NormalWeb"/>
        <w:rPr>
          <w:rFonts w:ascii="Abadi" w:hAnsi="Abadi" w:cs="Arial"/>
          <w:color w:val="000000" w:themeColor="text1"/>
          <w:shd w:val="clear" w:color="auto" w:fill="FFFFFF"/>
        </w:rPr>
      </w:pPr>
      <w:r w:rsidRPr="00A518EB">
        <w:rPr>
          <w:rFonts w:ascii="Abadi" w:hAnsi="Abadi" w:cs="Arial"/>
          <w:color w:val="000000" w:themeColor="text1"/>
          <w:shd w:val="clear" w:color="auto" w:fill="FFFFFF"/>
        </w:rPr>
        <w:t>There are some situations that are entirely new in relation to the common law, and the English courts do sometimes look abroad at the decisions of other commonwealth courts in order to seek direction or guidance from them. For example, an English court may be asked to consider a case decided in Canada or Australia in the absence of there being any precedent set in an English court. This can also assist in allowing the common law system to have a degree of flexibility but also, because courts look to each other for guidance, a certain level of stability too.</w:t>
      </w:r>
    </w:p>
    <w:p w14:paraId="3F4DE5A7" w14:textId="763CA49E" w:rsidR="00A518EB" w:rsidRDefault="00A518EB" w:rsidP="00A518EB">
      <w:pPr>
        <w:pStyle w:val="NormalWeb"/>
        <w:rPr>
          <w:rFonts w:ascii="Abadi" w:hAnsi="Abadi" w:cs="Arial"/>
          <w:b/>
          <w:bCs/>
          <w:color w:val="000000" w:themeColor="text1"/>
          <w:shd w:val="clear" w:color="auto" w:fill="FFFFFF"/>
        </w:rPr>
      </w:pPr>
      <w:r>
        <w:rPr>
          <w:rFonts w:ascii="Abadi" w:hAnsi="Abadi" w:cs="Arial"/>
          <w:b/>
          <w:bCs/>
          <w:color w:val="000000" w:themeColor="text1"/>
          <w:shd w:val="clear" w:color="auto" w:fill="FFFFFF"/>
        </w:rPr>
        <w:t>Civil law,</w:t>
      </w:r>
    </w:p>
    <w:p w14:paraId="188BBC3A" w14:textId="77777777" w:rsidR="00634DC6" w:rsidRDefault="00442164" w:rsidP="00A518EB">
      <w:pPr>
        <w:pStyle w:val="NormalWeb"/>
        <w:rPr>
          <w:rFonts w:ascii="Abadi" w:hAnsi="Abadi"/>
          <w:color w:val="000000" w:themeColor="text1"/>
          <w:shd w:val="clear" w:color="auto" w:fill="FFFFFF"/>
        </w:rPr>
      </w:pPr>
      <w:r w:rsidRPr="00442164">
        <w:rPr>
          <w:rFonts w:ascii="Abadi" w:hAnsi="Abadi"/>
          <w:color w:val="000000" w:themeColor="text1"/>
          <w:shd w:val="clear" w:color="auto" w:fill="FFFFFF"/>
        </w:rPr>
        <w:t xml:space="preserve">Civil law, also known as </w:t>
      </w:r>
      <w:r w:rsidR="00634DC6">
        <w:rPr>
          <w:rFonts w:ascii="Abadi" w:hAnsi="Abadi"/>
          <w:color w:val="000000" w:themeColor="text1"/>
          <w:shd w:val="clear" w:color="auto" w:fill="FFFFFF"/>
        </w:rPr>
        <w:t>Romano – Germanic Law</w:t>
      </w:r>
      <w:r w:rsidRPr="00442164">
        <w:rPr>
          <w:rFonts w:ascii="Abadi" w:hAnsi="Abadi"/>
          <w:color w:val="000000" w:themeColor="text1"/>
          <w:shd w:val="clear" w:color="auto" w:fill="FFFFFF"/>
        </w:rPr>
        <w:t>, regulates disputes between private individuals or entities (companies). It is th</w:t>
      </w:r>
      <w:r>
        <w:rPr>
          <w:rFonts w:ascii="Abadi" w:hAnsi="Abadi"/>
          <w:color w:val="000000" w:themeColor="text1"/>
          <w:shd w:val="clear" w:color="auto" w:fill="FFFFFF"/>
        </w:rPr>
        <w:t>i</w:t>
      </w:r>
      <w:r w:rsidRPr="00442164">
        <w:rPr>
          <w:rFonts w:ascii="Abadi" w:hAnsi="Abadi"/>
          <w:color w:val="000000" w:themeColor="text1"/>
          <w:shd w:val="clear" w:color="auto" w:fill="FFFFFF"/>
        </w:rPr>
        <w:t>s different to cases dealing with matters between individuals and the state, public law and criminal law. Civil law deals with issues such as personal injury, contracts, property, inheritance and family law.</w:t>
      </w:r>
    </w:p>
    <w:p w14:paraId="6272E6FF" w14:textId="4F888C85" w:rsidR="00634DC6" w:rsidRDefault="00634DC6" w:rsidP="00A518EB">
      <w:pPr>
        <w:pStyle w:val="NormalWeb"/>
        <w:rPr>
          <w:rFonts w:ascii="Abadi" w:hAnsi="Abadi"/>
          <w:color w:val="000000" w:themeColor="text1"/>
          <w:shd w:val="clear" w:color="auto" w:fill="FFFFFF"/>
        </w:rPr>
      </w:pPr>
      <w:r w:rsidRPr="00634DC6">
        <w:rPr>
          <w:rFonts w:ascii="Abadi" w:hAnsi="Abadi"/>
          <w:color w:val="000000" w:themeColor="text1"/>
          <w:shd w:val="clear" w:color="auto" w:fill="FFFFFF"/>
        </w:rPr>
        <w:t>The term </w:t>
      </w:r>
      <w:r w:rsidRPr="00634DC6">
        <w:rPr>
          <w:rStyle w:val="Emphasis"/>
          <w:rFonts w:ascii="Abadi" w:hAnsi="Abadi"/>
          <w:i w:val="0"/>
          <w:iCs w:val="0"/>
          <w:color w:val="000000" w:themeColor="text1"/>
          <w:shd w:val="clear" w:color="auto" w:fill="FFFFFF"/>
        </w:rPr>
        <w:t>jus civile</w:t>
      </w:r>
      <w:r w:rsidRPr="00634DC6">
        <w:rPr>
          <w:rFonts w:ascii="Abadi" w:hAnsi="Abadi"/>
          <w:color w:val="000000" w:themeColor="text1"/>
          <w:shd w:val="clear" w:color="auto" w:fill="FFFFFF"/>
        </w:rPr>
        <w:t>, meaning “civil law,” for example, was used in </w:t>
      </w:r>
      <w:r w:rsidRPr="00634DC6">
        <w:rPr>
          <w:rFonts w:ascii="Abadi" w:hAnsi="Abadi"/>
          <w:color w:val="000000" w:themeColor="text1"/>
        </w:rPr>
        <w:t xml:space="preserve">ancient Rome </w:t>
      </w:r>
      <w:r w:rsidRPr="00634DC6">
        <w:rPr>
          <w:rFonts w:ascii="Abadi" w:hAnsi="Abadi"/>
          <w:color w:val="000000" w:themeColor="text1"/>
          <w:shd w:val="clear" w:color="auto" w:fill="FFFFFF"/>
        </w:rPr>
        <w:t> to distinguish the law found exclusively in the city of Rome from the </w:t>
      </w:r>
      <w:r w:rsidRPr="00634DC6">
        <w:rPr>
          <w:rFonts w:ascii="Abadi" w:hAnsi="Abadi"/>
          <w:color w:val="000000" w:themeColor="text1"/>
        </w:rPr>
        <w:t xml:space="preserve">jus </w:t>
      </w:r>
      <w:r w:rsidRPr="00634DC6">
        <w:rPr>
          <w:rFonts w:ascii="Abadi" w:hAnsi="Abadi"/>
          <w:color w:val="000000" w:themeColor="text1"/>
          <w:shd w:val="clear" w:color="auto" w:fill="FFFFFF"/>
        </w:rPr>
        <w:t xml:space="preserve"> </w:t>
      </w:r>
      <w:r w:rsidRPr="00634DC6">
        <w:rPr>
          <w:rFonts w:ascii="Abadi" w:hAnsi="Abadi"/>
          <w:color w:val="000000" w:themeColor="text1"/>
          <w:shd w:val="clear" w:color="auto" w:fill="FFFFFF"/>
        </w:rPr>
        <w:t xml:space="preserve"> the law of all nations, found throughout the empire. The phrase has also been used to distinguish private law, governing the relations between individuals, from public law and </w:t>
      </w:r>
      <w:r w:rsidRPr="00634DC6">
        <w:rPr>
          <w:rFonts w:ascii="Abadi" w:hAnsi="Abadi"/>
          <w:color w:val="000000" w:themeColor="text1"/>
        </w:rPr>
        <w:t>criminal law</w:t>
      </w:r>
      <w:r w:rsidRPr="00634DC6">
        <w:rPr>
          <w:rFonts w:ascii="Abadi" w:hAnsi="Abadi"/>
          <w:color w:val="000000" w:themeColor="text1"/>
          <w:shd w:val="clear" w:color="auto" w:fill="FFFFFF"/>
        </w:rPr>
        <w:t>. Finally, in the </w:t>
      </w:r>
      <w:r w:rsidRPr="00634DC6">
        <w:rPr>
          <w:rFonts w:ascii="Abadi" w:hAnsi="Abadi"/>
          <w:color w:val="000000" w:themeColor="text1"/>
        </w:rPr>
        <w:t>philosophy of law</w:t>
      </w:r>
      <w:r w:rsidRPr="00634DC6">
        <w:rPr>
          <w:rFonts w:ascii="Abadi" w:hAnsi="Abadi"/>
          <w:color w:val="000000" w:themeColor="text1"/>
          <w:shd w:val="clear" w:color="auto" w:fill="FFFFFF"/>
        </w:rPr>
        <w:t>, civil law sometimes refers to the positive law of the state, as distinct from </w:t>
      </w:r>
      <w:r w:rsidRPr="00634DC6">
        <w:rPr>
          <w:rFonts w:ascii="Abadi" w:hAnsi="Abadi"/>
          <w:color w:val="000000" w:themeColor="text1"/>
        </w:rPr>
        <w:t>natural law.</w:t>
      </w:r>
      <w:r w:rsidR="00442164" w:rsidRPr="00634DC6">
        <w:rPr>
          <w:rFonts w:ascii="Abadi" w:hAnsi="Abadi"/>
          <w:color w:val="000000" w:themeColor="text1"/>
          <w:shd w:val="clear" w:color="auto" w:fill="FFFFFF"/>
        </w:rPr>
        <w:t xml:space="preserve"> </w:t>
      </w:r>
    </w:p>
    <w:p w14:paraId="4483AD26" w14:textId="2F2605E0" w:rsidR="00634DC6" w:rsidRDefault="00634DC6" w:rsidP="00A518EB">
      <w:pPr>
        <w:pStyle w:val="NormalWeb"/>
        <w:rPr>
          <w:rFonts w:ascii="Abadi" w:hAnsi="Abadi"/>
          <w:b/>
          <w:bCs/>
          <w:color w:val="000000" w:themeColor="text1"/>
          <w:shd w:val="clear" w:color="auto" w:fill="FFFFFF"/>
        </w:rPr>
      </w:pPr>
      <w:r>
        <w:rPr>
          <w:rFonts w:ascii="Abadi" w:hAnsi="Abadi"/>
          <w:b/>
          <w:bCs/>
          <w:color w:val="000000" w:themeColor="text1"/>
          <w:shd w:val="clear" w:color="auto" w:fill="FFFFFF"/>
        </w:rPr>
        <w:t>Contrast the two systems,</w:t>
      </w:r>
    </w:p>
    <w:p w14:paraId="283E332D" w14:textId="77777777" w:rsidR="00A43ED6" w:rsidRDefault="00A43ED6" w:rsidP="00A518EB">
      <w:pPr>
        <w:pStyle w:val="NormalWeb"/>
        <w:rPr>
          <w:rFonts w:ascii="Abadi" w:hAnsi="Abadi"/>
          <w:color w:val="000000" w:themeColor="text1"/>
          <w:shd w:val="clear" w:color="auto" w:fill="F9F9F9"/>
        </w:rPr>
      </w:pPr>
      <w:r w:rsidRPr="00A43ED6">
        <w:rPr>
          <w:rFonts w:ascii="Abadi" w:hAnsi="Abadi"/>
          <w:color w:val="000000" w:themeColor="text1"/>
          <w:shd w:val="clear" w:color="auto" w:fill="F9F9F9"/>
        </w:rPr>
        <w:t>l</w:t>
      </w:r>
      <w:r w:rsidRPr="00A43ED6">
        <w:rPr>
          <w:rFonts w:ascii="Abadi" w:hAnsi="Abadi"/>
          <w:color w:val="000000" w:themeColor="text1"/>
          <w:shd w:val="clear" w:color="auto" w:fill="F9F9F9"/>
        </w:rPr>
        <w:t>egal systems in countries around the world generally fall into one of two main categories: common law systems and civil law systems. There are roughly 150 countries that have what can be described as primarily civil law systems, whereas there are about 80 common law countrie</w:t>
      </w:r>
      <w:r>
        <w:rPr>
          <w:rFonts w:ascii="Abadi" w:hAnsi="Abadi"/>
          <w:color w:val="000000" w:themeColor="text1"/>
          <w:shd w:val="clear" w:color="auto" w:fill="F9F9F9"/>
        </w:rPr>
        <w:t xml:space="preserve">s. </w:t>
      </w:r>
    </w:p>
    <w:p w14:paraId="277A84A8" w14:textId="32848B10" w:rsidR="00A43ED6" w:rsidRDefault="00A43ED6" w:rsidP="00A518EB">
      <w:pPr>
        <w:pStyle w:val="NormalWeb"/>
        <w:rPr>
          <w:rFonts w:ascii="Source Sans Pro" w:hAnsi="Source Sans Pro"/>
          <w:color w:val="000000" w:themeColor="text1"/>
          <w:shd w:val="clear" w:color="auto" w:fill="F9F9F9"/>
        </w:rPr>
      </w:pPr>
      <w:r w:rsidRPr="00A43ED6">
        <w:rPr>
          <w:rFonts w:ascii="Abadi" w:hAnsi="Abadi"/>
          <w:color w:val="000000" w:themeColor="text1"/>
          <w:shd w:val="clear" w:color="auto" w:fill="F9F9F9"/>
        </w:rPr>
        <w:t xml:space="preserve">The main difference between the two systems is that in common law countries, case law </w:t>
      </w:r>
      <w:r w:rsidRPr="00A43ED6">
        <w:rPr>
          <w:rFonts w:ascii="Abadi" w:hAnsi="Abadi"/>
          <w:color w:val="000000" w:themeColor="text1"/>
          <w:shd w:val="clear" w:color="auto" w:fill="F9F9F9"/>
        </w:rPr>
        <w:t xml:space="preserve">  </w:t>
      </w:r>
      <w:r w:rsidRPr="00A43ED6">
        <w:rPr>
          <w:rFonts w:ascii="Abadi" w:hAnsi="Abadi"/>
          <w:color w:val="000000" w:themeColor="text1"/>
          <w:shd w:val="clear" w:color="auto" w:fill="F9F9F9"/>
        </w:rPr>
        <w:t>in the form of published judicial opinions is of primary importance, whereas in civil law systems, codified statutes predominate. But these divisions are not as clear-cut as they might seem. In fact, many countries use a mix of features from common and civil law systems. Understanding the differences between these systems first requires an understanding of their historical underpinnings</w:t>
      </w:r>
      <w:r w:rsidRPr="00A43ED6">
        <w:rPr>
          <w:rFonts w:ascii="Source Sans Pro" w:hAnsi="Source Sans Pro"/>
          <w:color w:val="000000" w:themeColor="text1"/>
          <w:shd w:val="clear" w:color="auto" w:fill="F9F9F9"/>
        </w:rPr>
        <w:t>.</w:t>
      </w:r>
    </w:p>
    <w:p w14:paraId="4EFC36C8" w14:textId="77777777" w:rsidR="00710648" w:rsidRPr="00710648" w:rsidRDefault="00710648" w:rsidP="00710648">
      <w:pPr>
        <w:pStyle w:val="NormalWeb"/>
        <w:shd w:val="clear" w:color="auto" w:fill="FFFFFF"/>
        <w:spacing w:before="0" w:after="0"/>
        <w:rPr>
          <w:rFonts w:ascii="Abadi" w:hAnsi="Abadi"/>
          <w:color w:val="000000" w:themeColor="text1"/>
          <w:spacing w:val="4"/>
        </w:rPr>
      </w:pPr>
      <w:r w:rsidRPr="00710648">
        <w:rPr>
          <w:rFonts w:ascii="Abadi" w:hAnsi="Abadi"/>
          <w:color w:val="000000" w:themeColor="text1"/>
          <w:spacing w:val="4"/>
        </w:rPr>
        <w:t>As mentioned above, in </w:t>
      </w:r>
      <w:hyperlink r:id="rId7" w:history="1">
        <w:r w:rsidRPr="00710648">
          <w:rPr>
            <w:rStyle w:val="Hyperlink"/>
            <w:rFonts w:ascii="Abadi" w:hAnsi="Abadi"/>
            <w:color w:val="000000" w:themeColor="text1"/>
            <w:spacing w:val="4"/>
            <w:u w:val="none"/>
          </w:rPr>
          <w:t>civil law</w:t>
        </w:r>
      </w:hyperlink>
      <w:r w:rsidRPr="00710648">
        <w:rPr>
          <w:rFonts w:ascii="Abadi" w:hAnsi="Abadi"/>
          <w:color w:val="000000" w:themeColor="text1"/>
          <w:spacing w:val="4"/>
        </w:rPr>
        <w:t>, it is not the lawyers who act as the main investigator for their client’s case, but the judge. The judge’s role is, essentially, to establish the facts of the case and apply the relevant code.</w:t>
      </w:r>
    </w:p>
    <w:p w14:paraId="21D7B2AA" w14:textId="4F7C70E5" w:rsidR="00710648" w:rsidRDefault="00710648" w:rsidP="00710648">
      <w:pPr>
        <w:pStyle w:val="NormalWeb"/>
        <w:shd w:val="clear" w:color="auto" w:fill="FFFFFF"/>
        <w:rPr>
          <w:rFonts w:ascii="proxima-nova" w:hAnsi="proxima-nova"/>
          <w:color w:val="737373"/>
          <w:spacing w:val="4"/>
          <w:sz w:val="27"/>
          <w:szCs w:val="27"/>
        </w:rPr>
      </w:pPr>
      <w:r w:rsidRPr="00710648">
        <w:rPr>
          <w:rFonts w:ascii="Abadi" w:hAnsi="Abadi"/>
          <w:color w:val="000000" w:themeColor="text1"/>
          <w:spacing w:val="4"/>
        </w:rPr>
        <w:lastRenderedPageBreak/>
        <w:t>In common law, the judge makes rulings based on the arguments presented by each party. They look at the facts of each case, more as a neutral third party than as a chief investigator. Lawyers in common law jurisdictions take a much more key role in shaping their client’s case than a judge would</w:t>
      </w:r>
      <w:r>
        <w:rPr>
          <w:rFonts w:ascii="proxima-nova" w:hAnsi="proxima-nova"/>
          <w:color w:val="737373"/>
          <w:spacing w:val="4"/>
          <w:sz w:val="27"/>
          <w:szCs w:val="27"/>
        </w:rPr>
        <w:t>.</w:t>
      </w:r>
    </w:p>
    <w:p w14:paraId="63A13CEB" w14:textId="77777777" w:rsidR="00710648" w:rsidRPr="00710648" w:rsidRDefault="00710648" w:rsidP="00710648">
      <w:pPr>
        <w:pStyle w:val="NormalWeb"/>
        <w:shd w:val="clear" w:color="auto" w:fill="FFFFFF"/>
        <w:spacing w:before="0" w:after="0"/>
        <w:rPr>
          <w:rFonts w:ascii="Abadi" w:hAnsi="Abadi"/>
          <w:color w:val="000000" w:themeColor="text1"/>
          <w:spacing w:val="4"/>
        </w:rPr>
      </w:pPr>
      <w:r w:rsidRPr="00710648">
        <w:rPr>
          <w:rFonts w:ascii="Abadi" w:hAnsi="Abadi"/>
          <w:color w:val="000000" w:themeColor="text1"/>
          <w:spacing w:val="4"/>
        </w:rPr>
        <w:t xml:space="preserve">There are, of course, many differences between civil and common law jurisdictions surrounding how evidence </w:t>
      </w:r>
      <w:proofErr w:type="gramStart"/>
      <w:r w:rsidRPr="00710648">
        <w:rPr>
          <w:rFonts w:ascii="Abadi" w:hAnsi="Abadi"/>
          <w:color w:val="000000" w:themeColor="text1"/>
          <w:spacing w:val="4"/>
        </w:rPr>
        <w:t>is</w:t>
      </w:r>
      <w:proofErr w:type="gramEnd"/>
      <w:r w:rsidRPr="00710648">
        <w:rPr>
          <w:rFonts w:ascii="Abadi" w:hAnsi="Abadi"/>
          <w:color w:val="000000" w:themeColor="text1"/>
          <w:spacing w:val="4"/>
        </w:rPr>
        <w:t xml:space="preserve"> presented in litigation. This might include the </w:t>
      </w:r>
      <w:hyperlink r:id="rId8" w:history="1">
        <w:r w:rsidRPr="00710648">
          <w:rPr>
            <w:rStyle w:val="Hyperlink"/>
            <w:rFonts w:ascii="Abadi" w:hAnsi="Abadi"/>
            <w:color w:val="000000" w:themeColor="text1"/>
            <w:spacing w:val="4"/>
            <w:u w:val="none"/>
          </w:rPr>
          <w:t>admissibility of affidavits</w:t>
        </w:r>
      </w:hyperlink>
      <w:r w:rsidRPr="00710648">
        <w:rPr>
          <w:rFonts w:ascii="Abadi" w:hAnsi="Abadi"/>
          <w:color w:val="000000" w:themeColor="text1"/>
          <w:spacing w:val="4"/>
        </w:rPr>
        <w:t> in civil law, or how the discovery process works.</w:t>
      </w:r>
    </w:p>
    <w:p w14:paraId="3BAAF843" w14:textId="77777777" w:rsidR="00710648" w:rsidRPr="00710648" w:rsidRDefault="00710648" w:rsidP="00710648">
      <w:pPr>
        <w:pStyle w:val="NormalWeb"/>
        <w:shd w:val="clear" w:color="auto" w:fill="FFFFFF"/>
        <w:spacing w:before="0" w:after="0"/>
        <w:rPr>
          <w:rFonts w:ascii="Abadi" w:hAnsi="Abadi"/>
          <w:color w:val="000000" w:themeColor="text1"/>
          <w:spacing w:val="4"/>
        </w:rPr>
      </w:pPr>
      <w:r w:rsidRPr="00710648">
        <w:rPr>
          <w:rFonts w:ascii="Abadi" w:hAnsi="Abadi"/>
          <w:color w:val="000000" w:themeColor="text1"/>
          <w:spacing w:val="4"/>
        </w:rPr>
        <w:t>A key difference in civil law is that, as the judge acts as the main investigator, court-ordered expert investigations can form a significant part of the trial. This is almost unheard of in common law, where parties might instead designate an </w:t>
      </w:r>
      <w:hyperlink r:id="rId9" w:history="1">
        <w:r w:rsidRPr="00710648">
          <w:rPr>
            <w:rStyle w:val="Hyperlink"/>
            <w:rFonts w:ascii="Abadi" w:hAnsi="Abadi"/>
            <w:color w:val="000000" w:themeColor="text1"/>
            <w:spacing w:val="4"/>
            <w:u w:val="none"/>
          </w:rPr>
          <w:t>expert witness</w:t>
        </w:r>
      </w:hyperlink>
      <w:r w:rsidRPr="00710648">
        <w:rPr>
          <w:rFonts w:ascii="Abadi" w:hAnsi="Abadi"/>
          <w:color w:val="000000" w:themeColor="text1"/>
          <w:spacing w:val="4"/>
        </w:rPr>
        <w:t>, who is then cross-examined by the parties’ lawyers.</w:t>
      </w:r>
    </w:p>
    <w:p w14:paraId="2902E39B" w14:textId="77777777" w:rsidR="00710648" w:rsidRPr="00710648" w:rsidRDefault="00710648" w:rsidP="00710648">
      <w:pPr>
        <w:pStyle w:val="NormalWeb"/>
        <w:shd w:val="clear" w:color="auto" w:fill="FFFFFF"/>
        <w:rPr>
          <w:rFonts w:ascii="Abadi" w:hAnsi="Abadi"/>
          <w:color w:val="000000" w:themeColor="text1"/>
          <w:spacing w:val="4"/>
        </w:rPr>
      </w:pPr>
      <w:r w:rsidRPr="00710648">
        <w:rPr>
          <w:rFonts w:ascii="Abadi" w:hAnsi="Abadi"/>
          <w:color w:val="000000" w:themeColor="text1"/>
          <w:spacing w:val="4"/>
        </w:rPr>
        <w:t>In disputes with a cross-border element, differing cultural interpretations of evidence (not to mention differences between civil or common law jurisdictions) can worry commercial parties.</w:t>
      </w:r>
    </w:p>
    <w:p w14:paraId="7C9A6F6C" w14:textId="77777777" w:rsidR="00710648" w:rsidRDefault="00710648" w:rsidP="0034445F">
      <w:pPr>
        <w:pStyle w:val="NormalWeb"/>
        <w:rPr>
          <w:rFonts w:ascii="proxima-nova" w:hAnsi="proxima-nova"/>
          <w:color w:val="737373"/>
          <w:spacing w:val="4"/>
          <w:sz w:val="27"/>
          <w:szCs w:val="27"/>
        </w:rPr>
      </w:pPr>
    </w:p>
    <w:p w14:paraId="1BA00626" w14:textId="4D4F7724" w:rsidR="0034445F" w:rsidRDefault="00A43ED6" w:rsidP="0034445F">
      <w:pPr>
        <w:pStyle w:val="NormalWeb"/>
        <w:rPr>
          <w:rFonts w:ascii="Source Sans Pro" w:hAnsi="Source Sans Pro"/>
          <w:b/>
          <w:bCs/>
          <w:color w:val="000000" w:themeColor="text1"/>
          <w:shd w:val="clear" w:color="auto" w:fill="F9F9F9"/>
        </w:rPr>
      </w:pPr>
      <w:r>
        <w:rPr>
          <w:rFonts w:ascii="Source Sans Pro" w:hAnsi="Source Sans Pro"/>
          <w:b/>
          <w:bCs/>
          <w:color w:val="000000" w:themeColor="text1"/>
          <w:shd w:val="clear" w:color="auto" w:fill="F9F9F9"/>
        </w:rPr>
        <w:t xml:space="preserve">History of the common law, </w:t>
      </w:r>
    </w:p>
    <w:p w14:paraId="21914D1A" w14:textId="18389A7F" w:rsidR="0034445F" w:rsidRPr="0034445F" w:rsidRDefault="0034445F" w:rsidP="0034445F">
      <w:pPr>
        <w:pStyle w:val="NormalWeb"/>
        <w:rPr>
          <w:rFonts w:ascii="Source Sans Pro" w:hAnsi="Source Sans Pro"/>
          <w:b/>
          <w:bCs/>
          <w:color w:val="000000" w:themeColor="text1"/>
          <w:shd w:val="clear" w:color="auto" w:fill="F9F9F9"/>
        </w:rPr>
      </w:pPr>
      <w:r w:rsidRPr="0034445F">
        <w:rPr>
          <w:rFonts w:ascii="Abadi" w:hAnsi="Abadi" w:cs="Arial"/>
          <w:color w:val="000000" w:themeColor="text1"/>
          <w:shd w:val="clear" w:color="auto" w:fill="FFFFFF"/>
        </w:rPr>
        <w:t xml:space="preserve">Common law is an invention of the English courts: the Kings Bench, the Court of Common Pleas and the Exchequer </w:t>
      </w:r>
      <w:proofErr w:type="gramStart"/>
      <w:r w:rsidRPr="0034445F">
        <w:rPr>
          <w:rFonts w:ascii="Abadi" w:hAnsi="Abadi" w:cs="Arial"/>
          <w:color w:val="000000" w:themeColor="text1"/>
          <w:shd w:val="clear" w:color="auto" w:fill="FFFFFF"/>
        </w:rPr>
        <w:t>so as to</w:t>
      </w:r>
      <w:proofErr w:type="gramEnd"/>
      <w:r w:rsidRPr="0034445F">
        <w:rPr>
          <w:rFonts w:ascii="Abadi" w:hAnsi="Abadi" w:cs="Arial"/>
          <w:color w:val="000000" w:themeColor="text1"/>
          <w:shd w:val="clear" w:color="auto" w:fill="FFFFFF"/>
        </w:rPr>
        <w:t xml:space="preserve"> ensure, as remains the case today, that there were laws that </w:t>
      </w:r>
      <w:r w:rsidRPr="0034445F">
        <w:rPr>
          <w:rFonts w:ascii="Abadi" w:hAnsi="Abadi" w:cs="Arial"/>
          <w:color w:val="000000" w:themeColor="text1"/>
          <w:shd w:val="clear" w:color="auto" w:fill="FFFFFF"/>
        </w:rPr>
        <w:t>superseded</w:t>
      </w:r>
      <w:r w:rsidRPr="0034445F">
        <w:rPr>
          <w:rFonts w:ascii="Abadi" w:hAnsi="Abadi" w:cs="Arial"/>
          <w:color w:val="000000" w:themeColor="text1"/>
          <w:shd w:val="clear" w:color="auto" w:fill="FFFFFF"/>
        </w:rPr>
        <w:t xml:space="preserve"> the decisions of the lesser courts.</w:t>
      </w:r>
    </w:p>
    <w:p w14:paraId="5E478FBF" w14:textId="77777777" w:rsidR="0034445F" w:rsidRPr="0034445F" w:rsidRDefault="0034445F" w:rsidP="0034445F">
      <w:pPr>
        <w:spacing w:before="100" w:beforeAutospacing="1" w:after="100" w:afterAutospacing="1" w:line="240" w:lineRule="auto"/>
        <w:rPr>
          <w:rFonts w:ascii="Abadi" w:eastAsia="Times New Roman" w:hAnsi="Abadi" w:cs="Arial"/>
          <w:color w:val="000000" w:themeColor="text1"/>
          <w:sz w:val="24"/>
          <w:szCs w:val="24"/>
          <w:lang w:eastAsia="en-GB"/>
        </w:rPr>
      </w:pPr>
      <w:r w:rsidRPr="0034445F">
        <w:rPr>
          <w:rFonts w:ascii="Abadi" w:eastAsia="Times New Roman" w:hAnsi="Abadi" w:cs="Arial"/>
          <w:color w:val="000000" w:themeColor="text1"/>
          <w:sz w:val="24"/>
          <w:szCs w:val="24"/>
          <w:lang w:eastAsia="en-GB"/>
        </w:rPr>
        <w:t>Judges create the common law by delivering written judgments about the cases before them. If, for example, Magistrates’ Courts across England and Wales were able to make and follow their own precedent, this would create a huge variation in local and regional customs that could mean that local regimes are barely recognisable from one another.</w:t>
      </w:r>
    </w:p>
    <w:p w14:paraId="376C6DA7" w14:textId="4885E9F9" w:rsidR="0034445F" w:rsidRPr="0034445F" w:rsidRDefault="0034445F" w:rsidP="0034445F">
      <w:pPr>
        <w:spacing w:before="100" w:beforeAutospacing="1" w:after="100" w:afterAutospacing="1" w:line="240" w:lineRule="auto"/>
        <w:rPr>
          <w:rFonts w:ascii="Arial" w:eastAsia="Times New Roman" w:hAnsi="Arial" w:cs="Arial"/>
          <w:color w:val="636363"/>
          <w:sz w:val="24"/>
          <w:szCs w:val="24"/>
          <w:lang w:eastAsia="en-GB"/>
        </w:rPr>
      </w:pPr>
      <w:r w:rsidRPr="0034445F">
        <w:rPr>
          <w:rFonts w:ascii="Abadi" w:eastAsia="Times New Roman" w:hAnsi="Abadi" w:cs="Arial"/>
          <w:color w:val="000000" w:themeColor="text1"/>
          <w:sz w:val="24"/>
          <w:szCs w:val="24"/>
          <w:lang w:eastAsia="en-GB"/>
        </w:rPr>
        <w:t>The common law ensures that the law remains ‘common’ throughout the land. However, as it is the House of Lords and the Court of Appeal (Criminal Division) that create the legal precedent in relation to criminal matters in England and Wales, it is the decisions made by these higher courts that bind the lower courts</w:t>
      </w:r>
      <w:r w:rsidRPr="0034445F">
        <w:rPr>
          <w:rFonts w:ascii="Arial" w:eastAsia="Times New Roman" w:hAnsi="Arial" w:cs="Arial"/>
          <w:color w:val="636363"/>
          <w:sz w:val="24"/>
          <w:szCs w:val="24"/>
          <w:lang w:eastAsia="en-GB"/>
        </w:rPr>
        <w:t>.</w:t>
      </w:r>
      <w:r>
        <w:rPr>
          <w:rFonts w:ascii="Arial" w:eastAsia="Times New Roman" w:hAnsi="Arial" w:cs="Arial"/>
          <w:color w:val="636363"/>
          <w:sz w:val="24"/>
          <w:szCs w:val="24"/>
          <w:lang w:eastAsia="en-GB"/>
        </w:rPr>
        <w:t xml:space="preserve"> </w:t>
      </w:r>
    </w:p>
    <w:p w14:paraId="499D9DA1" w14:textId="2900E1EC" w:rsidR="00A43ED6" w:rsidRDefault="0034445F" w:rsidP="00A518EB">
      <w:pPr>
        <w:pStyle w:val="NormalWeb"/>
        <w:rPr>
          <w:rFonts w:ascii="Abadi" w:hAnsi="Abadi"/>
          <w:b/>
          <w:bCs/>
        </w:rPr>
      </w:pPr>
      <w:r w:rsidRPr="0034445F">
        <w:rPr>
          <w:rFonts w:ascii="Abadi" w:hAnsi="Abadi"/>
          <w:b/>
          <w:bCs/>
        </w:rPr>
        <w:t>Examples of the Common law working in practice</w:t>
      </w:r>
      <w:r>
        <w:rPr>
          <w:rFonts w:ascii="Abadi" w:hAnsi="Abadi"/>
          <w:b/>
          <w:bCs/>
        </w:rPr>
        <w:t>,</w:t>
      </w:r>
    </w:p>
    <w:p w14:paraId="6364C92C" w14:textId="77777777" w:rsidR="00F61033" w:rsidRDefault="0034445F" w:rsidP="00A518EB">
      <w:pPr>
        <w:pStyle w:val="NormalWeb"/>
        <w:rPr>
          <w:rFonts w:ascii="Abadi" w:hAnsi="Abadi" w:cs="Arial"/>
          <w:color w:val="000000" w:themeColor="text1"/>
          <w:shd w:val="clear" w:color="auto" w:fill="FFFFFF"/>
        </w:rPr>
      </w:pPr>
      <w:r w:rsidRPr="0034445F">
        <w:rPr>
          <w:rFonts w:ascii="Abadi" w:hAnsi="Abadi" w:cs="Arial"/>
          <w:color w:val="000000" w:themeColor="text1"/>
          <w:shd w:val="clear" w:color="auto" w:fill="FFFFFF"/>
        </w:rPr>
        <w:t>As a lawyer or legal student</w:t>
      </w:r>
      <w:r>
        <w:rPr>
          <w:rFonts w:ascii="Abadi" w:hAnsi="Abadi" w:cs="Arial"/>
          <w:color w:val="000000" w:themeColor="text1"/>
          <w:shd w:val="clear" w:color="auto" w:fill="FFFFFF"/>
        </w:rPr>
        <w:t>,</w:t>
      </w:r>
      <w:r w:rsidRPr="0034445F">
        <w:rPr>
          <w:rFonts w:ascii="Abadi" w:hAnsi="Abadi" w:cs="Arial"/>
          <w:color w:val="000000" w:themeColor="text1"/>
          <w:shd w:val="clear" w:color="auto" w:fill="FFFFFF"/>
        </w:rPr>
        <w:t xml:space="preserve"> you will often be required to research a point of law to check the current legal position in respect of a particular statutory provision or factual scenario. What this means is that you will have to research whether there is are any relevant statutes that relate to the area you are considering, and then look at recent (and sometimes not so recent) case law decisions of the higher courts to see if there is any other guidance thereon. Once you have identified these, it is also very important that you ensure that any statutes you have found are still in force.</w:t>
      </w:r>
    </w:p>
    <w:p w14:paraId="21E7F327" w14:textId="743279CC" w:rsidR="0034445F" w:rsidRDefault="00F61033" w:rsidP="00A518EB">
      <w:pPr>
        <w:pStyle w:val="NormalWeb"/>
        <w:rPr>
          <w:rFonts w:ascii="Abadi" w:hAnsi="Abadi" w:cs="Arial"/>
          <w:color w:val="000000" w:themeColor="text1"/>
          <w:shd w:val="clear" w:color="auto" w:fill="FFFFFF"/>
        </w:rPr>
      </w:pPr>
      <w:r w:rsidRPr="00F61033">
        <w:rPr>
          <w:rFonts w:ascii="Abadi" w:hAnsi="Abadi" w:cs="Arial"/>
          <w:color w:val="000000" w:themeColor="text1"/>
          <w:shd w:val="clear" w:color="auto" w:fill="FFFFFF"/>
        </w:rPr>
        <w:t xml:space="preserve"> </w:t>
      </w:r>
      <w:r w:rsidRPr="00F61033">
        <w:rPr>
          <w:rFonts w:ascii="Abadi" w:hAnsi="Abadi" w:cs="Open Sans"/>
          <w:color w:val="000000" w:themeColor="text1"/>
          <w:shd w:val="clear" w:color="auto" w:fill="FFFFFF"/>
        </w:rPr>
        <w:t>Common law examples include all cases in which the court makes decisions based on </w:t>
      </w:r>
      <w:r w:rsidRPr="00F61033">
        <w:rPr>
          <w:rFonts w:ascii="Abadi" w:hAnsi="Abadi" w:cs="Open Sans"/>
          <w:i/>
          <w:iCs/>
          <w:color w:val="000000" w:themeColor="text1"/>
          <w:shd w:val="clear" w:color="auto" w:fill="FFFFFF"/>
        </w:rPr>
        <w:t>stare decisis</w:t>
      </w:r>
      <w:r w:rsidRPr="00F61033">
        <w:rPr>
          <w:rFonts w:ascii="Abadi" w:hAnsi="Abadi" w:cs="Open Sans"/>
          <w:color w:val="000000" w:themeColor="text1"/>
          <w:shd w:val="clear" w:color="auto" w:fill="FFFFFF"/>
        </w:rPr>
        <w:t>, which means that judges look to legal precedents to decide cases. This can be seen often in countries whose legal systems are largely based on common law, such as the United States and Australia. </w:t>
      </w:r>
      <w:r w:rsidRPr="00F61033">
        <w:rPr>
          <w:rFonts w:ascii="Abadi" w:hAnsi="Abadi" w:cs="Open Sans"/>
          <w:b/>
          <w:bCs/>
          <w:color w:val="000000" w:themeColor="text1"/>
          <w:shd w:val="clear" w:color="auto" w:fill="FFFFFF"/>
        </w:rPr>
        <w:t>Common-law marriage</w:t>
      </w:r>
      <w:r w:rsidRPr="00F61033">
        <w:rPr>
          <w:rFonts w:ascii="Abadi" w:hAnsi="Abadi" w:cs="Open Sans"/>
          <w:color w:val="000000" w:themeColor="text1"/>
          <w:shd w:val="clear" w:color="auto" w:fill="FFFFFF"/>
        </w:rPr>
        <w:t xml:space="preserve"> is another practical </w:t>
      </w:r>
      <w:r w:rsidRPr="00F61033">
        <w:rPr>
          <w:rFonts w:ascii="Abadi" w:hAnsi="Abadi" w:cs="Open Sans"/>
          <w:color w:val="000000" w:themeColor="text1"/>
          <w:shd w:val="clear" w:color="auto" w:fill="FFFFFF"/>
        </w:rPr>
        <w:lastRenderedPageBreak/>
        <w:t>example of common law. Common-law marriage is a marriage that is not formally registered as a civil or religious marriage yet grants partners</w:t>
      </w:r>
      <w:r>
        <w:rPr>
          <w:rFonts w:ascii="Abadi" w:hAnsi="Abadi" w:cs="Open Sans"/>
          <w:color w:val="000000" w:themeColor="text1"/>
          <w:shd w:val="clear" w:color="auto" w:fill="FFFFFF"/>
        </w:rPr>
        <w:t>,</w:t>
      </w:r>
      <w:r w:rsidRPr="00F61033">
        <w:rPr>
          <w:rFonts w:ascii="Abadi" w:hAnsi="Abadi" w:cs="Open Sans"/>
          <w:color w:val="000000" w:themeColor="text1"/>
          <w:shd w:val="clear" w:color="auto" w:fill="FFFFFF"/>
        </w:rPr>
        <w:t xml:space="preserve"> the same rights as those who are married. In other words, common-law marriages allow cohabitating partners to reap the benefits of being married without being formally married. Thus, these marriages are not recorded by state registries nor are they</w:t>
      </w:r>
      <w:r>
        <w:rPr>
          <w:rFonts w:ascii="Abadi" w:hAnsi="Abadi" w:cs="Open Sans"/>
          <w:color w:val="000000" w:themeColor="text1"/>
          <w:shd w:val="clear" w:color="auto" w:fill="FFFFFF"/>
        </w:rPr>
        <w:t xml:space="preserve"> celebrate in religious institutions. </w:t>
      </w:r>
      <w:r w:rsidR="0034445F" w:rsidRPr="00F61033">
        <w:rPr>
          <w:rFonts w:ascii="Abadi" w:hAnsi="Abadi" w:cs="Arial"/>
          <w:color w:val="000000" w:themeColor="text1"/>
          <w:shd w:val="clear" w:color="auto" w:fill="FFFFFF"/>
        </w:rPr>
        <w:t xml:space="preserve"> </w:t>
      </w:r>
    </w:p>
    <w:p w14:paraId="4F777960" w14:textId="5E0921CD" w:rsidR="00F61033" w:rsidRDefault="00F61033" w:rsidP="00A518EB">
      <w:pPr>
        <w:pStyle w:val="NormalWeb"/>
        <w:rPr>
          <w:rFonts w:ascii="Abadi" w:hAnsi="Abadi" w:cs="Arial"/>
          <w:b/>
          <w:bCs/>
          <w:color w:val="000000" w:themeColor="text1"/>
          <w:shd w:val="clear" w:color="auto" w:fill="FFFFFF"/>
        </w:rPr>
      </w:pPr>
      <w:r w:rsidRPr="00F61033">
        <w:rPr>
          <w:rFonts w:ascii="Abadi" w:hAnsi="Abadi" w:cs="Arial"/>
          <w:b/>
          <w:bCs/>
          <w:color w:val="000000" w:themeColor="text1"/>
          <w:shd w:val="clear" w:color="auto" w:fill="FFFFFF"/>
        </w:rPr>
        <w:t>Conclusion</w:t>
      </w:r>
      <w:r>
        <w:rPr>
          <w:rFonts w:ascii="Abadi" w:hAnsi="Abadi" w:cs="Arial"/>
          <w:b/>
          <w:bCs/>
          <w:color w:val="000000" w:themeColor="text1"/>
          <w:shd w:val="clear" w:color="auto" w:fill="FFFFFF"/>
        </w:rPr>
        <w:t>,</w:t>
      </w:r>
    </w:p>
    <w:p w14:paraId="1F62A950" w14:textId="25900B0F" w:rsidR="00F61033" w:rsidRDefault="00F61033" w:rsidP="00A518EB">
      <w:pPr>
        <w:pStyle w:val="NormalWeb"/>
        <w:rPr>
          <w:rFonts w:ascii="Abadi" w:hAnsi="Abadi" w:cs="Segoe UI"/>
          <w:color w:val="212529"/>
          <w:shd w:val="clear" w:color="auto" w:fill="FFFFFF"/>
        </w:rPr>
      </w:pPr>
      <w:r w:rsidRPr="00F61033">
        <w:rPr>
          <w:rFonts w:ascii="Abadi" w:hAnsi="Abadi" w:cs="Segoe UI"/>
          <w:color w:val="212529"/>
          <w:shd w:val="clear" w:color="auto" w:fill="FFFFFF"/>
        </w:rPr>
        <w:t>The distinctive feature of common law is that it represents the law of the courts as expressed in judicial decisions. Judges decide cases found in precedents provided by past decisions, in contrast to the civil law system, which is based on statutes and prescribed texts. Other than the system of judicial precedents, other characteristics of common law are trial by jury and the doctrine of the supremacy of the law. Originally, supremacy of the law meant that not even the king was above the law but today it means that acts of governmental agencies are subject to scrutiny in ordinary legal proceedings</w:t>
      </w:r>
      <w:r>
        <w:rPr>
          <w:rFonts w:ascii="Abadi" w:hAnsi="Abadi" w:cs="Segoe UI"/>
          <w:color w:val="212529"/>
          <w:shd w:val="clear" w:color="auto" w:fill="FFFFFF"/>
        </w:rPr>
        <w:t>.</w:t>
      </w:r>
    </w:p>
    <w:p w14:paraId="22050363" w14:textId="3D2735F1" w:rsidR="00710648" w:rsidRDefault="00125837" w:rsidP="00A518EB">
      <w:pPr>
        <w:pStyle w:val="NormalWeb"/>
        <w:rPr>
          <w:rFonts w:ascii="Abadi" w:hAnsi="Abadi"/>
          <w:b/>
          <w:bCs/>
          <w:color w:val="000000" w:themeColor="text1"/>
          <w:shd w:val="clear" w:color="auto" w:fill="F9F9F9"/>
        </w:rPr>
      </w:pPr>
      <w:r>
        <w:rPr>
          <w:rFonts w:ascii="Abadi" w:hAnsi="Abadi"/>
          <w:b/>
          <w:bCs/>
          <w:color w:val="000000" w:themeColor="text1"/>
          <w:shd w:val="clear" w:color="auto" w:fill="F9F9F9"/>
        </w:rPr>
        <w:t>Reference list,</w:t>
      </w:r>
    </w:p>
    <w:p w14:paraId="05E3A634" w14:textId="6A7841B1" w:rsidR="00FB5D44" w:rsidRDefault="00FB5D44" w:rsidP="00A518EB">
      <w:pPr>
        <w:pStyle w:val="NormalWeb"/>
        <w:rPr>
          <w:rFonts w:ascii="Abadi" w:hAnsi="Abadi" w:cs="Calibri"/>
          <w:color w:val="2C3E50"/>
          <w:shd w:val="clear" w:color="auto" w:fill="FEF1C4"/>
        </w:rPr>
      </w:pPr>
      <w:r w:rsidRPr="00FB5D44">
        <w:rPr>
          <w:rFonts w:ascii="Abadi" w:hAnsi="Abadi" w:cs="Calibri"/>
          <w:color w:val="2C3E50"/>
          <w:shd w:val="clear" w:color="auto" w:fill="FEF1C4"/>
        </w:rPr>
        <w:t>Courts and Tribunals Judiciary. (n.d.). </w:t>
      </w:r>
      <w:r w:rsidRPr="00FB5D44">
        <w:rPr>
          <w:rFonts w:ascii="Abadi" w:hAnsi="Abadi" w:cs="Calibri"/>
          <w:i/>
          <w:iCs/>
          <w:color w:val="2C3E50"/>
          <w:shd w:val="clear" w:color="auto" w:fill="FEF1C4"/>
        </w:rPr>
        <w:t>Civil</w:t>
      </w:r>
      <w:r w:rsidRPr="00FB5D44">
        <w:rPr>
          <w:rFonts w:ascii="Abadi" w:hAnsi="Abadi" w:cs="Calibri"/>
          <w:color w:val="2C3E50"/>
          <w:shd w:val="clear" w:color="auto" w:fill="FEF1C4"/>
        </w:rPr>
        <w:t xml:space="preserve">. [online] Available at: </w:t>
      </w:r>
      <w:hyperlink r:id="rId10" w:history="1">
        <w:r w:rsidR="00117CED" w:rsidRPr="00A31197">
          <w:rPr>
            <w:rStyle w:val="Hyperlink"/>
            <w:rFonts w:ascii="Abadi" w:hAnsi="Abadi" w:cs="Calibri"/>
            <w:shd w:val="clear" w:color="auto" w:fill="FEF1C4"/>
          </w:rPr>
          <w:t>https://www.judiciary.uk/about-the-judiciary/our-justice-system/jurisdictions/civil-jurisdiction/</w:t>
        </w:r>
      </w:hyperlink>
      <w:r w:rsidRPr="00FB5D44">
        <w:rPr>
          <w:rFonts w:ascii="Abadi" w:hAnsi="Abadi" w:cs="Calibri"/>
          <w:color w:val="2C3E50"/>
          <w:shd w:val="clear" w:color="auto" w:fill="FEF1C4"/>
        </w:rPr>
        <w:t>.</w:t>
      </w:r>
    </w:p>
    <w:p w14:paraId="2BF079C9" w14:textId="522CB444" w:rsidR="003D500A" w:rsidRDefault="003D500A" w:rsidP="00A518EB">
      <w:pPr>
        <w:pStyle w:val="NormalWeb"/>
        <w:rPr>
          <w:rFonts w:ascii="Abadi" w:hAnsi="Abadi" w:cs="Calibri"/>
          <w:color w:val="000000" w:themeColor="text1"/>
          <w:shd w:val="clear" w:color="auto" w:fill="FEF1C4"/>
        </w:rPr>
      </w:pPr>
      <w:r w:rsidRPr="003D500A">
        <w:rPr>
          <w:rFonts w:ascii="Abadi" w:hAnsi="Abadi" w:cs="Calibri"/>
          <w:color w:val="000000" w:themeColor="text1"/>
          <w:shd w:val="clear" w:color="auto" w:fill="FEF1C4"/>
        </w:rPr>
        <w:t>Encyclopaedia</w:t>
      </w:r>
      <w:r w:rsidRPr="003D500A">
        <w:rPr>
          <w:rFonts w:ascii="Abadi" w:hAnsi="Abadi" w:cs="Calibri"/>
          <w:color w:val="000000" w:themeColor="text1"/>
          <w:shd w:val="clear" w:color="auto" w:fill="FEF1C4"/>
        </w:rPr>
        <w:t xml:space="preserve"> Britannica. (n.d.). </w:t>
      </w:r>
      <w:r w:rsidRPr="003D500A">
        <w:rPr>
          <w:rFonts w:ascii="Abadi" w:hAnsi="Abadi" w:cs="Calibri"/>
          <w:i/>
          <w:iCs/>
          <w:color w:val="000000" w:themeColor="text1"/>
          <w:shd w:val="clear" w:color="auto" w:fill="FEF1C4"/>
        </w:rPr>
        <w:t>Civil law - The French system</w:t>
      </w:r>
      <w:r w:rsidRPr="003D500A">
        <w:rPr>
          <w:rFonts w:ascii="Abadi" w:hAnsi="Abadi" w:cs="Calibri"/>
          <w:color w:val="000000" w:themeColor="text1"/>
          <w:shd w:val="clear" w:color="auto" w:fill="FEF1C4"/>
        </w:rPr>
        <w:t xml:space="preserve">. [online] Available at: </w:t>
      </w:r>
      <w:hyperlink r:id="rId11" w:history="1">
        <w:r w:rsidR="00117CED" w:rsidRPr="00A31197">
          <w:rPr>
            <w:rStyle w:val="Hyperlink"/>
            <w:rFonts w:ascii="Abadi" w:hAnsi="Abadi" w:cs="Calibri"/>
            <w:shd w:val="clear" w:color="auto" w:fill="FEF1C4"/>
          </w:rPr>
          <w:t>https://www.britannica.com/topic/civil-law-Romano-Germanic/The-French-system</w:t>
        </w:r>
      </w:hyperlink>
      <w:r w:rsidRPr="003D500A">
        <w:rPr>
          <w:rFonts w:ascii="Abadi" w:hAnsi="Abadi" w:cs="Calibri"/>
          <w:color w:val="000000" w:themeColor="text1"/>
          <w:shd w:val="clear" w:color="auto" w:fill="FEF1C4"/>
        </w:rPr>
        <w:t>.</w:t>
      </w:r>
    </w:p>
    <w:p w14:paraId="4F49451C" w14:textId="2C385689" w:rsidR="00B678FD" w:rsidRDefault="00B678FD" w:rsidP="00A518EB">
      <w:pPr>
        <w:pStyle w:val="NormalWeb"/>
        <w:rPr>
          <w:rFonts w:ascii="Abadi" w:hAnsi="Abadi" w:cs="Calibri"/>
          <w:color w:val="000000" w:themeColor="text1"/>
          <w:shd w:val="clear" w:color="auto" w:fill="FEF1C4"/>
        </w:rPr>
      </w:pPr>
      <w:r w:rsidRPr="00B678FD">
        <w:rPr>
          <w:rFonts w:ascii="Abadi" w:hAnsi="Abadi" w:cs="Calibri"/>
          <w:color w:val="000000" w:themeColor="text1"/>
          <w:shd w:val="clear" w:color="auto" w:fill="FEF1C4"/>
        </w:rPr>
        <w:t>Encyclopaedia</w:t>
      </w:r>
      <w:r w:rsidRPr="00B678FD">
        <w:rPr>
          <w:rFonts w:ascii="Abadi" w:hAnsi="Abadi" w:cs="Calibri"/>
          <w:color w:val="000000" w:themeColor="text1"/>
          <w:shd w:val="clear" w:color="auto" w:fill="FEF1C4"/>
        </w:rPr>
        <w:t xml:space="preserve"> Britannica. (n.d.). </w:t>
      </w:r>
      <w:r w:rsidRPr="00B678FD">
        <w:rPr>
          <w:rFonts w:ascii="Abadi" w:hAnsi="Abadi" w:cs="Calibri"/>
          <w:i/>
          <w:iCs/>
          <w:color w:val="000000" w:themeColor="text1"/>
          <w:shd w:val="clear" w:color="auto" w:fill="FEF1C4"/>
        </w:rPr>
        <w:t>civil law | History, Systems, &amp; Facts</w:t>
      </w:r>
      <w:r w:rsidRPr="00B678FD">
        <w:rPr>
          <w:rFonts w:ascii="Abadi" w:hAnsi="Abadi" w:cs="Calibri"/>
          <w:color w:val="000000" w:themeColor="text1"/>
          <w:shd w:val="clear" w:color="auto" w:fill="FEF1C4"/>
        </w:rPr>
        <w:t xml:space="preserve">. [online] Available at: </w:t>
      </w:r>
      <w:hyperlink r:id="rId12" w:history="1">
        <w:r w:rsidR="00117CED" w:rsidRPr="00A31197">
          <w:rPr>
            <w:rStyle w:val="Hyperlink"/>
            <w:rFonts w:ascii="Abadi" w:hAnsi="Abadi" w:cs="Calibri"/>
            <w:shd w:val="clear" w:color="auto" w:fill="FEF1C4"/>
          </w:rPr>
          <w:t>https://www.britannica.com/topic/civil-law-Romano-Germanic#ref39871</w:t>
        </w:r>
      </w:hyperlink>
      <w:r w:rsidRPr="00B678FD">
        <w:rPr>
          <w:rFonts w:ascii="Abadi" w:hAnsi="Abadi" w:cs="Calibri"/>
          <w:color w:val="000000" w:themeColor="text1"/>
          <w:shd w:val="clear" w:color="auto" w:fill="FEF1C4"/>
        </w:rPr>
        <w:t>.</w:t>
      </w:r>
    </w:p>
    <w:p w14:paraId="76D11F03" w14:textId="117AF5F2" w:rsidR="00532DBF" w:rsidRPr="00532DBF" w:rsidRDefault="00532DBF" w:rsidP="00A518EB">
      <w:pPr>
        <w:pStyle w:val="NormalWeb"/>
        <w:rPr>
          <w:rFonts w:ascii="Abadi" w:hAnsi="Abadi" w:cs="Calibri"/>
          <w:color w:val="000000" w:themeColor="text1"/>
          <w:shd w:val="clear" w:color="auto" w:fill="FEF1C4"/>
        </w:rPr>
      </w:pPr>
      <w:r w:rsidRPr="00532DBF">
        <w:rPr>
          <w:rFonts w:ascii="Abadi" w:hAnsi="Abadi" w:cs="Calibri"/>
          <w:color w:val="000000" w:themeColor="text1"/>
          <w:shd w:val="clear" w:color="auto" w:fill="FEF1C4"/>
        </w:rPr>
        <w:t>www.lawteacher.net. (n.d.). </w:t>
      </w:r>
      <w:r w:rsidRPr="00532DBF">
        <w:rPr>
          <w:rFonts w:ascii="Abadi" w:hAnsi="Abadi" w:cs="Calibri"/>
          <w:i/>
          <w:iCs/>
          <w:color w:val="000000" w:themeColor="text1"/>
          <w:shd w:val="clear" w:color="auto" w:fill="FEF1C4"/>
        </w:rPr>
        <w:t>What is Common Law?</w:t>
      </w:r>
      <w:r w:rsidRPr="00532DBF">
        <w:rPr>
          <w:rFonts w:ascii="Abadi" w:hAnsi="Abadi" w:cs="Calibri"/>
          <w:color w:val="000000" w:themeColor="text1"/>
          <w:shd w:val="clear" w:color="auto" w:fill="FEF1C4"/>
        </w:rPr>
        <w:t> [online] Available at: https://www.lawteacher.net/free-law-essays/administrative-law/what-is-common-law-administrative-law-essay.php#citethis [Accessed 28 Feb. 2023]</w:t>
      </w:r>
      <w:r>
        <w:rPr>
          <w:rFonts w:ascii="Abadi" w:hAnsi="Abadi" w:cs="Calibri"/>
          <w:color w:val="000000" w:themeColor="text1"/>
          <w:shd w:val="clear" w:color="auto" w:fill="FEF1C4"/>
        </w:rPr>
        <w:t>.</w:t>
      </w:r>
    </w:p>
    <w:p w14:paraId="2D37FAFF" w14:textId="4C2DB721" w:rsidR="00125837" w:rsidRDefault="007C6AD9" w:rsidP="00A518EB">
      <w:pPr>
        <w:pStyle w:val="NormalWeb"/>
        <w:rPr>
          <w:rFonts w:ascii="Abadi" w:hAnsi="Abadi" w:cs="Calibri"/>
          <w:color w:val="000000" w:themeColor="text1"/>
          <w:shd w:val="clear" w:color="auto" w:fill="FEF1C4"/>
        </w:rPr>
      </w:pPr>
      <w:r w:rsidRPr="007C6AD9">
        <w:rPr>
          <w:rFonts w:ascii="Abadi" w:hAnsi="Abadi" w:cs="Calibri"/>
          <w:color w:val="000000" w:themeColor="text1"/>
          <w:shd w:val="clear" w:color="auto" w:fill="FEF1C4"/>
        </w:rPr>
        <w:t>www.courtroomadvice.co.uk. (n.d.). </w:t>
      </w:r>
      <w:r w:rsidRPr="007C6AD9">
        <w:rPr>
          <w:rFonts w:ascii="Abadi" w:hAnsi="Abadi" w:cs="Calibri"/>
          <w:i/>
          <w:iCs/>
          <w:color w:val="000000" w:themeColor="text1"/>
          <w:shd w:val="clear" w:color="auto" w:fill="FEF1C4"/>
        </w:rPr>
        <w:t>Common Law in England</w:t>
      </w:r>
      <w:r w:rsidRPr="007C6AD9">
        <w:rPr>
          <w:rFonts w:ascii="Abadi" w:hAnsi="Abadi" w:cs="Calibri"/>
          <w:color w:val="000000" w:themeColor="text1"/>
          <w:shd w:val="clear" w:color="auto" w:fill="FEF1C4"/>
        </w:rPr>
        <w:t xml:space="preserve">. [online] Available at: </w:t>
      </w:r>
      <w:hyperlink r:id="rId13" w:history="1">
        <w:r w:rsidRPr="00A31197">
          <w:rPr>
            <w:rStyle w:val="Hyperlink"/>
            <w:rFonts w:ascii="Abadi" w:hAnsi="Abadi" w:cs="Calibri"/>
            <w:shd w:val="clear" w:color="auto" w:fill="FEF1C4"/>
          </w:rPr>
          <w:t>https://www.courtroomadvice.co.uk/common-law-england.html</w:t>
        </w:r>
      </w:hyperlink>
      <w:r w:rsidRPr="007C6AD9">
        <w:rPr>
          <w:rFonts w:ascii="Abadi" w:hAnsi="Abadi" w:cs="Calibri"/>
          <w:color w:val="000000" w:themeColor="text1"/>
          <w:shd w:val="clear" w:color="auto" w:fill="FEF1C4"/>
        </w:rPr>
        <w:t>.</w:t>
      </w:r>
    </w:p>
    <w:p w14:paraId="0E5E16F9" w14:textId="656F519F" w:rsidR="007C6AD9" w:rsidRDefault="00775B1B" w:rsidP="00A518EB">
      <w:pPr>
        <w:pStyle w:val="NormalWeb"/>
        <w:rPr>
          <w:rFonts w:ascii="Abadi" w:hAnsi="Abadi" w:cs="Calibri"/>
          <w:color w:val="000000" w:themeColor="text1"/>
          <w:shd w:val="clear" w:color="auto" w:fill="FEF1C4"/>
        </w:rPr>
      </w:pPr>
      <w:r w:rsidRPr="00775B1B">
        <w:rPr>
          <w:rFonts w:ascii="Abadi" w:hAnsi="Abadi" w:cs="Calibri"/>
          <w:color w:val="000000" w:themeColor="text1"/>
          <w:shd w:val="clear" w:color="auto" w:fill="FEF1C4"/>
        </w:rPr>
        <w:t xml:space="preserve">Law firm in North London &amp; Central London | </w:t>
      </w:r>
      <w:r w:rsidR="008E22E0" w:rsidRPr="00775B1B">
        <w:rPr>
          <w:rFonts w:ascii="Abadi" w:hAnsi="Abadi" w:cs="Calibri"/>
          <w:color w:val="000000" w:themeColor="text1"/>
          <w:shd w:val="clear" w:color="auto" w:fill="FEF1C4"/>
        </w:rPr>
        <w:t>Carlson’s</w:t>
      </w:r>
      <w:r w:rsidRPr="00775B1B">
        <w:rPr>
          <w:rFonts w:ascii="Abadi" w:hAnsi="Abadi" w:cs="Calibri"/>
          <w:color w:val="000000" w:themeColor="text1"/>
          <w:shd w:val="clear" w:color="auto" w:fill="FEF1C4"/>
        </w:rPr>
        <w:t xml:space="preserve"> Solicitors. (n.d.). </w:t>
      </w:r>
      <w:r w:rsidRPr="00775B1B">
        <w:rPr>
          <w:rFonts w:ascii="Abadi" w:hAnsi="Abadi" w:cs="Calibri"/>
          <w:i/>
          <w:iCs/>
          <w:color w:val="000000" w:themeColor="text1"/>
          <w:shd w:val="clear" w:color="auto" w:fill="FEF1C4"/>
        </w:rPr>
        <w:t xml:space="preserve">Civil vs Common Law Differences in Litigation – </w:t>
      </w:r>
      <w:r w:rsidR="008E22E0" w:rsidRPr="00775B1B">
        <w:rPr>
          <w:rFonts w:ascii="Abadi" w:hAnsi="Abadi" w:cs="Calibri"/>
          <w:i/>
          <w:iCs/>
          <w:color w:val="000000" w:themeColor="text1"/>
          <w:shd w:val="clear" w:color="auto" w:fill="FEF1C4"/>
        </w:rPr>
        <w:t>Carlson’s</w:t>
      </w:r>
      <w:r w:rsidRPr="00775B1B">
        <w:rPr>
          <w:rFonts w:ascii="Abadi" w:hAnsi="Abadi" w:cs="Calibri"/>
          <w:i/>
          <w:iCs/>
          <w:color w:val="000000" w:themeColor="text1"/>
          <w:shd w:val="clear" w:color="auto" w:fill="FEF1C4"/>
        </w:rPr>
        <w:t xml:space="preserve"> Solicitors</w:t>
      </w:r>
      <w:r w:rsidRPr="00775B1B">
        <w:rPr>
          <w:rFonts w:ascii="Abadi" w:hAnsi="Abadi" w:cs="Calibri"/>
          <w:color w:val="000000" w:themeColor="text1"/>
          <w:shd w:val="clear" w:color="auto" w:fill="FEF1C4"/>
        </w:rPr>
        <w:t xml:space="preserve">. [online] Available at: </w:t>
      </w:r>
      <w:hyperlink r:id="rId14" w:history="1">
        <w:r w:rsidRPr="00A31197">
          <w:rPr>
            <w:rStyle w:val="Hyperlink"/>
            <w:rFonts w:ascii="Abadi" w:hAnsi="Abadi" w:cs="Calibri"/>
            <w:shd w:val="clear" w:color="auto" w:fill="FEF1C4"/>
          </w:rPr>
          <w:t>https://www.carlsonssolicitors.com/news/2021/7/12/litigation-under-a-codified-system-civil-law-vs-common-law#:~:text=Civil%20law%20jurisdictions%20rely%20on</w:t>
        </w:r>
      </w:hyperlink>
    </w:p>
    <w:p w14:paraId="0E72AD38" w14:textId="5A54F70B" w:rsidR="00775B1B" w:rsidRPr="00390963" w:rsidRDefault="00D462AE" w:rsidP="00A518EB">
      <w:pPr>
        <w:pStyle w:val="NormalWeb"/>
        <w:rPr>
          <w:rFonts w:ascii="Abadi" w:hAnsi="Abadi" w:cs="Calibri"/>
          <w:color w:val="000000" w:themeColor="text1"/>
          <w:shd w:val="clear" w:color="auto" w:fill="FEF1C4"/>
        </w:rPr>
      </w:pPr>
      <w:r w:rsidRPr="00390963">
        <w:rPr>
          <w:rFonts w:ascii="Abadi" w:hAnsi="Abadi" w:cs="Calibri"/>
          <w:color w:val="000000" w:themeColor="text1"/>
          <w:shd w:val="clear" w:color="auto" w:fill="FEF1C4"/>
        </w:rPr>
        <w:t xml:space="preserve">Planck, M. (2019). The scope of judicial law-making in the common law tradition. [online] Available at: </w:t>
      </w:r>
      <w:hyperlink r:id="rId15" w:history="1">
        <w:r w:rsidRPr="00390963">
          <w:rPr>
            <w:rStyle w:val="Hyperlink"/>
            <w:rFonts w:ascii="Abadi" w:hAnsi="Abadi" w:cs="Calibri"/>
            <w:shd w:val="clear" w:color="auto" w:fill="FEF1C4"/>
          </w:rPr>
          <w:t>https://www.supremecourt.uk/docs/speech-191028.pdf</w:t>
        </w:r>
      </w:hyperlink>
      <w:r w:rsidRPr="00390963">
        <w:rPr>
          <w:rFonts w:ascii="Abadi" w:hAnsi="Abadi" w:cs="Calibri"/>
          <w:color w:val="000000" w:themeColor="text1"/>
          <w:shd w:val="clear" w:color="auto" w:fill="FEF1C4"/>
        </w:rPr>
        <w:t>.</w:t>
      </w:r>
    </w:p>
    <w:p w14:paraId="7C9EB167" w14:textId="1E69D678" w:rsidR="00390963" w:rsidRDefault="000E661E" w:rsidP="00A518EB">
      <w:pPr>
        <w:pStyle w:val="NormalWeb"/>
        <w:rPr>
          <w:rFonts w:ascii="Abadi" w:hAnsi="Abadi" w:cs="Calibri"/>
          <w:color w:val="000000" w:themeColor="text1"/>
          <w:shd w:val="clear" w:color="auto" w:fill="FEF1C4"/>
        </w:rPr>
      </w:pPr>
      <w:proofErr w:type="spellStart"/>
      <w:r w:rsidRPr="00390963">
        <w:rPr>
          <w:rFonts w:ascii="Abadi" w:hAnsi="Abadi" w:cs="Calibri"/>
          <w:color w:val="000000" w:themeColor="text1"/>
          <w:shd w:val="clear" w:color="auto" w:fill="FEF1C4"/>
        </w:rPr>
        <w:t>Rab</w:t>
      </w:r>
      <w:proofErr w:type="spellEnd"/>
      <w:r w:rsidRPr="00390963">
        <w:rPr>
          <w:rFonts w:ascii="Abadi" w:hAnsi="Abadi" w:cs="Calibri"/>
          <w:color w:val="000000" w:themeColor="text1"/>
          <w:shd w:val="clear" w:color="auto" w:fill="FEF1C4"/>
        </w:rPr>
        <w:t xml:space="preserve">, S. (2021). Practical Law UK </w:t>
      </w:r>
      <w:r w:rsidR="00390963" w:rsidRPr="00390963">
        <w:rPr>
          <w:rFonts w:ascii="Abadi" w:hAnsi="Abadi" w:cs="Calibri"/>
          <w:color w:val="000000" w:themeColor="text1"/>
          <w:shd w:val="clear" w:color="auto" w:fill="FEF1C4"/>
        </w:rPr>
        <w:t>Sign on</w:t>
      </w:r>
      <w:r w:rsidRPr="00390963">
        <w:rPr>
          <w:rFonts w:ascii="Abadi" w:hAnsi="Abadi" w:cs="Calibri"/>
          <w:color w:val="000000" w:themeColor="text1"/>
          <w:shd w:val="clear" w:color="auto" w:fill="FEF1C4"/>
        </w:rPr>
        <w:t xml:space="preserve">. [online] signon.thomsonreuters.com. Available at: </w:t>
      </w:r>
      <w:hyperlink r:id="rId16" w:history="1">
        <w:r w:rsidRPr="00390963">
          <w:rPr>
            <w:rStyle w:val="Hyperlink"/>
            <w:rFonts w:ascii="Abadi" w:hAnsi="Abadi" w:cs="Calibri"/>
            <w:color w:val="000000" w:themeColor="text1"/>
            <w:shd w:val="clear" w:color="auto" w:fill="FEF1C4"/>
          </w:rPr>
          <w:t>https://uk.practicallaw.thomsonreuters.com/5-636-2498?transitionType=Default&amp;contextData=(sc.Default)&amp;</w:t>
        </w:r>
        <w:r w:rsidRPr="00B308E8">
          <w:rPr>
            <w:rStyle w:val="Hyperlink"/>
            <w:rFonts w:ascii="Abadi" w:hAnsi="Abadi" w:cs="Calibri"/>
            <w:color w:val="000000" w:themeColor="text1"/>
            <w:u w:val="none"/>
            <w:shd w:val="clear" w:color="auto" w:fill="FEF1C4"/>
          </w:rPr>
          <w:t>firstPage</w:t>
        </w:r>
        <w:r w:rsidRPr="00390963">
          <w:rPr>
            <w:rStyle w:val="Hyperlink"/>
            <w:rFonts w:ascii="Abadi" w:hAnsi="Abadi" w:cs="Calibri"/>
            <w:color w:val="000000" w:themeColor="text1"/>
            <w:shd w:val="clear" w:color="auto" w:fill="FEF1C4"/>
          </w:rPr>
          <w:t>=true</w:t>
        </w:r>
      </w:hyperlink>
      <w:r w:rsidR="008E22E0">
        <w:rPr>
          <w:rFonts w:ascii="Abadi" w:hAnsi="Abadi" w:cs="Calibri"/>
          <w:color w:val="000000" w:themeColor="text1"/>
          <w:shd w:val="clear" w:color="auto" w:fill="FEF1C4"/>
        </w:rPr>
        <w:t>.</w:t>
      </w:r>
    </w:p>
    <w:p w14:paraId="5D556E44" w14:textId="267F13AD" w:rsidR="008E22E0" w:rsidRPr="00B308E8" w:rsidRDefault="00325C5E" w:rsidP="00A518EB">
      <w:pPr>
        <w:pStyle w:val="NormalWeb"/>
        <w:rPr>
          <w:rFonts w:ascii="Abadi" w:hAnsi="Abadi" w:cs="Calibri"/>
          <w:color w:val="000000" w:themeColor="text1"/>
          <w:shd w:val="clear" w:color="auto" w:fill="FEF1C4"/>
        </w:rPr>
      </w:pPr>
      <w:proofErr w:type="spellStart"/>
      <w:r w:rsidRPr="00B308E8">
        <w:rPr>
          <w:rFonts w:ascii="Abadi" w:hAnsi="Abadi" w:cs="Calibri"/>
          <w:color w:val="000000" w:themeColor="text1"/>
          <w:shd w:val="clear" w:color="auto" w:fill="FEF1C4"/>
        </w:rPr>
        <w:lastRenderedPageBreak/>
        <w:t>Syam</w:t>
      </w:r>
      <w:proofErr w:type="spellEnd"/>
      <w:r w:rsidRPr="00B308E8">
        <w:rPr>
          <w:rFonts w:ascii="Abadi" w:hAnsi="Abadi" w:cs="Calibri"/>
          <w:color w:val="000000" w:themeColor="text1"/>
          <w:shd w:val="clear" w:color="auto" w:fill="FEF1C4"/>
        </w:rPr>
        <w:t xml:space="preserve">, P. (2014). What is the Difference Between Common Law and Civil Law? - Blog | @WashULaw. [online] @WashULaw_online. Available at: </w:t>
      </w:r>
      <w:hyperlink r:id="rId17" w:history="1">
        <w:r w:rsidRPr="00B308E8">
          <w:rPr>
            <w:rStyle w:val="Hyperlink"/>
            <w:rFonts w:ascii="Abadi" w:hAnsi="Abadi" w:cs="Calibri"/>
            <w:shd w:val="clear" w:color="auto" w:fill="FEF1C4"/>
          </w:rPr>
          <w:t>https://onlinelaw.wustl.edu/blog/common-law-vs-civil-law/</w:t>
        </w:r>
      </w:hyperlink>
      <w:r w:rsidRPr="00B308E8">
        <w:rPr>
          <w:rFonts w:ascii="Abadi" w:hAnsi="Abadi" w:cs="Calibri"/>
          <w:color w:val="000000" w:themeColor="text1"/>
          <w:shd w:val="clear" w:color="auto" w:fill="FEF1C4"/>
        </w:rPr>
        <w:t>.</w:t>
      </w:r>
    </w:p>
    <w:p w14:paraId="4336B951" w14:textId="60A598BF" w:rsidR="00325C5E" w:rsidRDefault="00440A27" w:rsidP="00A518EB">
      <w:pPr>
        <w:pStyle w:val="NormalWeb"/>
        <w:rPr>
          <w:rFonts w:ascii="Abadi" w:hAnsi="Abadi" w:cs="Calibri"/>
          <w:color w:val="000000" w:themeColor="text1"/>
          <w:shd w:val="clear" w:color="auto" w:fill="FEF1C4"/>
        </w:rPr>
      </w:pPr>
      <w:r w:rsidRPr="00B308E8">
        <w:rPr>
          <w:rFonts w:ascii="Abadi" w:hAnsi="Abadi" w:cs="Calibri"/>
          <w:color w:val="000000" w:themeColor="text1"/>
          <w:shd w:val="clear" w:color="auto" w:fill="FEF1C4"/>
        </w:rPr>
        <w:t xml:space="preserve">www.mondaq.com. (n.d.). Common Law vs. Civil Law: A Rough Guide </w:t>
      </w:r>
      <w:proofErr w:type="gramStart"/>
      <w:r w:rsidRPr="00B308E8">
        <w:rPr>
          <w:rFonts w:ascii="Abadi" w:hAnsi="Abadi" w:cs="Calibri"/>
          <w:color w:val="000000" w:themeColor="text1"/>
          <w:shd w:val="clear" w:color="auto" w:fill="FEF1C4"/>
        </w:rPr>
        <w:t>For</w:t>
      </w:r>
      <w:proofErr w:type="gramEnd"/>
      <w:r w:rsidRPr="00B308E8">
        <w:rPr>
          <w:rFonts w:ascii="Abadi" w:hAnsi="Abadi" w:cs="Calibri"/>
          <w:color w:val="000000" w:themeColor="text1"/>
          <w:shd w:val="clear" w:color="auto" w:fill="FEF1C4"/>
        </w:rPr>
        <w:t xml:space="preserve"> Your Business - Corporate/Commercial Law - UK. [online] Available at: </w:t>
      </w:r>
      <w:hyperlink r:id="rId18" w:history="1">
        <w:r w:rsidRPr="00B308E8">
          <w:rPr>
            <w:rStyle w:val="Hyperlink"/>
            <w:rFonts w:ascii="Abadi" w:hAnsi="Abadi" w:cs="Calibri"/>
            <w:shd w:val="clear" w:color="auto" w:fill="FEF1C4"/>
          </w:rPr>
          <w:t>https://www.mondaq.com/uk/contracts-and-commercial-law/598694/common-law-vs-civil-law-a-rough-guide-for-your-business</w:t>
        </w:r>
      </w:hyperlink>
      <w:r w:rsidRPr="00440A27">
        <w:rPr>
          <w:rFonts w:ascii="Abadi" w:hAnsi="Abadi" w:cs="Calibri"/>
          <w:color w:val="000000" w:themeColor="text1"/>
          <w:shd w:val="clear" w:color="auto" w:fill="FEF1C4"/>
        </w:rPr>
        <w:t>.</w:t>
      </w:r>
    </w:p>
    <w:p w14:paraId="3A7AD937" w14:textId="77777777" w:rsidR="00440A27" w:rsidRPr="00440A27" w:rsidRDefault="00440A27" w:rsidP="00A518EB">
      <w:pPr>
        <w:pStyle w:val="NormalWeb"/>
        <w:rPr>
          <w:rFonts w:ascii="Abadi" w:hAnsi="Abadi" w:cs="Calibri"/>
          <w:color w:val="000000" w:themeColor="text1"/>
          <w:shd w:val="clear" w:color="auto" w:fill="FEF1C4"/>
        </w:rPr>
      </w:pPr>
    </w:p>
    <w:p w14:paraId="46936BA1" w14:textId="1B9445C8" w:rsidR="00D462AE" w:rsidRDefault="00D462AE" w:rsidP="00A518EB">
      <w:pPr>
        <w:pStyle w:val="NormalWeb"/>
        <w:rPr>
          <w:rFonts w:ascii="Abadi" w:hAnsi="Abadi" w:cs="Calibri"/>
          <w:color w:val="2C3E50"/>
          <w:shd w:val="clear" w:color="auto" w:fill="FEF1C4"/>
        </w:rPr>
      </w:pPr>
    </w:p>
    <w:p w14:paraId="3BE00107" w14:textId="77777777" w:rsidR="00390963" w:rsidRDefault="00390963" w:rsidP="00A518EB">
      <w:pPr>
        <w:pStyle w:val="NormalWeb"/>
        <w:rPr>
          <w:rFonts w:ascii="Abadi" w:hAnsi="Abadi" w:cs="Calibri"/>
          <w:color w:val="2C3E50"/>
          <w:shd w:val="clear" w:color="auto" w:fill="FEF1C4"/>
        </w:rPr>
      </w:pPr>
    </w:p>
    <w:p w14:paraId="4B3F8D81" w14:textId="77777777" w:rsidR="000E661E" w:rsidRPr="000E661E" w:rsidRDefault="000E661E" w:rsidP="00A518EB">
      <w:pPr>
        <w:pStyle w:val="NormalWeb"/>
        <w:rPr>
          <w:rFonts w:ascii="Abadi" w:hAnsi="Abadi"/>
          <w:b/>
          <w:bCs/>
          <w:color w:val="000000" w:themeColor="text1"/>
          <w:shd w:val="clear" w:color="auto" w:fill="F9F9F9"/>
        </w:rPr>
      </w:pPr>
    </w:p>
    <w:sectPr w:rsidR="000E661E" w:rsidRPr="000E6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proxima-nova">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ACA"/>
    <w:rsid w:val="000E661E"/>
    <w:rsid w:val="00117CED"/>
    <w:rsid w:val="00125837"/>
    <w:rsid w:val="001C7CDC"/>
    <w:rsid w:val="00325C5E"/>
    <w:rsid w:val="0034445F"/>
    <w:rsid w:val="00390963"/>
    <w:rsid w:val="003D500A"/>
    <w:rsid w:val="00412ACA"/>
    <w:rsid w:val="00440A27"/>
    <w:rsid w:val="00442164"/>
    <w:rsid w:val="00532DBF"/>
    <w:rsid w:val="00634DC6"/>
    <w:rsid w:val="00710648"/>
    <w:rsid w:val="00775B1B"/>
    <w:rsid w:val="007C6AD9"/>
    <w:rsid w:val="00810F15"/>
    <w:rsid w:val="008E22E0"/>
    <w:rsid w:val="00A43ED6"/>
    <w:rsid w:val="00A518EB"/>
    <w:rsid w:val="00B21DA9"/>
    <w:rsid w:val="00B22CBC"/>
    <w:rsid w:val="00B308E8"/>
    <w:rsid w:val="00B678FD"/>
    <w:rsid w:val="00D462AE"/>
    <w:rsid w:val="00E532EC"/>
    <w:rsid w:val="00F61033"/>
    <w:rsid w:val="00F86DA7"/>
    <w:rsid w:val="00FB5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0811"/>
  <w15:chartTrackingRefBased/>
  <w15:docId w15:val="{323401EA-B971-49E9-83CD-BE2D4308E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2C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34DC6"/>
    <w:rPr>
      <w:i/>
      <w:iCs/>
    </w:rPr>
  </w:style>
  <w:style w:type="character" w:styleId="Hyperlink">
    <w:name w:val="Hyperlink"/>
    <w:basedOn w:val="DefaultParagraphFont"/>
    <w:uiPriority w:val="99"/>
    <w:unhideWhenUsed/>
    <w:rsid w:val="00634DC6"/>
    <w:rPr>
      <w:color w:val="0000FF"/>
      <w:u w:val="single"/>
    </w:rPr>
  </w:style>
  <w:style w:type="character" w:styleId="UnresolvedMention">
    <w:name w:val="Unresolved Mention"/>
    <w:basedOn w:val="DefaultParagraphFont"/>
    <w:uiPriority w:val="99"/>
    <w:semiHidden/>
    <w:unhideWhenUsed/>
    <w:rsid w:val="007C6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44353">
      <w:bodyDiv w:val="1"/>
      <w:marLeft w:val="0"/>
      <w:marRight w:val="0"/>
      <w:marTop w:val="0"/>
      <w:marBottom w:val="0"/>
      <w:divBdr>
        <w:top w:val="none" w:sz="0" w:space="0" w:color="auto"/>
        <w:left w:val="none" w:sz="0" w:space="0" w:color="auto"/>
        <w:bottom w:val="none" w:sz="0" w:space="0" w:color="auto"/>
        <w:right w:val="none" w:sz="0" w:space="0" w:color="auto"/>
      </w:divBdr>
    </w:div>
    <w:div w:id="1412656647">
      <w:bodyDiv w:val="1"/>
      <w:marLeft w:val="0"/>
      <w:marRight w:val="0"/>
      <w:marTop w:val="0"/>
      <w:marBottom w:val="0"/>
      <w:divBdr>
        <w:top w:val="none" w:sz="0" w:space="0" w:color="auto"/>
        <w:left w:val="none" w:sz="0" w:space="0" w:color="auto"/>
        <w:bottom w:val="none" w:sz="0" w:space="0" w:color="auto"/>
        <w:right w:val="none" w:sz="0" w:space="0" w:color="auto"/>
      </w:divBdr>
    </w:div>
    <w:div w:id="1556358614">
      <w:bodyDiv w:val="1"/>
      <w:marLeft w:val="0"/>
      <w:marRight w:val="0"/>
      <w:marTop w:val="0"/>
      <w:marBottom w:val="0"/>
      <w:divBdr>
        <w:top w:val="none" w:sz="0" w:space="0" w:color="auto"/>
        <w:left w:val="none" w:sz="0" w:space="0" w:color="auto"/>
        <w:bottom w:val="none" w:sz="0" w:space="0" w:color="auto"/>
        <w:right w:val="none" w:sz="0" w:space="0" w:color="auto"/>
      </w:divBdr>
    </w:div>
    <w:div w:id="195089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lier-avocats.com/en/common-law-vs-civil-law-cultural-gaps-in-the-rules-of-evidence/" TargetMode="External"/><Relationship Id="rId13" Type="http://schemas.openxmlformats.org/officeDocument/2006/relationships/hyperlink" Target="https://www.courtroomadvice.co.uk/common-law-england.html" TargetMode="External"/><Relationship Id="rId18" Type="http://schemas.openxmlformats.org/officeDocument/2006/relationships/hyperlink" Target="https://www.mondaq.com/uk/contracts-and-commercial-law/598694/common-law-vs-civil-law-a-rough-guide-for-your-business" TargetMode="External"/><Relationship Id="rId3" Type="http://schemas.openxmlformats.org/officeDocument/2006/relationships/customXml" Target="../customXml/item3.xml"/><Relationship Id="rId7" Type="http://schemas.openxmlformats.org/officeDocument/2006/relationships/hyperlink" Target="https://core.ac.uk/download/pdf/72829419.pdf" TargetMode="External"/><Relationship Id="rId12" Type="http://schemas.openxmlformats.org/officeDocument/2006/relationships/hyperlink" Target="https://www.britannica.com/topic/civil-law-Romano-Germanic#ref39871" TargetMode="External"/><Relationship Id="rId17" Type="http://schemas.openxmlformats.org/officeDocument/2006/relationships/hyperlink" Target="https://onlinelaw.wustl.edu/blog/common-law-vs-civil-law/" TargetMode="External"/><Relationship Id="rId2" Type="http://schemas.openxmlformats.org/officeDocument/2006/relationships/customXml" Target="../customXml/item2.xml"/><Relationship Id="rId16" Type="http://schemas.openxmlformats.org/officeDocument/2006/relationships/hyperlink" Target="https://uk.practicallaw.thomsonreuters.com/5-636-2498?transitionType=Default&amp;contextData=(sc.Default)&amp;firstPage=tru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topic/civil-law-Romano-Germanic/The-French-system" TargetMode="External"/><Relationship Id="rId5" Type="http://schemas.openxmlformats.org/officeDocument/2006/relationships/settings" Target="settings.xml"/><Relationship Id="rId15" Type="http://schemas.openxmlformats.org/officeDocument/2006/relationships/hyperlink" Target="https://www.supremecourt.uk/docs/speech-191028.pdf" TargetMode="External"/><Relationship Id="rId10" Type="http://schemas.openxmlformats.org/officeDocument/2006/relationships/hyperlink" Target="https://www.judiciary.uk/about-the-judiciary/our-justice-system/jurisdictions/civil-jurisdiction/"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cps.gov.uk/legal-guidance/expert-evidence" TargetMode="External"/><Relationship Id="rId14" Type="http://schemas.openxmlformats.org/officeDocument/2006/relationships/hyperlink" Target="https://www.carlsonssolicitors.com/news/2021/7/12/litigation-under-a-codified-system-civil-law-vs-common-law#:~:text=Civil%20law%20jurisdictions%20rely%20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5A8180-6723-49CA-9FA2-AA24DD320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CE0D1F-5917-41BA-982B-B3CFC0BB192E}">
  <ds:schemaRefs>
    <ds:schemaRef ds:uri="http://schemas.microsoft.com/sharepoint/v3/contenttype/forms"/>
  </ds:schemaRefs>
</ds:datastoreItem>
</file>

<file path=customXml/itemProps3.xml><?xml version="1.0" encoding="utf-8"?>
<ds:datastoreItem xmlns:ds="http://schemas.openxmlformats.org/officeDocument/2006/customXml" ds:itemID="{865C2552-6187-447B-B3D0-88617B6F3A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5</Pages>
  <Words>1729</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dc:creator>
  <cp:keywords/>
  <dc:description/>
  <cp:lastModifiedBy>Vasile</cp:lastModifiedBy>
  <cp:revision>19</cp:revision>
  <dcterms:created xsi:type="dcterms:W3CDTF">2023-02-28T11:02:00Z</dcterms:created>
  <dcterms:modified xsi:type="dcterms:W3CDTF">2023-02-28T17:58:00Z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