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2397462"/>
        <w:docPartObj>
          <w:docPartGallery w:val="Cover Pages"/>
          <w:docPartUnique/>
        </w:docPartObj>
      </w:sdtPr>
      <w:sdtContent>
        <w:p w14:paraId="678C42BA" w14:textId="7A2FCF04" w:rsidR="00314046" w:rsidRDefault="00314046">
          <w:r>
            <w:rPr>
              <w:noProof/>
            </w:rPr>
            <mc:AlternateContent>
              <mc:Choice Requires="wps">
                <w:drawing>
                  <wp:anchor distT="0" distB="0" distL="114300" distR="114300" simplePos="0" relativeHeight="251664384" behindDoc="0" locked="0" layoutInCell="1" allowOverlap="1" wp14:anchorId="0AE8B74F" wp14:editId="1CCD0E1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9B00EB4" w14:textId="170DBB93" w:rsidR="00314046" w:rsidRDefault="00314046">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Goodrum, Joseph (J)</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AE8B74F"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9B00EB4" w14:textId="170DBB93" w:rsidR="00314046" w:rsidRDefault="00314046">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Goodrum, Joseph (J)</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1A271A2" wp14:editId="4FEE0F3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E31D6D" w14:textId="77777777" w:rsidR="00314046" w:rsidRDefault="0031404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A271A2"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AE31D6D" w14:textId="77777777" w:rsidR="00314046" w:rsidRDefault="00314046"/>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1CDB1D2" wp14:editId="0091D65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2E53315"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20637DD" wp14:editId="1399D75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CC65F7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2868BC5F" w14:textId="1725CBFC" w:rsidR="00314046" w:rsidRDefault="005577F9">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61312" behindDoc="0" locked="0" layoutInCell="1" allowOverlap="1" wp14:anchorId="0FE67448" wp14:editId="2547257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94767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948026"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AFDE7FE" w14:textId="770F0A83" w:rsidR="00314046" w:rsidRDefault="005577F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Hotel proposal appraisal</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9B9C12E" w14:textId="258F4928" w:rsidR="00314046" w:rsidRDefault="005577F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ACBA5019 part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0FE67448" id="Text Box 265" o:spid="_x0000_s1028" type="#_x0000_t202" style="position:absolute;margin-left:0;margin-top:0;width:232.1pt;height:194.9pt;z-index:251661312;visibility:visible;mso-wrap-style:square;mso-width-percent:0;mso-height-percent:280;mso-left-percent:455;mso-top-percent:350;mso-wrap-distance-left:9pt;mso-wrap-distance-top:0;mso-wrap-distance-right:9pt;mso-wrap-distance-bottom:0;mso-position-horizontal-relative:page;mso-position-vertical-relative:page;mso-width-percent: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AFDE7FE" w14:textId="770F0A83" w:rsidR="00314046" w:rsidRDefault="005577F9">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Hotel proposal appraisal</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9B9C12E" w14:textId="258F4928" w:rsidR="00314046" w:rsidRDefault="005577F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ACBA5019 part 2</w:t>
                              </w:r>
                            </w:p>
                          </w:sdtContent>
                        </w:sdt>
                      </w:txbxContent>
                    </v:textbox>
                    <w10:wrap type="square" anchorx="page" anchory="page"/>
                  </v:shape>
                </w:pict>
              </mc:Fallback>
            </mc:AlternateContent>
          </w:r>
          <w:r w:rsidR="00314046">
            <w:br w:type="page"/>
          </w:r>
        </w:p>
      </w:sdtContent>
    </w:sdt>
    <w:sdt>
      <w:sdtPr>
        <w:id w:val="-32350923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51766C9" w14:textId="0ADBAC2C" w:rsidR="00314046" w:rsidRDefault="00314046">
          <w:pPr>
            <w:pStyle w:val="TOCHeading"/>
          </w:pPr>
          <w:r>
            <w:t>Contents</w:t>
          </w:r>
        </w:p>
        <w:p w14:paraId="61749AC0" w14:textId="1284C5AA" w:rsidR="00A91289" w:rsidRDefault="0031404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901610" w:history="1">
            <w:r w:rsidR="00A91289" w:rsidRPr="00945494">
              <w:rPr>
                <w:rStyle w:val="Hyperlink"/>
                <w:noProof/>
              </w:rPr>
              <w:t>Introduction</w:t>
            </w:r>
            <w:r w:rsidR="00A91289">
              <w:rPr>
                <w:noProof/>
                <w:webHidden/>
              </w:rPr>
              <w:tab/>
            </w:r>
            <w:r w:rsidR="00A91289">
              <w:rPr>
                <w:noProof/>
                <w:webHidden/>
              </w:rPr>
              <w:fldChar w:fldCharType="begin"/>
            </w:r>
            <w:r w:rsidR="00A91289">
              <w:rPr>
                <w:noProof/>
                <w:webHidden/>
              </w:rPr>
              <w:instrText xml:space="preserve"> PAGEREF _Toc231901610 \h </w:instrText>
            </w:r>
            <w:r w:rsidR="00A91289">
              <w:rPr>
                <w:noProof/>
                <w:webHidden/>
              </w:rPr>
            </w:r>
            <w:r w:rsidR="00A91289">
              <w:rPr>
                <w:noProof/>
                <w:webHidden/>
              </w:rPr>
              <w:fldChar w:fldCharType="separate"/>
            </w:r>
            <w:r w:rsidR="00A91289">
              <w:rPr>
                <w:noProof/>
                <w:webHidden/>
              </w:rPr>
              <w:t>2</w:t>
            </w:r>
            <w:r w:rsidR="00A91289">
              <w:rPr>
                <w:noProof/>
                <w:webHidden/>
              </w:rPr>
              <w:fldChar w:fldCharType="end"/>
            </w:r>
          </w:hyperlink>
        </w:p>
        <w:p w14:paraId="5161AF69" w14:textId="2CBF3C11" w:rsidR="00A91289" w:rsidRDefault="00A91289">
          <w:pPr>
            <w:pStyle w:val="TOC2"/>
            <w:tabs>
              <w:tab w:val="right" w:leader="dot" w:pos="9016"/>
            </w:tabs>
            <w:rPr>
              <w:rFonts w:eastAsiaTheme="minorEastAsia"/>
              <w:noProof/>
              <w:lang w:eastAsia="en-GB"/>
            </w:rPr>
          </w:pPr>
          <w:hyperlink w:anchor="_Toc231901611" w:history="1">
            <w:r w:rsidRPr="00945494">
              <w:rPr>
                <w:rStyle w:val="Hyperlink"/>
                <w:noProof/>
              </w:rPr>
              <w:t>The proposal specification</w:t>
            </w:r>
            <w:r>
              <w:rPr>
                <w:noProof/>
                <w:webHidden/>
              </w:rPr>
              <w:tab/>
            </w:r>
            <w:r>
              <w:rPr>
                <w:noProof/>
                <w:webHidden/>
              </w:rPr>
              <w:fldChar w:fldCharType="begin"/>
            </w:r>
            <w:r>
              <w:rPr>
                <w:noProof/>
                <w:webHidden/>
              </w:rPr>
              <w:instrText xml:space="preserve"> PAGEREF _Toc231901611 \h </w:instrText>
            </w:r>
            <w:r>
              <w:rPr>
                <w:noProof/>
                <w:webHidden/>
              </w:rPr>
            </w:r>
            <w:r>
              <w:rPr>
                <w:noProof/>
                <w:webHidden/>
              </w:rPr>
              <w:fldChar w:fldCharType="separate"/>
            </w:r>
            <w:r>
              <w:rPr>
                <w:noProof/>
                <w:webHidden/>
              </w:rPr>
              <w:t>2</w:t>
            </w:r>
            <w:r>
              <w:rPr>
                <w:noProof/>
                <w:webHidden/>
              </w:rPr>
              <w:fldChar w:fldCharType="end"/>
            </w:r>
          </w:hyperlink>
        </w:p>
        <w:p w14:paraId="2B932C0F" w14:textId="4B2AD86E" w:rsidR="00A91289" w:rsidRDefault="00A91289">
          <w:pPr>
            <w:pStyle w:val="TOC2"/>
            <w:tabs>
              <w:tab w:val="right" w:leader="dot" w:pos="9016"/>
            </w:tabs>
            <w:rPr>
              <w:rFonts w:eastAsiaTheme="minorEastAsia"/>
              <w:noProof/>
              <w:lang w:eastAsia="en-GB"/>
            </w:rPr>
          </w:pPr>
          <w:hyperlink w:anchor="_Toc231901612" w:history="1">
            <w:r w:rsidRPr="00945494">
              <w:rPr>
                <w:rStyle w:val="Hyperlink"/>
                <w:noProof/>
              </w:rPr>
              <w:t>Environmental impact</w:t>
            </w:r>
            <w:r>
              <w:rPr>
                <w:noProof/>
                <w:webHidden/>
              </w:rPr>
              <w:tab/>
            </w:r>
            <w:r>
              <w:rPr>
                <w:noProof/>
                <w:webHidden/>
              </w:rPr>
              <w:fldChar w:fldCharType="begin"/>
            </w:r>
            <w:r>
              <w:rPr>
                <w:noProof/>
                <w:webHidden/>
              </w:rPr>
              <w:instrText xml:space="preserve"> PAGEREF _Toc231901612 \h </w:instrText>
            </w:r>
            <w:r>
              <w:rPr>
                <w:noProof/>
                <w:webHidden/>
              </w:rPr>
            </w:r>
            <w:r>
              <w:rPr>
                <w:noProof/>
                <w:webHidden/>
              </w:rPr>
              <w:fldChar w:fldCharType="separate"/>
            </w:r>
            <w:r>
              <w:rPr>
                <w:noProof/>
                <w:webHidden/>
              </w:rPr>
              <w:t>2</w:t>
            </w:r>
            <w:r>
              <w:rPr>
                <w:noProof/>
                <w:webHidden/>
              </w:rPr>
              <w:fldChar w:fldCharType="end"/>
            </w:r>
          </w:hyperlink>
        </w:p>
        <w:p w14:paraId="480DF7EB" w14:textId="1F5BCE53" w:rsidR="00A91289" w:rsidRDefault="00A91289">
          <w:pPr>
            <w:pStyle w:val="TOC2"/>
            <w:tabs>
              <w:tab w:val="right" w:leader="dot" w:pos="9016"/>
            </w:tabs>
            <w:rPr>
              <w:rFonts w:eastAsiaTheme="minorEastAsia"/>
              <w:noProof/>
              <w:lang w:eastAsia="en-GB"/>
            </w:rPr>
          </w:pPr>
          <w:hyperlink w:anchor="_Toc231901613" w:history="1">
            <w:r w:rsidRPr="00945494">
              <w:rPr>
                <w:rStyle w:val="Hyperlink"/>
                <w:noProof/>
              </w:rPr>
              <w:t>Peak runoff calculation</w:t>
            </w:r>
            <w:r>
              <w:rPr>
                <w:noProof/>
                <w:webHidden/>
              </w:rPr>
              <w:tab/>
            </w:r>
            <w:r>
              <w:rPr>
                <w:noProof/>
                <w:webHidden/>
              </w:rPr>
              <w:fldChar w:fldCharType="begin"/>
            </w:r>
            <w:r>
              <w:rPr>
                <w:noProof/>
                <w:webHidden/>
              </w:rPr>
              <w:instrText xml:space="preserve"> PAGEREF _Toc231901613 \h </w:instrText>
            </w:r>
            <w:r>
              <w:rPr>
                <w:noProof/>
                <w:webHidden/>
              </w:rPr>
            </w:r>
            <w:r>
              <w:rPr>
                <w:noProof/>
                <w:webHidden/>
              </w:rPr>
              <w:fldChar w:fldCharType="separate"/>
            </w:r>
            <w:r>
              <w:rPr>
                <w:noProof/>
                <w:webHidden/>
              </w:rPr>
              <w:t>7</w:t>
            </w:r>
            <w:r>
              <w:rPr>
                <w:noProof/>
                <w:webHidden/>
              </w:rPr>
              <w:fldChar w:fldCharType="end"/>
            </w:r>
          </w:hyperlink>
        </w:p>
        <w:p w14:paraId="5AECBC40" w14:textId="4A9FD940" w:rsidR="00A91289" w:rsidRDefault="00A91289">
          <w:pPr>
            <w:pStyle w:val="TOC2"/>
            <w:tabs>
              <w:tab w:val="right" w:leader="dot" w:pos="9016"/>
            </w:tabs>
            <w:rPr>
              <w:rFonts w:eastAsiaTheme="minorEastAsia"/>
              <w:noProof/>
              <w:lang w:eastAsia="en-GB"/>
            </w:rPr>
          </w:pPr>
          <w:hyperlink w:anchor="_Toc231901614" w:history="1">
            <w:r w:rsidRPr="00945494">
              <w:rPr>
                <w:rStyle w:val="Hyperlink"/>
                <w:noProof/>
              </w:rPr>
              <w:t>Greenfield runoff rate (Qbar)</w:t>
            </w:r>
            <w:r>
              <w:rPr>
                <w:noProof/>
                <w:webHidden/>
              </w:rPr>
              <w:tab/>
            </w:r>
            <w:r>
              <w:rPr>
                <w:noProof/>
                <w:webHidden/>
              </w:rPr>
              <w:fldChar w:fldCharType="begin"/>
            </w:r>
            <w:r>
              <w:rPr>
                <w:noProof/>
                <w:webHidden/>
              </w:rPr>
              <w:instrText xml:space="preserve"> PAGEREF _Toc231901614 \h </w:instrText>
            </w:r>
            <w:r>
              <w:rPr>
                <w:noProof/>
                <w:webHidden/>
              </w:rPr>
            </w:r>
            <w:r>
              <w:rPr>
                <w:noProof/>
                <w:webHidden/>
              </w:rPr>
              <w:fldChar w:fldCharType="separate"/>
            </w:r>
            <w:r>
              <w:rPr>
                <w:noProof/>
                <w:webHidden/>
              </w:rPr>
              <w:t>8</w:t>
            </w:r>
            <w:r>
              <w:rPr>
                <w:noProof/>
                <w:webHidden/>
              </w:rPr>
              <w:fldChar w:fldCharType="end"/>
            </w:r>
          </w:hyperlink>
        </w:p>
        <w:p w14:paraId="46FEC0D6" w14:textId="47DC1BBA" w:rsidR="00A91289" w:rsidRDefault="00A91289">
          <w:pPr>
            <w:pStyle w:val="TOC2"/>
            <w:tabs>
              <w:tab w:val="right" w:leader="dot" w:pos="9016"/>
            </w:tabs>
            <w:rPr>
              <w:rFonts w:eastAsiaTheme="minorEastAsia"/>
              <w:noProof/>
              <w:lang w:eastAsia="en-GB"/>
            </w:rPr>
          </w:pPr>
          <w:hyperlink w:anchor="_Toc231901615" w:history="1">
            <w:r w:rsidRPr="00945494">
              <w:rPr>
                <w:rStyle w:val="Hyperlink"/>
                <w:noProof/>
              </w:rPr>
              <w:t>Storage volume</w:t>
            </w:r>
            <w:r>
              <w:rPr>
                <w:noProof/>
                <w:webHidden/>
              </w:rPr>
              <w:tab/>
            </w:r>
            <w:r>
              <w:rPr>
                <w:noProof/>
                <w:webHidden/>
              </w:rPr>
              <w:fldChar w:fldCharType="begin"/>
            </w:r>
            <w:r>
              <w:rPr>
                <w:noProof/>
                <w:webHidden/>
              </w:rPr>
              <w:instrText xml:space="preserve"> PAGEREF _Toc231901615 \h </w:instrText>
            </w:r>
            <w:r>
              <w:rPr>
                <w:noProof/>
                <w:webHidden/>
              </w:rPr>
            </w:r>
            <w:r>
              <w:rPr>
                <w:noProof/>
                <w:webHidden/>
              </w:rPr>
              <w:fldChar w:fldCharType="separate"/>
            </w:r>
            <w:r>
              <w:rPr>
                <w:noProof/>
                <w:webHidden/>
              </w:rPr>
              <w:t>9</w:t>
            </w:r>
            <w:r>
              <w:rPr>
                <w:noProof/>
                <w:webHidden/>
              </w:rPr>
              <w:fldChar w:fldCharType="end"/>
            </w:r>
          </w:hyperlink>
        </w:p>
        <w:p w14:paraId="3638A690" w14:textId="1562F2B7" w:rsidR="00A91289" w:rsidRDefault="00A91289">
          <w:pPr>
            <w:pStyle w:val="TOC2"/>
            <w:tabs>
              <w:tab w:val="right" w:leader="dot" w:pos="9016"/>
            </w:tabs>
            <w:rPr>
              <w:rFonts w:eastAsiaTheme="minorEastAsia"/>
              <w:noProof/>
              <w:lang w:eastAsia="en-GB"/>
            </w:rPr>
          </w:pPr>
          <w:hyperlink w:anchor="_Toc231901616" w:history="1">
            <w:r w:rsidRPr="00945494">
              <w:rPr>
                <w:rStyle w:val="Hyperlink"/>
                <w:noProof/>
              </w:rPr>
              <w:t>Swale sizing</w:t>
            </w:r>
            <w:r>
              <w:rPr>
                <w:noProof/>
                <w:webHidden/>
              </w:rPr>
              <w:tab/>
            </w:r>
            <w:r>
              <w:rPr>
                <w:noProof/>
                <w:webHidden/>
              </w:rPr>
              <w:fldChar w:fldCharType="begin"/>
            </w:r>
            <w:r>
              <w:rPr>
                <w:noProof/>
                <w:webHidden/>
              </w:rPr>
              <w:instrText xml:space="preserve"> PAGEREF _Toc231901616 \h </w:instrText>
            </w:r>
            <w:r>
              <w:rPr>
                <w:noProof/>
                <w:webHidden/>
              </w:rPr>
            </w:r>
            <w:r>
              <w:rPr>
                <w:noProof/>
                <w:webHidden/>
              </w:rPr>
              <w:fldChar w:fldCharType="separate"/>
            </w:r>
            <w:r>
              <w:rPr>
                <w:noProof/>
                <w:webHidden/>
              </w:rPr>
              <w:t>9</w:t>
            </w:r>
            <w:r>
              <w:rPr>
                <w:noProof/>
                <w:webHidden/>
              </w:rPr>
              <w:fldChar w:fldCharType="end"/>
            </w:r>
          </w:hyperlink>
        </w:p>
        <w:p w14:paraId="365AAD77" w14:textId="55147284" w:rsidR="00A91289" w:rsidRDefault="00A91289">
          <w:pPr>
            <w:pStyle w:val="TOC2"/>
            <w:tabs>
              <w:tab w:val="right" w:leader="dot" w:pos="9016"/>
            </w:tabs>
            <w:rPr>
              <w:rFonts w:eastAsiaTheme="minorEastAsia"/>
              <w:noProof/>
              <w:lang w:eastAsia="en-GB"/>
            </w:rPr>
          </w:pPr>
          <w:hyperlink w:anchor="_Toc231901617" w:history="1">
            <w:r w:rsidRPr="00945494">
              <w:rPr>
                <w:rStyle w:val="Hyperlink"/>
                <w:noProof/>
              </w:rPr>
              <w:t>Proposal Buildability</w:t>
            </w:r>
            <w:r>
              <w:rPr>
                <w:noProof/>
                <w:webHidden/>
              </w:rPr>
              <w:tab/>
            </w:r>
            <w:r>
              <w:rPr>
                <w:noProof/>
                <w:webHidden/>
              </w:rPr>
              <w:fldChar w:fldCharType="begin"/>
            </w:r>
            <w:r>
              <w:rPr>
                <w:noProof/>
                <w:webHidden/>
              </w:rPr>
              <w:instrText xml:space="preserve"> PAGEREF _Toc231901617 \h </w:instrText>
            </w:r>
            <w:r>
              <w:rPr>
                <w:noProof/>
                <w:webHidden/>
              </w:rPr>
            </w:r>
            <w:r>
              <w:rPr>
                <w:noProof/>
                <w:webHidden/>
              </w:rPr>
              <w:fldChar w:fldCharType="separate"/>
            </w:r>
            <w:r>
              <w:rPr>
                <w:noProof/>
                <w:webHidden/>
              </w:rPr>
              <w:t>11</w:t>
            </w:r>
            <w:r>
              <w:rPr>
                <w:noProof/>
                <w:webHidden/>
              </w:rPr>
              <w:fldChar w:fldCharType="end"/>
            </w:r>
          </w:hyperlink>
        </w:p>
        <w:p w14:paraId="4FBD8F30" w14:textId="439B9FF7" w:rsidR="00A91289" w:rsidRDefault="00A91289">
          <w:pPr>
            <w:pStyle w:val="TOC2"/>
            <w:tabs>
              <w:tab w:val="right" w:leader="dot" w:pos="9016"/>
            </w:tabs>
            <w:rPr>
              <w:rFonts w:eastAsiaTheme="minorEastAsia"/>
              <w:noProof/>
              <w:lang w:eastAsia="en-GB"/>
            </w:rPr>
          </w:pPr>
          <w:hyperlink w:anchor="_Toc231901618" w:history="1">
            <w:r w:rsidRPr="00945494">
              <w:rPr>
                <w:rStyle w:val="Hyperlink"/>
                <w:noProof/>
                <w:lang w:eastAsia="en-GB"/>
              </w:rPr>
              <w:t>Conclusion</w:t>
            </w:r>
            <w:r>
              <w:rPr>
                <w:noProof/>
                <w:webHidden/>
              </w:rPr>
              <w:tab/>
            </w:r>
            <w:r>
              <w:rPr>
                <w:noProof/>
                <w:webHidden/>
              </w:rPr>
              <w:fldChar w:fldCharType="begin"/>
            </w:r>
            <w:r>
              <w:rPr>
                <w:noProof/>
                <w:webHidden/>
              </w:rPr>
              <w:instrText xml:space="preserve"> PAGEREF _Toc231901618 \h </w:instrText>
            </w:r>
            <w:r>
              <w:rPr>
                <w:noProof/>
                <w:webHidden/>
              </w:rPr>
            </w:r>
            <w:r>
              <w:rPr>
                <w:noProof/>
                <w:webHidden/>
              </w:rPr>
              <w:fldChar w:fldCharType="separate"/>
            </w:r>
            <w:r>
              <w:rPr>
                <w:noProof/>
                <w:webHidden/>
              </w:rPr>
              <w:t>12</w:t>
            </w:r>
            <w:r>
              <w:rPr>
                <w:noProof/>
                <w:webHidden/>
              </w:rPr>
              <w:fldChar w:fldCharType="end"/>
            </w:r>
          </w:hyperlink>
        </w:p>
        <w:p w14:paraId="362AFFED" w14:textId="7FABFB2C" w:rsidR="00A91289" w:rsidRDefault="00A91289">
          <w:pPr>
            <w:pStyle w:val="TOC2"/>
            <w:tabs>
              <w:tab w:val="right" w:leader="dot" w:pos="9016"/>
            </w:tabs>
            <w:rPr>
              <w:rFonts w:eastAsiaTheme="minorEastAsia"/>
              <w:noProof/>
              <w:lang w:eastAsia="en-GB"/>
            </w:rPr>
          </w:pPr>
          <w:hyperlink w:anchor="_Toc231901619" w:history="1">
            <w:r w:rsidRPr="00945494">
              <w:rPr>
                <w:rStyle w:val="Hyperlink"/>
                <w:noProof/>
              </w:rPr>
              <w:t>Appendices</w:t>
            </w:r>
            <w:r>
              <w:rPr>
                <w:noProof/>
                <w:webHidden/>
              </w:rPr>
              <w:tab/>
            </w:r>
            <w:r>
              <w:rPr>
                <w:noProof/>
                <w:webHidden/>
              </w:rPr>
              <w:fldChar w:fldCharType="begin"/>
            </w:r>
            <w:r>
              <w:rPr>
                <w:noProof/>
                <w:webHidden/>
              </w:rPr>
              <w:instrText xml:space="preserve"> PAGEREF _Toc231901619 \h </w:instrText>
            </w:r>
            <w:r>
              <w:rPr>
                <w:noProof/>
                <w:webHidden/>
              </w:rPr>
            </w:r>
            <w:r>
              <w:rPr>
                <w:noProof/>
                <w:webHidden/>
              </w:rPr>
              <w:fldChar w:fldCharType="separate"/>
            </w:r>
            <w:r>
              <w:rPr>
                <w:noProof/>
                <w:webHidden/>
              </w:rPr>
              <w:t>13</w:t>
            </w:r>
            <w:r>
              <w:rPr>
                <w:noProof/>
                <w:webHidden/>
              </w:rPr>
              <w:fldChar w:fldCharType="end"/>
            </w:r>
          </w:hyperlink>
        </w:p>
        <w:p w14:paraId="2AA8F89F" w14:textId="51DD736E" w:rsidR="00A91289" w:rsidRDefault="00A91289">
          <w:pPr>
            <w:pStyle w:val="TOC2"/>
            <w:tabs>
              <w:tab w:val="right" w:leader="dot" w:pos="9016"/>
            </w:tabs>
            <w:rPr>
              <w:rFonts w:eastAsiaTheme="minorEastAsia"/>
              <w:noProof/>
              <w:lang w:eastAsia="en-GB"/>
            </w:rPr>
          </w:pPr>
          <w:hyperlink w:anchor="_Toc231901620" w:history="1">
            <w:r w:rsidRPr="00945494">
              <w:rPr>
                <w:rStyle w:val="Hyperlink"/>
                <w:noProof/>
              </w:rPr>
              <w:t>References</w:t>
            </w:r>
            <w:r>
              <w:rPr>
                <w:noProof/>
                <w:webHidden/>
              </w:rPr>
              <w:tab/>
            </w:r>
            <w:r>
              <w:rPr>
                <w:noProof/>
                <w:webHidden/>
              </w:rPr>
              <w:fldChar w:fldCharType="begin"/>
            </w:r>
            <w:r>
              <w:rPr>
                <w:noProof/>
                <w:webHidden/>
              </w:rPr>
              <w:instrText xml:space="preserve"> PAGEREF _Toc231901620 \h </w:instrText>
            </w:r>
            <w:r>
              <w:rPr>
                <w:noProof/>
                <w:webHidden/>
              </w:rPr>
            </w:r>
            <w:r>
              <w:rPr>
                <w:noProof/>
                <w:webHidden/>
              </w:rPr>
              <w:fldChar w:fldCharType="separate"/>
            </w:r>
            <w:r>
              <w:rPr>
                <w:noProof/>
                <w:webHidden/>
              </w:rPr>
              <w:t>17</w:t>
            </w:r>
            <w:r>
              <w:rPr>
                <w:noProof/>
                <w:webHidden/>
              </w:rPr>
              <w:fldChar w:fldCharType="end"/>
            </w:r>
          </w:hyperlink>
        </w:p>
        <w:p w14:paraId="3DCEEA50" w14:textId="2F56B737" w:rsidR="00314046" w:rsidRDefault="00314046">
          <w:r>
            <w:rPr>
              <w:b/>
              <w:bCs/>
              <w:noProof/>
            </w:rPr>
            <w:fldChar w:fldCharType="end"/>
          </w:r>
        </w:p>
      </w:sdtContent>
    </w:sdt>
    <w:p w14:paraId="18E9FD20" w14:textId="77777777" w:rsidR="00314046" w:rsidRDefault="00314046" w:rsidP="00615C3E">
      <w:pPr>
        <w:pStyle w:val="Heading2"/>
      </w:pPr>
    </w:p>
    <w:p w14:paraId="4416FAF5" w14:textId="77777777" w:rsidR="00314046" w:rsidRDefault="00314046" w:rsidP="00314046"/>
    <w:p w14:paraId="48EBB87F" w14:textId="77777777" w:rsidR="00314046" w:rsidRDefault="00314046" w:rsidP="00314046"/>
    <w:p w14:paraId="16411D87" w14:textId="77777777" w:rsidR="00314046" w:rsidRDefault="00314046" w:rsidP="00314046"/>
    <w:p w14:paraId="74FE3523" w14:textId="77777777" w:rsidR="00314046" w:rsidRDefault="00314046" w:rsidP="00314046"/>
    <w:p w14:paraId="6C0889C7" w14:textId="77777777" w:rsidR="00314046" w:rsidRDefault="00314046" w:rsidP="00314046"/>
    <w:p w14:paraId="1B31A848" w14:textId="77777777" w:rsidR="00314046" w:rsidRDefault="00314046" w:rsidP="00314046"/>
    <w:p w14:paraId="0E28171C" w14:textId="77777777" w:rsidR="00314046" w:rsidRDefault="00314046" w:rsidP="00314046"/>
    <w:p w14:paraId="1E431EE1" w14:textId="77777777" w:rsidR="00314046" w:rsidRDefault="00314046" w:rsidP="00314046"/>
    <w:p w14:paraId="2909EFEC" w14:textId="77777777" w:rsidR="00314046" w:rsidRDefault="00314046" w:rsidP="00314046"/>
    <w:p w14:paraId="661DAF7B" w14:textId="77777777" w:rsidR="00314046" w:rsidRDefault="00314046" w:rsidP="00314046"/>
    <w:p w14:paraId="037E4B82" w14:textId="77777777" w:rsidR="005577F9" w:rsidRDefault="005577F9" w:rsidP="00314046"/>
    <w:p w14:paraId="5774D5A0" w14:textId="77777777" w:rsidR="00314046" w:rsidRDefault="00314046" w:rsidP="00314046"/>
    <w:p w14:paraId="6A5F9D71" w14:textId="77777777" w:rsidR="00314046" w:rsidRDefault="00314046" w:rsidP="00314046"/>
    <w:p w14:paraId="07C60746" w14:textId="77777777" w:rsidR="00314046" w:rsidRDefault="00314046" w:rsidP="00314046"/>
    <w:p w14:paraId="2DFDF0AB" w14:textId="77777777" w:rsidR="00314046" w:rsidRPr="00314046" w:rsidRDefault="00314046" w:rsidP="00314046"/>
    <w:p w14:paraId="0C8E7166" w14:textId="43EDE7FF" w:rsidR="00615C3E" w:rsidRDefault="00615C3E" w:rsidP="00615C3E">
      <w:pPr>
        <w:pStyle w:val="Heading2"/>
      </w:pPr>
      <w:bookmarkStart w:id="0" w:name="_Toc231901610"/>
      <w:r>
        <w:lastRenderedPageBreak/>
        <w:t>Introduction</w:t>
      </w:r>
      <w:bookmarkEnd w:id="0"/>
    </w:p>
    <w:p w14:paraId="31B8C997" w14:textId="77777777" w:rsidR="000B075D" w:rsidRDefault="000B075D">
      <w:pPr>
        <w:rPr>
          <w:lang w:eastAsia="en-GB"/>
        </w:rPr>
      </w:pPr>
      <w:r>
        <w:rPr>
          <w:sz w:val="22"/>
          <w:szCs w:val="22"/>
        </w:rPr>
        <w:t>This report will build on the previous proposed design for the multi-storey commercial hotel development located in the SA2 area of Swansea. The report will discuss the proposed building design and buildability at the location and assess potential sustainable design elements for the building.</w:t>
      </w:r>
    </w:p>
    <w:p w14:paraId="4066177E" w14:textId="2277E68B" w:rsidR="00B16196" w:rsidRDefault="00B16196" w:rsidP="00B16196">
      <w:pPr>
        <w:pStyle w:val="Heading2"/>
      </w:pPr>
      <w:bookmarkStart w:id="1" w:name="_Toc231901611"/>
      <w:r>
        <w:t>The proposal specification</w:t>
      </w:r>
      <w:bookmarkEnd w:id="1"/>
    </w:p>
    <w:p w14:paraId="688DFC7F" w14:textId="77777777" w:rsidR="000B075D" w:rsidRDefault="000B075D">
      <w:pPr>
        <w:rPr>
          <w:lang w:eastAsia="en-GB"/>
        </w:rPr>
      </w:pPr>
      <w:r>
        <w:rPr>
          <w:sz w:val="22"/>
          <w:szCs w:val="22"/>
        </w:rPr>
        <w:t>The building report consists of an above-ground multi-storey design proposal, with material and construction choices suggested based upon the site conditions, structural requirements, and sustainability objectives.</w:t>
      </w:r>
    </w:p>
    <w:p w14:paraId="45F00F49" w14:textId="77777777" w:rsidR="000B075D" w:rsidRDefault="000B075D">
      <w:pPr>
        <w:rPr>
          <w:lang w:eastAsia="en-GB"/>
        </w:rPr>
      </w:pPr>
      <w:r>
        <w:rPr>
          <w:sz w:val="22"/>
          <w:szCs w:val="22"/>
        </w:rPr>
        <w:t>The substructure proposal is in response to the local ground conditions, which comprise sand, clay, and gravel deposits. The proposal recommends the use of deep piled foundations, specifically recycled displacement piles, to provide adequate load-bearing capacity, minimise the risk of settlement, and remain environmentally conscious.</w:t>
      </w:r>
    </w:p>
    <w:p w14:paraId="587B5E28" w14:textId="77777777" w:rsidR="004B4E35" w:rsidRPr="00465B08" w:rsidRDefault="004B4E35" w:rsidP="00F617BE">
      <w:pPr>
        <w:rPr>
          <w:sz w:val="22"/>
          <w:szCs w:val="22"/>
        </w:rPr>
      </w:pPr>
      <w:r w:rsidRPr="00465B08">
        <w:rPr>
          <w:sz w:val="22"/>
          <w:szCs w:val="22"/>
        </w:rPr>
        <w:t xml:space="preserve">For the superstructure, a skeleton frame system combining cross-laminated timber (CLT) with reinforced precast concrete at ground level and elements, such as the stairwells, is proposed to achieve structural strength, fire resistance, construction efficiency, and reduced embodied carbon. </w:t>
      </w:r>
    </w:p>
    <w:p w14:paraId="5FB6C6DF" w14:textId="77777777" w:rsidR="004B6565" w:rsidRPr="00465B08" w:rsidRDefault="00F617BE" w:rsidP="00F617BE">
      <w:pPr>
        <w:rPr>
          <w:sz w:val="22"/>
          <w:szCs w:val="22"/>
        </w:rPr>
      </w:pPr>
      <w:r w:rsidRPr="00465B08">
        <w:rPr>
          <w:sz w:val="22"/>
          <w:szCs w:val="22"/>
        </w:rPr>
        <w:t xml:space="preserve">The external envelope is intended to incorporate a combination of non-load-bearing cladding and glazed curtain walling, enabling improved thermal performance, natural daylighting, and an enhanced architectural appearance. </w:t>
      </w:r>
    </w:p>
    <w:p w14:paraId="6C81C0D8" w14:textId="77777777" w:rsidR="004B4E35" w:rsidRPr="00465B08" w:rsidRDefault="004B4E35" w:rsidP="00F617BE">
      <w:pPr>
        <w:rPr>
          <w:sz w:val="22"/>
          <w:szCs w:val="22"/>
        </w:rPr>
      </w:pPr>
      <w:r w:rsidRPr="00465B08">
        <w:rPr>
          <w:sz w:val="22"/>
          <w:szCs w:val="22"/>
        </w:rPr>
        <w:t>Overall, the proposal utilises construction techniques that meet the demands of a high use building and is environmentally responsible and aligned with the vernacular aesthetic demands of the local environment.</w:t>
      </w:r>
    </w:p>
    <w:p w14:paraId="4F6F466F" w14:textId="58F5DBA1" w:rsidR="00B16196" w:rsidRDefault="00F42F58" w:rsidP="00B16196">
      <w:pPr>
        <w:pStyle w:val="Heading2"/>
      </w:pPr>
      <w:bookmarkStart w:id="2" w:name="_Toc231901612"/>
      <w:r>
        <w:t>Environmental impact</w:t>
      </w:r>
      <w:bookmarkEnd w:id="2"/>
    </w:p>
    <w:p w14:paraId="6C373C09" w14:textId="77777777" w:rsidR="000B075D" w:rsidRDefault="000B075D">
      <w:pPr>
        <w:rPr>
          <w:lang w:eastAsia="en-GB"/>
        </w:rPr>
      </w:pPr>
      <w:r>
        <w:rPr>
          <w:sz w:val="22"/>
          <w:szCs w:val="22"/>
        </w:rPr>
        <w:t>The proposed development has tried to minimise the impact on the environment by using recycled materials, such as recycled displacement piles, and by opting to use virgin materials like cross-laminated timber (CLT) for large portions of the superstructure in lieu of traditional concrete. The proposed building envelope features glazed curtain walling and timber cladding, with the purpose of maximising light into the building by having the largest glazed elements on the south- and westerly-facing sides of the building. This method of orientation also has an added benefit, given the coastal location, with the sea view being on the same aspect as the glazing. Figure 1 below shows a representation of the proposed building.</w:t>
      </w:r>
    </w:p>
    <w:p w14:paraId="0B948360" w14:textId="77777777" w:rsidR="00985BD6" w:rsidRPr="00465B08" w:rsidRDefault="00985BD6" w:rsidP="00F42F58">
      <w:pPr>
        <w:rPr>
          <w:sz w:val="22"/>
          <w:szCs w:val="22"/>
        </w:rPr>
      </w:pPr>
    </w:p>
    <w:p w14:paraId="7341FEF5" w14:textId="77777777" w:rsidR="00985BD6" w:rsidRPr="00465B08" w:rsidRDefault="00985BD6" w:rsidP="00F42F58">
      <w:pPr>
        <w:rPr>
          <w:sz w:val="22"/>
          <w:szCs w:val="22"/>
        </w:rPr>
      </w:pPr>
    </w:p>
    <w:p w14:paraId="5B2A41E6" w14:textId="7A546D5B" w:rsidR="00974E58" w:rsidRPr="00465B08" w:rsidRDefault="00974E58" w:rsidP="00974E58">
      <w:pPr>
        <w:jc w:val="center"/>
        <w:rPr>
          <w:sz w:val="22"/>
          <w:szCs w:val="22"/>
        </w:rPr>
      </w:pPr>
      <w:r w:rsidRPr="00465B08">
        <w:rPr>
          <w:noProof/>
          <w:sz w:val="22"/>
          <w:szCs w:val="22"/>
        </w:rPr>
        <w:lastRenderedPageBreak/>
        <w:drawing>
          <wp:inline distT="0" distB="0" distL="0" distR="0" wp14:anchorId="0CE8D46E" wp14:editId="13C25051">
            <wp:extent cx="4900539" cy="3266846"/>
            <wp:effectExtent l="76200" t="76200" r="128905" b="124460"/>
            <wp:docPr id="14020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28605" cy="3285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22191E" w14:textId="77777777" w:rsidR="000B075D" w:rsidRDefault="000B075D">
      <w:pPr>
        <w:jc w:val="center"/>
        <w:rPr>
          <w:lang w:eastAsia="en-GB"/>
        </w:rPr>
      </w:pPr>
      <w:r>
        <w:rPr>
          <w:sz w:val="22"/>
          <w:szCs w:val="22"/>
        </w:rPr>
        <w:t>Figure 1. Proposed development orientation and elements (Goodrum, 2026a).</w:t>
      </w:r>
    </w:p>
    <w:p w14:paraId="5A201CB9" w14:textId="112D3995" w:rsidR="00084CE9" w:rsidRPr="00465B08" w:rsidRDefault="00084CE9" w:rsidP="00974E58">
      <w:pPr>
        <w:jc w:val="center"/>
        <w:rPr>
          <w:sz w:val="22"/>
          <w:szCs w:val="22"/>
        </w:rPr>
      </w:pPr>
    </w:p>
    <w:p w14:paraId="01F2C629" w14:textId="77777777" w:rsidR="000B075D" w:rsidRDefault="000B075D">
      <w:pPr>
        <w:rPr>
          <w:lang w:eastAsia="en-GB"/>
        </w:rPr>
      </w:pPr>
      <w:r>
        <w:rPr>
          <w:sz w:val="22"/>
          <w:szCs w:val="22"/>
        </w:rPr>
        <w:t>Figure 1 above shows that the design of the building is not complex in terms of building form, being cuboid in appearance. Although this is less visually appealing than a complex structure, the resulting design has less surface area and is a better-performing building that is also simple to construct, resulting in a shorter construction phase and less embodied carbon (Passivhaus Trust, 2020). The appearance of the building is not out of keeping with the locality, with the nearest buildings of significance being Singleton Hospital and Swansea University, comprising a mix of mainly modern and brutalist architecture (Swansea Bay University Health Board, no date).</w:t>
      </w:r>
    </w:p>
    <w:p w14:paraId="3B067297" w14:textId="64C2F584" w:rsidR="00820D03" w:rsidRPr="00465B08" w:rsidRDefault="00820D03" w:rsidP="00820D03">
      <w:pPr>
        <w:jc w:val="center"/>
        <w:rPr>
          <w:sz w:val="22"/>
          <w:szCs w:val="22"/>
        </w:rPr>
      </w:pPr>
      <w:r w:rsidRPr="00465B08">
        <w:rPr>
          <w:noProof/>
          <w:sz w:val="22"/>
          <w:szCs w:val="22"/>
        </w:rPr>
        <w:drawing>
          <wp:inline distT="0" distB="0" distL="0" distR="0" wp14:anchorId="2651C795" wp14:editId="31EF6D63">
            <wp:extent cx="5333700" cy="2228088"/>
            <wp:effectExtent l="76200" t="76200" r="133985" b="134620"/>
            <wp:docPr id="1769745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45780" name=""/>
                    <pic:cNvPicPr/>
                  </pic:nvPicPr>
                  <pic:blipFill>
                    <a:blip r:embed="rId9"/>
                    <a:stretch>
                      <a:fillRect/>
                    </a:stretch>
                  </pic:blipFill>
                  <pic:spPr>
                    <a:xfrm>
                      <a:off x="0" y="0"/>
                      <a:ext cx="5348947" cy="22344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1D0A4F" w14:textId="77777777" w:rsidR="00314046" w:rsidRDefault="00314046">
      <w:pPr>
        <w:jc w:val="center"/>
        <w:rPr>
          <w:lang w:eastAsia="en-GB"/>
        </w:rPr>
      </w:pPr>
      <w:r>
        <w:rPr>
          <w:sz w:val="22"/>
          <w:szCs w:val="22"/>
        </w:rPr>
        <w:t>Figure 2. Proposal location and local architecture (Swansea Bay University Health Board, no date).</w:t>
      </w:r>
    </w:p>
    <w:p w14:paraId="10F5A104" w14:textId="77777777" w:rsidR="00314046" w:rsidRDefault="00314046">
      <w:pPr>
        <w:rPr>
          <w:lang w:eastAsia="en-GB"/>
        </w:rPr>
      </w:pPr>
      <w:r>
        <w:rPr>
          <w:sz w:val="22"/>
          <w:szCs w:val="22"/>
        </w:rPr>
        <w:lastRenderedPageBreak/>
        <w:t>This simple building form with a framed structure will also allow greater flexibility of occupancy and use, with a simple design using framed structures and sectioned spaces being easier to convert than complex, highly individualised forms (</w:t>
      </w:r>
      <w:proofErr w:type="spellStart"/>
      <w:r>
        <w:rPr>
          <w:sz w:val="22"/>
          <w:szCs w:val="22"/>
        </w:rPr>
        <w:t>Lüley</w:t>
      </w:r>
      <w:proofErr w:type="spellEnd"/>
      <w:r>
        <w:rPr>
          <w:sz w:val="22"/>
          <w:szCs w:val="22"/>
        </w:rPr>
        <w:t>, 2023). The hotel proposal could easily be converted into residential or commercial spaces. This adaptability approach can reduce the proposal’s environmental impact by extending the building’s operational life, reducing demolition waste, and lowering the amount of new construction required, in turn reducing the amount of carbon in construction. However, this adaptability may require greater upfront design and material input than traditional construction (ISO, 2020).</w:t>
      </w:r>
    </w:p>
    <w:p w14:paraId="22B01BFF" w14:textId="77777777" w:rsidR="000B075D" w:rsidRDefault="000B075D">
      <w:pPr>
        <w:rPr>
          <w:lang w:eastAsia="en-GB"/>
        </w:rPr>
      </w:pPr>
      <w:r>
        <w:rPr>
          <w:sz w:val="22"/>
          <w:szCs w:val="22"/>
        </w:rPr>
        <w:t>Using the building orientation to maximise the amount of daylight let into the building through the curtain walling and cladding elements, the building can reduce the amount of power consumed in the operational phase of the building’s lifecycle. British Standards Institution (2022) recommends that daylight is a critical design consideration for buildings.</w:t>
      </w:r>
    </w:p>
    <w:p w14:paraId="2EB9FCC4" w14:textId="77777777" w:rsidR="000B075D" w:rsidRDefault="000B075D">
      <w:pPr>
        <w:rPr>
          <w:lang w:eastAsia="en-GB"/>
        </w:rPr>
      </w:pPr>
      <w:r>
        <w:rPr>
          <w:sz w:val="22"/>
          <w:szCs w:val="22"/>
        </w:rPr>
        <w:t>The proposed design also looks to utilise the orientation and glazing to reduce the heating demand of the building by using solar gains as a passive design strategy, although using glazing on the building needs careful design consideration to prevent overheating and cooling of the building interior. Figures 2 and 3 below show how using sunshades above the glazing can help mitigate against thermal overheating in the summer and not prevent solar gains in the winter by not obscuring the low sun. Combining this with designing the glazing to be orientated horizontally, which gives better performance in terms of heat loss and gains compared to vertical glazing, means the performance of the proposed building will be further enhanced.</w:t>
      </w:r>
    </w:p>
    <w:p w14:paraId="509B509E" w14:textId="32FE5502" w:rsidR="00B34EF9" w:rsidRPr="00465B08" w:rsidRDefault="00B34EF9" w:rsidP="00BC5750">
      <w:pPr>
        <w:jc w:val="center"/>
        <w:rPr>
          <w:sz w:val="22"/>
          <w:szCs w:val="22"/>
        </w:rPr>
      </w:pPr>
      <w:r w:rsidRPr="00465B08">
        <w:rPr>
          <w:noProof/>
          <w:sz w:val="22"/>
          <w:szCs w:val="22"/>
        </w:rPr>
        <w:drawing>
          <wp:inline distT="0" distB="0" distL="0" distR="0" wp14:anchorId="59123D29" wp14:editId="04C40E82">
            <wp:extent cx="2410674" cy="3647237"/>
            <wp:effectExtent l="76200" t="76200" r="142240" b="125095"/>
            <wp:docPr id="145397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76536" name=""/>
                    <pic:cNvPicPr/>
                  </pic:nvPicPr>
                  <pic:blipFill>
                    <a:blip r:embed="rId10"/>
                    <a:stretch>
                      <a:fillRect/>
                    </a:stretch>
                  </pic:blipFill>
                  <pic:spPr>
                    <a:xfrm>
                      <a:off x="0" y="0"/>
                      <a:ext cx="2432494" cy="36802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1BA651" w14:textId="77777777" w:rsidR="00314046" w:rsidRDefault="00314046">
      <w:pPr>
        <w:jc w:val="center"/>
        <w:rPr>
          <w:lang w:eastAsia="en-GB"/>
        </w:rPr>
      </w:pPr>
      <w:r>
        <w:rPr>
          <w:sz w:val="22"/>
          <w:szCs w:val="22"/>
        </w:rPr>
        <w:t>Figure 3. Solar shading of glazing (Passivhaus Trust, 2021a).</w:t>
      </w:r>
    </w:p>
    <w:p w14:paraId="6FD3713A" w14:textId="62100F0F" w:rsidR="00AA0602" w:rsidRPr="00465B08" w:rsidRDefault="00BC5750" w:rsidP="00061181">
      <w:pPr>
        <w:jc w:val="center"/>
        <w:rPr>
          <w:sz w:val="22"/>
          <w:szCs w:val="22"/>
        </w:rPr>
      </w:pPr>
      <w:r w:rsidRPr="00465B08">
        <w:rPr>
          <w:noProof/>
          <w:sz w:val="22"/>
          <w:szCs w:val="22"/>
        </w:rPr>
        <w:lastRenderedPageBreak/>
        <w:drawing>
          <wp:inline distT="0" distB="0" distL="0" distR="0" wp14:anchorId="1D1E8A6B" wp14:editId="037B6C09">
            <wp:extent cx="5005549" cy="2220772"/>
            <wp:effectExtent l="76200" t="76200" r="138430" b="141605"/>
            <wp:docPr id="103204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42039" name=""/>
                    <pic:cNvPicPr/>
                  </pic:nvPicPr>
                  <pic:blipFill>
                    <a:blip r:embed="rId11"/>
                    <a:stretch>
                      <a:fillRect/>
                    </a:stretch>
                  </pic:blipFill>
                  <pic:spPr>
                    <a:xfrm>
                      <a:off x="0" y="0"/>
                      <a:ext cx="5097688" cy="226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635A5E" w14:textId="1C999699" w:rsidR="00600FF2" w:rsidRPr="00465B08" w:rsidRDefault="00BC5750" w:rsidP="00600FF2">
      <w:pPr>
        <w:jc w:val="center"/>
        <w:rPr>
          <w:sz w:val="22"/>
          <w:szCs w:val="22"/>
        </w:rPr>
      </w:pPr>
      <w:r w:rsidRPr="00465B08">
        <w:rPr>
          <w:sz w:val="22"/>
          <w:szCs w:val="22"/>
        </w:rPr>
        <w:t xml:space="preserve">Figure 3. </w:t>
      </w:r>
      <w:r w:rsidR="00B9590E" w:rsidRPr="00465B08">
        <w:rPr>
          <w:sz w:val="22"/>
          <w:szCs w:val="22"/>
        </w:rPr>
        <w:t>Glazing orientation for heat loss and gain perf</w:t>
      </w:r>
      <w:r w:rsidR="009C0A80" w:rsidRPr="00465B08">
        <w:rPr>
          <w:sz w:val="22"/>
          <w:szCs w:val="22"/>
        </w:rPr>
        <w:t>ormance (Passivhaus Trust, 2021b).</w:t>
      </w:r>
    </w:p>
    <w:p w14:paraId="6396FEC6" w14:textId="77777777" w:rsidR="00314046" w:rsidRDefault="00314046">
      <w:pPr>
        <w:rPr>
          <w:lang w:eastAsia="en-GB"/>
        </w:rPr>
      </w:pPr>
      <w:r>
        <w:rPr>
          <w:sz w:val="22"/>
          <w:szCs w:val="22"/>
        </w:rPr>
        <w:t>Although these proposed elements and design strategies will help reduce the building’s environmental impact and operational costs throughout its lifecycle, additional materials such as sunshades, and the resources required to install them, will increase the embodied carbon of the project. The use of virgin materials such as timber for the frame can offset some of these impacts by sequestering carbon within the structure, while also providing a large proportion of material that is readily recyclable and reducing the amount sent to landfill. A whole-life carbon assessment could therefore be undertaken for the development to assess the environmental impact of the various design elements at the design phase.</w:t>
      </w:r>
    </w:p>
    <w:p w14:paraId="65602EBE" w14:textId="77777777" w:rsidR="00314046" w:rsidRDefault="00314046">
      <w:pPr>
        <w:rPr>
          <w:lang w:eastAsia="en-GB"/>
        </w:rPr>
      </w:pPr>
      <w:r>
        <w:rPr>
          <w:sz w:val="22"/>
          <w:szCs w:val="22"/>
        </w:rPr>
        <w:t>Adopting a lifecycle carbon assessment (LCA) will analyse the impact of the building during construction, operation, and demolition, from cradle to grave, and can enable informed decisions on the proposed design choices (RICS, 2017).</w:t>
      </w:r>
    </w:p>
    <w:p w14:paraId="5F74F2CE" w14:textId="77777777" w:rsidR="000B075D" w:rsidRDefault="000B075D">
      <w:pPr>
        <w:rPr>
          <w:lang w:eastAsia="en-GB"/>
        </w:rPr>
      </w:pPr>
      <w:r>
        <w:rPr>
          <w:sz w:val="22"/>
          <w:szCs w:val="22"/>
        </w:rPr>
        <w:t>Another option, although not utilised in the proposal, to improve the building’s sustainability would be the addition of an internal or external green façade, also known as a living wall. An example of a living wall is shown in Figure 4 below, which shows how the Eden multi-storey commercial building in Manchester, UK, has created Europe’s largest living wall to enhance the sustainability and aesthetics of the project whilst creating a sustainable drainage system (SuDS) and promoting better outdoor connection with the users of the building in a built-up urban environment. The case study shows that, in order to integrate a green façade system into a building, there needs to be more input into the design phase to ensure the successful integration of the systems to install and keep the façade healthy, whilst also increasing the M&amp;E works during the construction and operational phases of the building to install and maintain the equipment, in turn increasing the facilities management time, resource, and cost to keep the systems operational and the plants maintained (Swansea Council, 2026; CIBSE Journal, 2024).</w:t>
      </w:r>
    </w:p>
    <w:p w14:paraId="22E666A1" w14:textId="0DED74B9" w:rsidR="004B53C2" w:rsidRPr="00465B08" w:rsidRDefault="004B53C2" w:rsidP="004B53C2">
      <w:pPr>
        <w:jc w:val="center"/>
        <w:rPr>
          <w:sz w:val="22"/>
          <w:szCs w:val="22"/>
        </w:rPr>
      </w:pPr>
      <w:r w:rsidRPr="00465B08">
        <w:rPr>
          <w:noProof/>
          <w:sz w:val="22"/>
          <w:szCs w:val="22"/>
        </w:rPr>
        <w:lastRenderedPageBreak/>
        <w:drawing>
          <wp:inline distT="0" distB="0" distL="0" distR="0" wp14:anchorId="69A3A7D5" wp14:editId="4561A136">
            <wp:extent cx="4719511" cy="3274161"/>
            <wp:effectExtent l="76200" t="76200" r="138430" b="135890"/>
            <wp:docPr id="1094800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00521" name=""/>
                    <pic:cNvPicPr/>
                  </pic:nvPicPr>
                  <pic:blipFill>
                    <a:blip r:embed="rId12"/>
                    <a:stretch>
                      <a:fillRect/>
                    </a:stretch>
                  </pic:blipFill>
                  <pic:spPr>
                    <a:xfrm>
                      <a:off x="0" y="0"/>
                      <a:ext cx="4733319" cy="3283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EFFB25" w14:textId="39DE24D5" w:rsidR="000150F0" w:rsidRPr="00465B08" w:rsidRDefault="004B53C2" w:rsidP="000150F0">
      <w:pPr>
        <w:jc w:val="center"/>
        <w:rPr>
          <w:sz w:val="22"/>
          <w:szCs w:val="22"/>
        </w:rPr>
      </w:pPr>
      <w:r w:rsidRPr="00465B08">
        <w:rPr>
          <w:sz w:val="22"/>
          <w:szCs w:val="22"/>
        </w:rPr>
        <w:t xml:space="preserve">Figure 4. </w:t>
      </w:r>
      <w:r w:rsidR="000150F0" w:rsidRPr="00465B08">
        <w:rPr>
          <w:sz w:val="22"/>
          <w:szCs w:val="22"/>
        </w:rPr>
        <w:t xml:space="preserve">Screenshot of </w:t>
      </w:r>
      <w:r w:rsidR="000150F0" w:rsidRPr="00465B08">
        <w:rPr>
          <w:i/>
          <w:iCs/>
          <w:sz w:val="22"/>
          <w:szCs w:val="22"/>
        </w:rPr>
        <w:t>Case study: Manchester’s Eden</w:t>
      </w:r>
      <w:r w:rsidR="006F24F6" w:rsidRPr="00465B08">
        <w:rPr>
          <w:i/>
          <w:iCs/>
          <w:sz w:val="22"/>
          <w:szCs w:val="22"/>
        </w:rPr>
        <w:t>.</w:t>
      </w:r>
    </w:p>
    <w:p w14:paraId="15F0590B" w14:textId="77777777" w:rsidR="00314046" w:rsidRDefault="00314046">
      <w:pPr>
        <w:rPr>
          <w:lang w:eastAsia="en-GB"/>
        </w:rPr>
      </w:pPr>
      <w:r>
        <w:rPr>
          <w:sz w:val="22"/>
          <w:szCs w:val="22"/>
        </w:rPr>
        <w:t>The proposed building has not employed the use of a green façade and has instead focused on the other sustainability features mentioned for several reasons. The additional costs previously mentioned during the design, construction, and operational phases would reduce the return on investment and add to the already high facilities management costs associated with a high-use commercial building such as a hotel. The coastal location of the building can also dramatically affect plants due to the exposed, harsh conditions, and the installation of non-coastal species would make it difficult to maintain a healthy living wall. The other sustainable design features of the building can offset the omission of a green façade system.</w:t>
      </w:r>
    </w:p>
    <w:p w14:paraId="7719A990" w14:textId="77777777" w:rsidR="000B075D" w:rsidRDefault="000B075D">
      <w:pPr>
        <w:rPr>
          <w:lang w:eastAsia="en-GB"/>
        </w:rPr>
      </w:pPr>
      <w:r>
        <w:rPr>
          <w:sz w:val="22"/>
          <w:szCs w:val="22"/>
        </w:rPr>
        <w:t>There is a legal requirement within Wales, under Schedule 3 of the Flood and Water Management Act 2010, for commercial developments and any development greater than 100 m² to utilise a SuDS system to manage rainwater runoff from the development, reduce the risk of flooding, and protect the environment. The design of this system must comply with the Welsh Government statutory standards for SuDS (UK Government, 2010; Welsh Government, 2018a).</w:t>
      </w:r>
    </w:p>
    <w:p w14:paraId="7D57F204" w14:textId="77777777" w:rsidR="00314046" w:rsidRDefault="00314046">
      <w:pPr>
        <w:rPr>
          <w:lang w:eastAsia="en-GB"/>
        </w:rPr>
      </w:pPr>
      <w:r>
        <w:rPr>
          <w:sz w:val="22"/>
          <w:szCs w:val="22"/>
        </w:rPr>
        <w:t xml:space="preserve">The use of a green façade in the development could have formed all or part of the SuDS system. Due to the omission of the green façade, other acceptable SuDS design strategies will need to be utilised, with calculations used to determine whether the proposed measures are suitable enough to comply with the technical guidance set out in CIRIA C753, </w:t>
      </w:r>
      <w:r>
        <w:rPr>
          <w:i/>
          <w:iCs/>
          <w:sz w:val="22"/>
          <w:szCs w:val="22"/>
        </w:rPr>
        <w:t>The SuDS Manual</w:t>
      </w:r>
      <w:r>
        <w:rPr>
          <w:sz w:val="22"/>
          <w:szCs w:val="22"/>
        </w:rPr>
        <w:t xml:space="preserve">, which is regarded as best practice for designing SuDS systems (Woods Ballard </w:t>
      </w:r>
      <w:r>
        <w:rPr>
          <w:i/>
          <w:iCs/>
          <w:sz w:val="22"/>
          <w:szCs w:val="22"/>
        </w:rPr>
        <w:t>et al.</w:t>
      </w:r>
      <w:r>
        <w:rPr>
          <w:sz w:val="22"/>
          <w:szCs w:val="22"/>
        </w:rPr>
        <w:t>, 2015a).</w:t>
      </w:r>
    </w:p>
    <w:p w14:paraId="65652754" w14:textId="77777777" w:rsidR="000B075D" w:rsidRDefault="000B075D">
      <w:pPr>
        <w:rPr>
          <w:lang w:eastAsia="en-GB"/>
        </w:rPr>
      </w:pPr>
      <w:r>
        <w:rPr>
          <w:sz w:val="22"/>
          <w:szCs w:val="22"/>
        </w:rPr>
        <w:t xml:space="preserve">Acceptable SuDS designs include permeable paving, swales, rain gardens, infiltration features, green roofs, and underground attenuation systems. Compliance with the previously listed documents and legislation should enable approval before construction of the system with the SuDS Approving Body (SAB) (Welsh Government, 2018b; Woods Ballard </w:t>
      </w:r>
      <w:r>
        <w:rPr>
          <w:i/>
          <w:iCs/>
          <w:sz w:val="22"/>
          <w:szCs w:val="22"/>
        </w:rPr>
        <w:t>et al.</w:t>
      </w:r>
      <w:r>
        <w:rPr>
          <w:sz w:val="22"/>
          <w:szCs w:val="22"/>
        </w:rPr>
        <w:t>, 2015b).</w:t>
      </w:r>
    </w:p>
    <w:p w14:paraId="4D6EB635" w14:textId="77777777" w:rsidR="00314046" w:rsidRDefault="00314046">
      <w:pPr>
        <w:rPr>
          <w:lang w:eastAsia="en-GB"/>
        </w:rPr>
      </w:pPr>
      <w:r>
        <w:rPr>
          <w:sz w:val="22"/>
          <w:szCs w:val="22"/>
        </w:rPr>
        <w:lastRenderedPageBreak/>
        <w:t>The proposal intends to use a combination of strategies to first minimise the runoff created by the development and reduce the amount of storage required, and second to comply with the regulations by storing and slowly releasing the runoff generated by the development.</w:t>
      </w:r>
    </w:p>
    <w:p w14:paraId="68D05805" w14:textId="77777777" w:rsidR="00314046" w:rsidRDefault="00314046">
      <w:pPr>
        <w:rPr>
          <w:lang w:eastAsia="en-GB"/>
        </w:rPr>
      </w:pPr>
      <w:r>
        <w:rPr>
          <w:sz w:val="22"/>
          <w:szCs w:val="22"/>
        </w:rPr>
        <w:t>The use of permeable asphalt and paving on external hardstanding areas allows rainwater to infiltrate through the surface, reducing runoff rates and making use of the parking areas required for hotel guests.</w:t>
      </w:r>
    </w:p>
    <w:p w14:paraId="324D0002" w14:textId="77777777" w:rsidR="00314046" w:rsidRDefault="00314046">
      <w:pPr>
        <w:rPr>
          <w:lang w:eastAsia="en-GB"/>
        </w:rPr>
      </w:pPr>
      <w:r>
        <w:rPr>
          <w:color w:val="000000"/>
          <w:sz w:val="22"/>
          <w:szCs w:val="22"/>
        </w:rPr>
        <w:t>Shallow grassed swales provide a means of storing and slowing runoff across the site, while leaving areas of grassland undeveloped to promote biodiversity. The development is mainly flat, with a slight fall from north to south, with the lowest point being on the south side. Given this information and the elevated adjacent properties, the swales have been located on the south side on the basis that this is the lowest point and the natural collection point for runoff to flow towards, while also providing access to local drainage infrastructure if required.</w:t>
      </w:r>
    </w:p>
    <w:p w14:paraId="74B539F2" w14:textId="77777777" w:rsidR="00314046" w:rsidRDefault="00314046">
      <w:pPr>
        <w:rPr>
          <w:lang w:eastAsia="en-GB"/>
        </w:rPr>
      </w:pPr>
      <w:r>
        <w:rPr>
          <w:color w:val="000000"/>
          <w:sz w:val="22"/>
          <w:szCs w:val="22"/>
        </w:rPr>
        <w:t>Figure 5 below shows a cross-section of a swale that can be utilised in the SuDS system for the proposal, consisting of a purpose-made depression in the landscape designed to hold rainwater runoff and slowly release the water to alleviate flood risk (United Utilities, 2022a).</w:t>
      </w:r>
    </w:p>
    <w:p w14:paraId="0CAB27BC" w14:textId="2A48598D" w:rsidR="003B20E0" w:rsidRPr="00465B08" w:rsidRDefault="00337238" w:rsidP="003B20E0">
      <w:pPr>
        <w:jc w:val="center"/>
        <w:rPr>
          <w:color w:val="000000" w:themeColor="text1"/>
          <w:sz w:val="22"/>
          <w:szCs w:val="22"/>
        </w:rPr>
      </w:pPr>
      <w:r w:rsidRPr="00465B08">
        <w:rPr>
          <w:noProof/>
          <w:color w:val="000000" w:themeColor="text1"/>
          <w:sz w:val="22"/>
          <w:szCs w:val="22"/>
        </w:rPr>
        <w:drawing>
          <wp:inline distT="0" distB="0" distL="0" distR="0" wp14:anchorId="34A03277" wp14:editId="104F00FC">
            <wp:extent cx="5731510" cy="2843530"/>
            <wp:effectExtent l="76200" t="76200" r="135890" b="128270"/>
            <wp:docPr id="75698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82003" name=""/>
                    <pic:cNvPicPr/>
                  </pic:nvPicPr>
                  <pic:blipFill>
                    <a:blip r:embed="rId13"/>
                    <a:stretch>
                      <a:fillRect/>
                    </a:stretch>
                  </pic:blipFill>
                  <pic:spPr>
                    <a:xfrm>
                      <a:off x="0" y="0"/>
                      <a:ext cx="5731510" cy="2843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9D3030" w14:textId="75914A40" w:rsidR="003B20E0" w:rsidRPr="00465B08" w:rsidRDefault="003B20E0" w:rsidP="003B20E0">
      <w:pPr>
        <w:jc w:val="center"/>
        <w:rPr>
          <w:color w:val="000000" w:themeColor="text1"/>
          <w:sz w:val="22"/>
          <w:szCs w:val="22"/>
        </w:rPr>
      </w:pPr>
      <w:r w:rsidRPr="00465B08">
        <w:rPr>
          <w:color w:val="000000" w:themeColor="text1"/>
          <w:sz w:val="22"/>
          <w:szCs w:val="22"/>
        </w:rPr>
        <w:t>Figure 5. SuDS swale cross section.</w:t>
      </w:r>
    </w:p>
    <w:p w14:paraId="5AD531D4" w14:textId="77777777" w:rsidR="00314046" w:rsidRDefault="00314046">
      <w:pPr>
        <w:rPr>
          <w:lang w:eastAsia="en-GB"/>
        </w:rPr>
      </w:pPr>
      <w:r>
        <w:rPr>
          <w:color w:val="000000"/>
          <w:sz w:val="22"/>
          <w:szCs w:val="22"/>
        </w:rPr>
        <w:t>Appendix A shows a plan view of the site and the approximate locations of the SuDS components of the development listed above.</w:t>
      </w:r>
    </w:p>
    <w:p w14:paraId="1522C004" w14:textId="5E9D618E" w:rsidR="00281302" w:rsidRDefault="00281302">
      <w:pPr>
        <w:rPr>
          <w:lang w:eastAsia="en-GB"/>
        </w:rPr>
      </w:pPr>
      <w:r>
        <w:rPr>
          <w:sz w:val="22"/>
          <w:szCs w:val="22"/>
        </w:rPr>
        <w:t xml:space="preserve">The calculation below determines the swale size required for the SuDS proposal to store the runoff generated by the development. The site area is shown in Appendix B, with the permeable and impermeable surface areas shown in Appendices C to </w:t>
      </w:r>
      <w:r w:rsidR="00CA01BA">
        <w:rPr>
          <w:sz w:val="22"/>
          <w:szCs w:val="22"/>
        </w:rPr>
        <w:t>F</w:t>
      </w:r>
      <w:r>
        <w:rPr>
          <w:sz w:val="22"/>
          <w:szCs w:val="22"/>
        </w:rPr>
        <w:t xml:space="preserve">. The soil type is shown in Appendix </w:t>
      </w:r>
      <w:r w:rsidR="00CA01BA">
        <w:rPr>
          <w:sz w:val="22"/>
          <w:szCs w:val="22"/>
        </w:rPr>
        <w:t>G</w:t>
      </w:r>
      <w:r>
        <w:rPr>
          <w:sz w:val="22"/>
          <w:szCs w:val="22"/>
        </w:rPr>
        <w:t xml:space="preserve"> and, for the purpose of this calculation, has been taken as clay loam.</w:t>
      </w:r>
    </w:p>
    <w:p w14:paraId="4F195F79" w14:textId="77777777" w:rsidR="00281302" w:rsidRDefault="00281302" w:rsidP="00281302">
      <w:pPr>
        <w:pStyle w:val="Heading2"/>
        <w:rPr>
          <w:rFonts w:cstheme="minorBidi"/>
          <w:lang w:eastAsia="en-GB"/>
        </w:rPr>
      </w:pPr>
      <w:bookmarkStart w:id="3" w:name="_Toc231901613"/>
      <w:r>
        <w:rPr>
          <w:rFonts w:cstheme="minorBidi"/>
        </w:rPr>
        <w:t>Peak runoff calculation</w:t>
      </w:r>
      <w:bookmarkEnd w:id="3"/>
    </w:p>
    <w:p w14:paraId="7AF2D9B1" w14:textId="61E9C12B" w:rsidR="00BA0571" w:rsidRPr="00465B08" w:rsidRDefault="00BA0571" w:rsidP="00386EE3">
      <w:pPr>
        <w:rPr>
          <w:color w:val="000000" w:themeColor="text1"/>
          <w:sz w:val="22"/>
          <w:szCs w:val="22"/>
        </w:rPr>
      </w:pPr>
      <w:r w:rsidRPr="00465B08">
        <w:rPr>
          <w:color w:val="000000" w:themeColor="text1"/>
          <w:sz w:val="22"/>
          <w:szCs w:val="22"/>
        </w:rPr>
        <w:t>Swansea m5-60 = 17mm (HCE Ltd, 2022)</w:t>
      </w:r>
    </w:p>
    <w:p w14:paraId="2A1A88D5" w14:textId="6EAC55D3" w:rsidR="00ED0791" w:rsidRPr="00465B08" w:rsidRDefault="00ED0791" w:rsidP="00386EE3">
      <w:pPr>
        <w:rPr>
          <w:b/>
          <w:bCs/>
          <w:color w:val="156082" w:themeColor="accent1"/>
          <w:sz w:val="22"/>
          <w:szCs w:val="22"/>
        </w:rPr>
      </w:pPr>
      <w:r w:rsidRPr="00465B08">
        <w:rPr>
          <w:b/>
          <w:bCs/>
          <w:color w:val="156082" w:themeColor="accent1"/>
          <w:sz w:val="22"/>
          <w:szCs w:val="22"/>
        </w:rPr>
        <w:lastRenderedPageBreak/>
        <w:t xml:space="preserve">Development area </w:t>
      </w:r>
    </w:p>
    <w:p w14:paraId="01EC7A00" w14:textId="77777777" w:rsidR="00630463" w:rsidRPr="00465B08" w:rsidRDefault="00630463">
      <w:pPr>
        <w:rPr>
          <w:sz w:val="22"/>
          <w:szCs w:val="22"/>
          <w:lang w:eastAsia="en-GB"/>
        </w:rPr>
      </w:pPr>
      <w:r w:rsidRPr="00465B08">
        <w:rPr>
          <w:color w:val="000000"/>
          <w:sz w:val="22"/>
          <w:szCs w:val="22"/>
        </w:rPr>
        <w:t>Q = 2.78 × C × i × A</w:t>
      </w:r>
    </w:p>
    <w:p w14:paraId="40882734" w14:textId="77777777" w:rsidR="00630463" w:rsidRPr="00465B08" w:rsidRDefault="00630463">
      <w:pPr>
        <w:spacing w:after="0"/>
        <w:ind w:left="720"/>
        <w:rPr>
          <w:sz w:val="22"/>
          <w:szCs w:val="22"/>
          <w:lang w:eastAsia="en-GB"/>
        </w:rPr>
      </w:pPr>
      <w:r w:rsidRPr="00465B08">
        <w:rPr>
          <w:color w:val="000000"/>
          <w:sz w:val="22"/>
          <w:szCs w:val="22"/>
        </w:rPr>
        <w:t>Q = Peak runoff rate (l/s)</w:t>
      </w:r>
    </w:p>
    <w:p w14:paraId="265B8F52" w14:textId="77777777" w:rsidR="00630463" w:rsidRPr="00465B08" w:rsidRDefault="00630463">
      <w:pPr>
        <w:spacing w:after="0"/>
        <w:ind w:left="720"/>
        <w:rPr>
          <w:sz w:val="22"/>
          <w:szCs w:val="22"/>
          <w:lang w:eastAsia="en-GB"/>
        </w:rPr>
      </w:pPr>
      <w:r w:rsidRPr="00465B08">
        <w:rPr>
          <w:color w:val="000000"/>
          <w:sz w:val="22"/>
          <w:szCs w:val="22"/>
        </w:rPr>
        <w:t>C = Runoff coefficient (depends on land use)</w:t>
      </w:r>
    </w:p>
    <w:p w14:paraId="50AAF912" w14:textId="3DB1B9A0" w:rsidR="00273E9B" w:rsidRPr="00465B08" w:rsidRDefault="00273E9B" w:rsidP="000E654A">
      <w:pPr>
        <w:spacing w:after="0"/>
        <w:ind w:left="720"/>
        <w:rPr>
          <w:color w:val="000000" w:themeColor="text1"/>
          <w:sz w:val="22"/>
          <w:szCs w:val="22"/>
        </w:rPr>
      </w:pPr>
      <w:r w:rsidRPr="00465B08">
        <w:rPr>
          <w:color w:val="000000" w:themeColor="text1"/>
          <w:sz w:val="22"/>
          <w:szCs w:val="22"/>
        </w:rPr>
        <w:t>i = Rainfall intensity</w:t>
      </w:r>
      <w:r w:rsidR="00CE292F" w:rsidRPr="00465B08">
        <w:rPr>
          <w:color w:val="000000" w:themeColor="text1"/>
          <w:sz w:val="22"/>
          <w:szCs w:val="22"/>
        </w:rPr>
        <w:t xml:space="preserve"> (mm/h)</w:t>
      </w:r>
    </w:p>
    <w:p w14:paraId="1B968252" w14:textId="4477E237" w:rsidR="00CE292F" w:rsidRPr="00465B08" w:rsidRDefault="00CE292F" w:rsidP="000E654A">
      <w:pPr>
        <w:spacing w:after="0"/>
        <w:ind w:left="720"/>
        <w:rPr>
          <w:color w:val="000000" w:themeColor="text1"/>
          <w:sz w:val="22"/>
          <w:szCs w:val="22"/>
        </w:rPr>
      </w:pPr>
      <w:r w:rsidRPr="00465B08">
        <w:rPr>
          <w:color w:val="000000" w:themeColor="text1"/>
          <w:sz w:val="22"/>
          <w:szCs w:val="22"/>
        </w:rPr>
        <w:t>A = Catchment area in hectares</w:t>
      </w:r>
    </w:p>
    <w:p w14:paraId="0AA57EEF" w14:textId="77777777" w:rsidR="000377D9" w:rsidRPr="00465B08" w:rsidRDefault="000377D9" w:rsidP="000E654A">
      <w:pPr>
        <w:spacing w:after="0"/>
        <w:ind w:left="720"/>
        <w:rPr>
          <w:color w:val="000000" w:themeColor="text1"/>
          <w:sz w:val="22"/>
          <w:szCs w:val="22"/>
        </w:rPr>
      </w:pPr>
    </w:p>
    <w:p w14:paraId="3C405265" w14:textId="12B018BF" w:rsidR="000377D9" w:rsidRPr="00465B08" w:rsidRDefault="000377D9" w:rsidP="000377D9">
      <w:pPr>
        <w:spacing w:after="0"/>
        <w:rPr>
          <w:color w:val="000000" w:themeColor="text1"/>
          <w:sz w:val="22"/>
          <w:szCs w:val="22"/>
        </w:rPr>
      </w:pPr>
      <w:r w:rsidRPr="00465B08">
        <w:rPr>
          <w:color w:val="000000" w:themeColor="text1"/>
          <w:sz w:val="22"/>
          <w:szCs w:val="22"/>
        </w:rPr>
        <w:t>A coefficient of 0.2 for the permeable asphalt and paving has been used rather than the 0.9 used for impermeable asphalt and paving in line with guidance from the CIRIA manual.</w:t>
      </w:r>
    </w:p>
    <w:p w14:paraId="242D0250" w14:textId="77777777" w:rsidR="00C10357" w:rsidRDefault="00C10357" w:rsidP="000E654A">
      <w:pPr>
        <w:spacing w:after="0"/>
        <w:ind w:left="720"/>
        <w:rPr>
          <w:color w:val="000000" w:themeColor="text1"/>
        </w:rPr>
      </w:pPr>
    </w:p>
    <w:p w14:paraId="0F3813F4" w14:textId="77777777" w:rsidR="00281302" w:rsidRDefault="00281302">
      <w:pPr>
        <w:spacing w:after="0"/>
        <w:ind w:left="720"/>
        <w:rPr>
          <w:lang w:eastAsia="en-GB"/>
        </w:rPr>
      </w:pPr>
      <w:r>
        <w:rPr>
          <w:b/>
          <w:bCs/>
          <w:color w:val="156082"/>
          <w:sz w:val="22"/>
          <w:szCs w:val="22"/>
        </w:rPr>
        <w:t>Permeable asphalt area</w:t>
      </w:r>
    </w:p>
    <w:p w14:paraId="25CF96D4" w14:textId="77777777" w:rsidR="00C70C05" w:rsidRPr="00465B08" w:rsidRDefault="00C70C05" w:rsidP="000377D9">
      <w:pPr>
        <w:spacing w:after="0"/>
        <w:rPr>
          <w:color w:val="000000" w:themeColor="text1"/>
          <w:sz w:val="22"/>
          <w:szCs w:val="22"/>
        </w:rPr>
      </w:pPr>
    </w:p>
    <w:p w14:paraId="6DB2D4B8" w14:textId="77777777" w:rsidR="00630463" w:rsidRPr="00465B08" w:rsidRDefault="00630463">
      <w:pPr>
        <w:spacing w:after="0"/>
        <w:ind w:left="1440"/>
        <w:rPr>
          <w:sz w:val="22"/>
          <w:szCs w:val="22"/>
          <w:lang w:eastAsia="en-GB"/>
        </w:rPr>
      </w:pPr>
      <w:r w:rsidRPr="00465B08">
        <w:rPr>
          <w:color w:val="000000"/>
          <w:sz w:val="22"/>
          <w:szCs w:val="22"/>
        </w:rPr>
        <w:t xml:space="preserve">Q = 2.78 × 0.2 × 17 × 1.03 (Woods Ballard </w:t>
      </w:r>
      <w:r w:rsidRPr="00465B08">
        <w:rPr>
          <w:i/>
          <w:iCs/>
          <w:color w:val="000000"/>
          <w:sz w:val="22"/>
          <w:szCs w:val="22"/>
        </w:rPr>
        <w:t>et al.</w:t>
      </w:r>
      <w:r w:rsidRPr="00465B08">
        <w:rPr>
          <w:color w:val="000000"/>
          <w:sz w:val="22"/>
          <w:szCs w:val="22"/>
        </w:rPr>
        <w:t>, 2015c)</w:t>
      </w:r>
    </w:p>
    <w:p w14:paraId="18789359" w14:textId="77777777" w:rsidR="00630463" w:rsidRPr="00465B08" w:rsidRDefault="00630463">
      <w:pPr>
        <w:spacing w:after="0"/>
        <w:ind w:left="1440"/>
        <w:rPr>
          <w:sz w:val="22"/>
          <w:szCs w:val="22"/>
          <w:lang w:eastAsia="en-GB"/>
        </w:rPr>
      </w:pPr>
      <w:r w:rsidRPr="00465B08">
        <w:rPr>
          <w:color w:val="000000"/>
          <w:sz w:val="22"/>
          <w:szCs w:val="22"/>
        </w:rPr>
        <w:t>Q = 9.73 l/s</w:t>
      </w:r>
    </w:p>
    <w:p w14:paraId="1DB29EE9" w14:textId="77777777" w:rsidR="007458A6" w:rsidRPr="00465B08" w:rsidRDefault="007458A6" w:rsidP="002C3AB7">
      <w:pPr>
        <w:spacing w:after="0"/>
        <w:ind w:left="720"/>
        <w:rPr>
          <w:color w:val="000000" w:themeColor="text1"/>
          <w:sz w:val="22"/>
          <w:szCs w:val="22"/>
        </w:rPr>
      </w:pPr>
    </w:p>
    <w:p w14:paraId="202E79FE" w14:textId="21E7469F" w:rsidR="007458A6" w:rsidRPr="00465B08" w:rsidRDefault="00BA0571" w:rsidP="002C3AB7">
      <w:pPr>
        <w:spacing w:after="0"/>
        <w:ind w:left="720"/>
        <w:rPr>
          <w:b/>
          <w:bCs/>
          <w:color w:val="156082" w:themeColor="accent1"/>
          <w:sz w:val="22"/>
          <w:szCs w:val="22"/>
        </w:rPr>
      </w:pPr>
      <w:r w:rsidRPr="00465B08">
        <w:rPr>
          <w:b/>
          <w:bCs/>
          <w:color w:val="156082" w:themeColor="accent1"/>
          <w:sz w:val="22"/>
          <w:szCs w:val="22"/>
        </w:rPr>
        <w:t>Building</w:t>
      </w:r>
    </w:p>
    <w:p w14:paraId="73A65C95" w14:textId="4C834DDF" w:rsidR="00FD1446" w:rsidRPr="00465B08" w:rsidRDefault="00FD1446" w:rsidP="00FD1446">
      <w:pPr>
        <w:spacing w:after="0"/>
        <w:ind w:left="720"/>
        <w:rPr>
          <w:color w:val="000000" w:themeColor="text1"/>
          <w:sz w:val="22"/>
          <w:szCs w:val="22"/>
        </w:rPr>
      </w:pPr>
    </w:p>
    <w:p w14:paraId="2D9FD8EA" w14:textId="77777777" w:rsidR="00630463" w:rsidRPr="00465B08" w:rsidRDefault="00630463">
      <w:pPr>
        <w:spacing w:after="0"/>
        <w:ind w:left="1440"/>
        <w:rPr>
          <w:sz w:val="22"/>
          <w:szCs w:val="22"/>
          <w:lang w:eastAsia="en-GB"/>
        </w:rPr>
      </w:pPr>
      <w:r w:rsidRPr="00465B08">
        <w:rPr>
          <w:color w:val="000000"/>
          <w:sz w:val="22"/>
          <w:szCs w:val="22"/>
        </w:rPr>
        <w:t>Q = 2.78 × 0.9 × 17 × 0.49</w:t>
      </w:r>
    </w:p>
    <w:p w14:paraId="4E74F24D" w14:textId="77777777" w:rsidR="00630463" w:rsidRPr="00465B08" w:rsidRDefault="00630463">
      <w:pPr>
        <w:spacing w:after="0"/>
        <w:ind w:left="1440"/>
        <w:rPr>
          <w:sz w:val="22"/>
          <w:szCs w:val="22"/>
          <w:lang w:eastAsia="en-GB"/>
        </w:rPr>
      </w:pPr>
      <w:r w:rsidRPr="00465B08">
        <w:rPr>
          <w:color w:val="000000"/>
          <w:sz w:val="22"/>
          <w:szCs w:val="22"/>
        </w:rPr>
        <w:t>Q = 20.84 l/s</w:t>
      </w:r>
    </w:p>
    <w:p w14:paraId="4E6C4CB9" w14:textId="77777777" w:rsidR="00FD1446" w:rsidRPr="00465B08" w:rsidRDefault="00FD1446" w:rsidP="00703CE9">
      <w:pPr>
        <w:spacing w:after="0"/>
        <w:rPr>
          <w:color w:val="000000" w:themeColor="text1"/>
          <w:sz w:val="22"/>
          <w:szCs w:val="22"/>
        </w:rPr>
      </w:pPr>
    </w:p>
    <w:p w14:paraId="42A77D5A" w14:textId="636114EB" w:rsidR="00BA0571" w:rsidRPr="00465B08" w:rsidRDefault="009D54C1" w:rsidP="002C3AB7">
      <w:pPr>
        <w:spacing w:after="0"/>
        <w:ind w:left="720"/>
        <w:rPr>
          <w:b/>
          <w:bCs/>
          <w:color w:val="156082" w:themeColor="accent1"/>
          <w:sz w:val="22"/>
          <w:szCs w:val="22"/>
        </w:rPr>
      </w:pPr>
      <w:r w:rsidRPr="00465B08">
        <w:rPr>
          <w:b/>
          <w:bCs/>
          <w:color w:val="156082" w:themeColor="accent1"/>
          <w:sz w:val="22"/>
          <w:szCs w:val="22"/>
        </w:rPr>
        <w:t xml:space="preserve">Permeable </w:t>
      </w:r>
      <w:r w:rsidR="005B799D" w:rsidRPr="00465B08">
        <w:rPr>
          <w:b/>
          <w:bCs/>
          <w:color w:val="156082" w:themeColor="accent1"/>
          <w:sz w:val="22"/>
          <w:szCs w:val="22"/>
        </w:rPr>
        <w:t>Paving</w:t>
      </w:r>
    </w:p>
    <w:p w14:paraId="5547B95D" w14:textId="77777777" w:rsidR="00FD1446" w:rsidRPr="00465B08" w:rsidRDefault="00FD1446" w:rsidP="002C3AB7">
      <w:pPr>
        <w:spacing w:after="0"/>
        <w:ind w:left="720"/>
        <w:rPr>
          <w:b/>
          <w:bCs/>
          <w:color w:val="000000" w:themeColor="text1"/>
          <w:sz w:val="22"/>
          <w:szCs w:val="22"/>
        </w:rPr>
      </w:pPr>
    </w:p>
    <w:p w14:paraId="77369321" w14:textId="77777777" w:rsidR="00630463" w:rsidRPr="00465B08" w:rsidRDefault="00630463">
      <w:pPr>
        <w:spacing w:after="0"/>
        <w:ind w:left="1440"/>
        <w:rPr>
          <w:sz w:val="22"/>
          <w:szCs w:val="22"/>
          <w:lang w:eastAsia="en-GB"/>
        </w:rPr>
      </w:pPr>
      <w:r w:rsidRPr="00465B08">
        <w:rPr>
          <w:color w:val="000000"/>
          <w:sz w:val="22"/>
          <w:szCs w:val="22"/>
        </w:rPr>
        <w:t>Q = 2.78 × 0.2 × 17 × 0.30</w:t>
      </w:r>
    </w:p>
    <w:p w14:paraId="11D91368" w14:textId="77777777" w:rsidR="00630463" w:rsidRPr="00465B08" w:rsidRDefault="00630463">
      <w:pPr>
        <w:spacing w:after="0"/>
        <w:ind w:left="1440"/>
        <w:rPr>
          <w:sz w:val="22"/>
          <w:szCs w:val="22"/>
          <w:lang w:eastAsia="en-GB"/>
        </w:rPr>
      </w:pPr>
      <w:r w:rsidRPr="00465B08">
        <w:rPr>
          <w:color w:val="000000"/>
          <w:sz w:val="22"/>
          <w:szCs w:val="22"/>
        </w:rPr>
        <w:t>Q = 2.84 l/s</w:t>
      </w:r>
    </w:p>
    <w:p w14:paraId="5EE5A2EC" w14:textId="77777777" w:rsidR="00FD1446" w:rsidRPr="00465B08" w:rsidRDefault="00FD1446" w:rsidP="002C3AB7">
      <w:pPr>
        <w:spacing w:after="0"/>
        <w:ind w:left="720"/>
        <w:rPr>
          <w:b/>
          <w:bCs/>
          <w:color w:val="000000" w:themeColor="text1"/>
          <w:sz w:val="22"/>
          <w:szCs w:val="22"/>
        </w:rPr>
      </w:pPr>
    </w:p>
    <w:p w14:paraId="285C326C" w14:textId="77777777" w:rsidR="005B799D" w:rsidRPr="00465B08" w:rsidRDefault="005B799D" w:rsidP="002C3AB7">
      <w:pPr>
        <w:spacing w:after="0"/>
        <w:ind w:left="720"/>
        <w:rPr>
          <w:color w:val="000000" w:themeColor="text1"/>
          <w:sz w:val="22"/>
          <w:szCs w:val="22"/>
        </w:rPr>
      </w:pPr>
    </w:p>
    <w:p w14:paraId="7D1E506C" w14:textId="5C90161C" w:rsidR="00F24CF4" w:rsidRPr="00465B08" w:rsidRDefault="001943B6" w:rsidP="002C3AB7">
      <w:pPr>
        <w:spacing w:after="0"/>
        <w:ind w:left="720"/>
        <w:rPr>
          <w:b/>
          <w:bCs/>
          <w:color w:val="156082" w:themeColor="accent1"/>
          <w:sz w:val="22"/>
          <w:szCs w:val="22"/>
        </w:rPr>
      </w:pPr>
      <w:r w:rsidRPr="00465B08">
        <w:rPr>
          <w:b/>
          <w:bCs/>
          <w:color w:val="156082" w:themeColor="accent1"/>
          <w:sz w:val="22"/>
          <w:szCs w:val="22"/>
        </w:rPr>
        <w:t>G</w:t>
      </w:r>
      <w:r w:rsidR="005B799D" w:rsidRPr="00465B08">
        <w:rPr>
          <w:b/>
          <w:bCs/>
          <w:color w:val="156082" w:themeColor="accent1"/>
          <w:sz w:val="22"/>
          <w:szCs w:val="22"/>
        </w:rPr>
        <w:t>rassland</w:t>
      </w:r>
    </w:p>
    <w:p w14:paraId="093B3D60" w14:textId="77777777" w:rsidR="00FD1446" w:rsidRPr="00465B08" w:rsidRDefault="00FD1446" w:rsidP="002C3AB7">
      <w:pPr>
        <w:spacing w:after="0"/>
        <w:ind w:left="720"/>
        <w:rPr>
          <w:b/>
          <w:bCs/>
          <w:color w:val="000000" w:themeColor="text1"/>
          <w:sz w:val="22"/>
          <w:szCs w:val="22"/>
        </w:rPr>
      </w:pPr>
    </w:p>
    <w:p w14:paraId="1ECD0B3A" w14:textId="77777777" w:rsidR="00630463" w:rsidRPr="00465B08" w:rsidRDefault="00630463">
      <w:pPr>
        <w:spacing w:after="0"/>
        <w:ind w:left="1440"/>
        <w:rPr>
          <w:sz w:val="22"/>
          <w:szCs w:val="22"/>
          <w:lang w:eastAsia="en-GB"/>
        </w:rPr>
      </w:pPr>
      <w:r w:rsidRPr="00465B08">
        <w:rPr>
          <w:color w:val="000000"/>
          <w:sz w:val="22"/>
          <w:szCs w:val="22"/>
        </w:rPr>
        <w:t>Q = 2.78 × 0.3 × 17 × 0.64</w:t>
      </w:r>
    </w:p>
    <w:p w14:paraId="1A004EFF" w14:textId="77777777" w:rsidR="00630463" w:rsidRPr="00465B08" w:rsidRDefault="00630463">
      <w:pPr>
        <w:spacing w:after="0"/>
        <w:ind w:left="1440"/>
        <w:rPr>
          <w:sz w:val="22"/>
          <w:szCs w:val="22"/>
          <w:lang w:eastAsia="en-GB"/>
        </w:rPr>
      </w:pPr>
      <w:r w:rsidRPr="00465B08">
        <w:rPr>
          <w:color w:val="000000"/>
          <w:sz w:val="22"/>
          <w:szCs w:val="22"/>
        </w:rPr>
        <w:t>Q = 9.08 l/s</w:t>
      </w:r>
    </w:p>
    <w:p w14:paraId="6FD78E42" w14:textId="77777777" w:rsidR="00430986" w:rsidRPr="00465B08" w:rsidRDefault="00430986" w:rsidP="003F1DCB">
      <w:pPr>
        <w:spacing w:after="0"/>
        <w:ind w:left="1440"/>
        <w:rPr>
          <w:color w:val="000000" w:themeColor="text1"/>
          <w:sz w:val="22"/>
          <w:szCs w:val="22"/>
        </w:rPr>
      </w:pPr>
    </w:p>
    <w:p w14:paraId="0AA1494A" w14:textId="43660E1D" w:rsidR="001943B6" w:rsidRPr="00465B08" w:rsidRDefault="00630463" w:rsidP="00E15A31">
      <w:pPr>
        <w:spacing w:after="0"/>
        <w:rPr>
          <w:b/>
          <w:bCs/>
          <w:color w:val="000000"/>
          <w:sz w:val="22"/>
          <w:szCs w:val="22"/>
        </w:rPr>
      </w:pPr>
      <w:r w:rsidRPr="00465B08">
        <w:rPr>
          <w:b/>
          <w:bCs/>
          <w:color w:val="000000"/>
          <w:sz w:val="22"/>
          <w:szCs w:val="22"/>
        </w:rPr>
        <w:t>Total</w:t>
      </w:r>
      <w:r w:rsidR="00465B08">
        <w:rPr>
          <w:b/>
          <w:bCs/>
          <w:color w:val="000000"/>
          <w:sz w:val="22"/>
          <w:szCs w:val="22"/>
        </w:rPr>
        <w:t xml:space="preserve"> development</w:t>
      </w:r>
      <w:r w:rsidRPr="00465B08">
        <w:rPr>
          <w:b/>
          <w:bCs/>
          <w:color w:val="000000"/>
          <w:sz w:val="22"/>
          <w:szCs w:val="22"/>
        </w:rPr>
        <w:t xml:space="preserve"> peak runoff = 42.49 l/s</w:t>
      </w:r>
    </w:p>
    <w:p w14:paraId="72D8E837" w14:textId="77777777" w:rsidR="00E15A31" w:rsidRPr="001943B6" w:rsidRDefault="00E15A31" w:rsidP="00E15A31">
      <w:pPr>
        <w:spacing w:after="0"/>
        <w:rPr>
          <w:lang w:eastAsia="en-GB"/>
        </w:rPr>
      </w:pPr>
    </w:p>
    <w:p w14:paraId="722EE92F" w14:textId="60824A23" w:rsidR="003A44EE" w:rsidRDefault="003A44EE" w:rsidP="00883434">
      <w:pPr>
        <w:pStyle w:val="Heading2"/>
        <w:rPr>
          <w:color w:val="156082" w:themeColor="accent1"/>
        </w:rPr>
      </w:pPr>
      <w:bookmarkStart w:id="4" w:name="_Toc231901614"/>
      <w:r w:rsidRPr="00E15A31">
        <w:rPr>
          <w:color w:val="156082" w:themeColor="accent1"/>
        </w:rPr>
        <w:t>Greenfield runoff rate</w:t>
      </w:r>
      <w:r w:rsidR="001943B6" w:rsidRPr="00E15A31">
        <w:rPr>
          <w:color w:val="156082" w:themeColor="accent1"/>
        </w:rPr>
        <w:t xml:space="preserve"> (</w:t>
      </w:r>
      <w:proofErr w:type="spellStart"/>
      <w:r w:rsidR="001943B6" w:rsidRPr="00E15A31">
        <w:rPr>
          <w:color w:val="156082" w:themeColor="accent1"/>
        </w:rPr>
        <w:t>Qbar</w:t>
      </w:r>
      <w:proofErr w:type="spellEnd"/>
      <w:r w:rsidR="001943B6" w:rsidRPr="00E15A31">
        <w:rPr>
          <w:color w:val="156082" w:themeColor="accent1"/>
        </w:rPr>
        <w:t>)</w:t>
      </w:r>
      <w:bookmarkEnd w:id="4"/>
    </w:p>
    <w:p w14:paraId="7E3CC5EC" w14:textId="77777777" w:rsidR="00E15A31" w:rsidRPr="00E15A31" w:rsidRDefault="00E15A31" w:rsidP="00E15A31"/>
    <w:p w14:paraId="5469627D" w14:textId="77777777" w:rsidR="007B6E5D" w:rsidRDefault="007B6E5D">
      <w:pPr>
        <w:spacing w:after="0"/>
        <w:rPr>
          <w:lang w:eastAsia="en-GB"/>
        </w:rPr>
      </w:pPr>
      <w:proofErr w:type="spellStart"/>
      <w:r>
        <w:rPr>
          <w:color w:val="000000"/>
        </w:rPr>
        <w:t>Qbar</w:t>
      </w:r>
      <w:proofErr w:type="spellEnd"/>
      <w:r>
        <w:rPr>
          <w:color w:val="000000"/>
        </w:rPr>
        <w:t xml:space="preserve"> = 0.00108 × Area</w:t>
      </w:r>
      <w:r>
        <w:rPr>
          <w:color w:val="000000"/>
          <w:vertAlign w:val="superscript"/>
        </w:rPr>
        <w:t>0.89</w:t>
      </w:r>
      <w:r>
        <w:rPr>
          <w:color w:val="000000"/>
        </w:rPr>
        <w:t xml:space="preserve"> × SAAR</w:t>
      </w:r>
      <w:r>
        <w:rPr>
          <w:color w:val="000000"/>
          <w:vertAlign w:val="superscript"/>
        </w:rPr>
        <w:t>1.17</w:t>
      </w:r>
      <w:r>
        <w:rPr>
          <w:color w:val="000000"/>
        </w:rPr>
        <w:t xml:space="preserve"> × SOIL</w:t>
      </w:r>
      <w:r>
        <w:rPr>
          <w:color w:val="000000"/>
          <w:vertAlign w:val="superscript"/>
        </w:rPr>
        <w:t>2.17</w:t>
      </w:r>
    </w:p>
    <w:p w14:paraId="78271B11" w14:textId="77777777" w:rsidR="008C500A" w:rsidRDefault="008C500A" w:rsidP="008C500A">
      <w:pPr>
        <w:spacing w:after="0"/>
      </w:pPr>
    </w:p>
    <w:p w14:paraId="60E8864A" w14:textId="77777777" w:rsidR="007B6E5D" w:rsidRDefault="007B6E5D">
      <w:pPr>
        <w:spacing w:after="0"/>
        <w:ind w:left="720"/>
        <w:rPr>
          <w:lang w:eastAsia="en-GB"/>
        </w:rPr>
      </w:pPr>
      <w:proofErr w:type="spellStart"/>
      <w:r>
        <w:rPr>
          <w:color w:val="000000"/>
        </w:rPr>
        <w:t>Qbar</w:t>
      </w:r>
      <w:proofErr w:type="spellEnd"/>
      <w:r>
        <w:rPr>
          <w:color w:val="000000"/>
        </w:rPr>
        <w:t xml:space="preserve"> = Mean annual flood (m³/s)</w:t>
      </w:r>
    </w:p>
    <w:p w14:paraId="6B779AC1" w14:textId="77777777" w:rsidR="007B6E5D" w:rsidRDefault="007B6E5D">
      <w:pPr>
        <w:spacing w:after="0"/>
        <w:ind w:left="720"/>
        <w:rPr>
          <w:lang w:eastAsia="en-GB"/>
        </w:rPr>
      </w:pPr>
      <w:r>
        <w:rPr>
          <w:color w:val="000000"/>
        </w:rPr>
        <w:t>Area = Catchment area (km²)</w:t>
      </w:r>
    </w:p>
    <w:p w14:paraId="306F0B82" w14:textId="77777777" w:rsidR="007B6E5D" w:rsidRDefault="007B6E5D">
      <w:pPr>
        <w:spacing w:after="0"/>
        <w:ind w:left="720"/>
        <w:rPr>
          <w:lang w:eastAsia="en-GB"/>
        </w:rPr>
      </w:pPr>
      <w:r>
        <w:rPr>
          <w:color w:val="000000"/>
        </w:rPr>
        <w:t>SAAR = Standard average annual rainfall for 1941–1970 (mm)</w:t>
      </w:r>
    </w:p>
    <w:p w14:paraId="4502BE2A" w14:textId="77777777" w:rsidR="007B6E5D" w:rsidRDefault="007B6E5D">
      <w:pPr>
        <w:spacing w:after="0"/>
        <w:ind w:left="720"/>
        <w:rPr>
          <w:lang w:eastAsia="en-GB"/>
        </w:rPr>
      </w:pPr>
      <w:r>
        <w:rPr>
          <w:color w:val="000000"/>
        </w:rPr>
        <w:t>SOIL = Soil index</w:t>
      </w:r>
    </w:p>
    <w:p w14:paraId="3873DA03" w14:textId="77777777" w:rsidR="00EC1C03" w:rsidRDefault="00EC1C03" w:rsidP="00EC1C03">
      <w:pPr>
        <w:spacing w:after="0"/>
        <w:ind w:left="720"/>
      </w:pPr>
    </w:p>
    <w:p w14:paraId="75FCF141" w14:textId="77777777" w:rsidR="007B6E5D" w:rsidRDefault="007B6E5D">
      <w:pPr>
        <w:spacing w:after="0"/>
        <w:rPr>
          <w:lang w:eastAsia="en-GB"/>
        </w:rPr>
      </w:pPr>
      <w:proofErr w:type="spellStart"/>
      <w:r>
        <w:rPr>
          <w:color w:val="000000"/>
        </w:rPr>
        <w:t>Qbar</w:t>
      </w:r>
      <w:proofErr w:type="spellEnd"/>
      <w:r>
        <w:rPr>
          <w:color w:val="000000"/>
        </w:rPr>
        <w:t xml:space="preserve"> = 0.00108 × 0.5</w:t>
      </w:r>
      <w:r>
        <w:rPr>
          <w:color w:val="000000"/>
          <w:vertAlign w:val="superscript"/>
        </w:rPr>
        <w:t>0.89</w:t>
      </w:r>
      <w:r>
        <w:rPr>
          <w:color w:val="000000"/>
        </w:rPr>
        <w:t xml:space="preserve"> × 1136</w:t>
      </w:r>
      <w:r>
        <w:rPr>
          <w:color w:val="000000"/>
          <w:vertAlign w:val="superscript"/>
        </w:rPr>
        <w:t>1.17</w:t>
      </w:r>
      <w:r>
        <w:rPr>
          <w:color w:val="000000"/>
        </w:rPr>
        <w:t xml:space="preserve"> × 0.45</w:t>
      </w:r>
      <w:r>
        <w:rPr>
          <w:color w:val="000000"/>
          <w:vertAlign w:val="superscript"/>
        </w:rPr>
        <w:t>2.17</w:t>
      </w:r>
      <w:r>
        <w:rPr>
          <w:color w:val="000000"/>
        </w:rPr>
        <w:t xml:space="preserve"> (UK Centre for Ecology &amp; Hydrology, no date; Marshall and Bayliss, 1994)</w:t>
      </w:r>
    </w:p>
    <w:p w14:paraId="53D8BF03" w14:textId="77777777" w:rsidR="007B6E5D" w:rsidRDefault="007B6E5D">
      <w:pPr>
        <w:spacing w:after="0"/>
        <w:rPr>
          <w:lang w:eastAsia="en-GB"/>
        </w:rPr>
      </w:pPr>
      <w:proofErr w:type="spellStart"/>
      <w:r>
        <w:rPr>
          <w:color w:val="000000"/>
        </w:rPr>
        <w:t>Qbar</w:t>
      </w:r>
      <w:proofErr w:type="spellEnd"/>
      <w:r>
        <w:rPr>
          <w:color w:val="000000"/>
        </w:rPr>
        <w:t xml:space="preserve"> = 0.189 m³/s (for 50 ha site)</w:t>
      </w:r>
    </w:p>
    <w:p w14:paraId="08CC2877" w14:textId="77777777" w:rsidR="007B6E5D" w:rsidRDefault="007B6E5D">
      <w:pPr>
        <w:spacing w:after="0"/>
        <w:rPr>
          <w:lang w:eastAsia="en-GB"/>
        </w:rPr>
      </w:pPr>
      <w:proofErr w:type="spellStart"/>
      <w:r>
        <w:rPr>
          <w:color w:val="000000"/>
        </w:rPr>
        <w:t>Qbar</w:t>
      </w:r>
      <w:proofErr w:type="spellEnd"/>
      <w:r>
        <w:rPr>
          <w:color w:val="000000"/>
        </w:rPr>
        <w:t xml:space="preserve"> = 189 ÷ 50 = 3.78 l/s/ha</w:t>
      </w:r>
    </w:p>
    <w:p w14:paraId="0D378992" w14:textId="77777777" w:rsidR="007B6E5D" w:rsidRDefault="007B6E5D">
      <w:pPr>
        <w:spacing w:after="0"/>
        <w:rPr>
          <w:lang w:eastAsia="en-GB"/>
        </w:rPr>
      </w:pPr>
      <w:proofErr w:type="spellStart"/>
      <w:r>
        <w:rPr>
          <w:color w:val="000000"/>
        </w:rPr>
        <w:t>Qbar</w:t>
      </w:r>
      <w:proofErr w:type="spellEnd"/>
      <w:r>
        <w:rPr>
          <w:color w:val="000000"/>
        </w:rPr>
        <w:t xml:space="preserve"> = 3.78 × 2.7 = 10.21 l/s</w:t>
      </w:r>
    </w:p>
    <w:p w14:paraId="35ACD5A2" w14:textId="77777777" w:rsidR="003A2814" w:rsidRDefault="003A2814" w:rsidP="00EC1C03">
      <w:pPr>
        <w:spacing w:after="0"/>
      </w:pPr>
    </w:p>
    <w:p w14:paraId="6C8AA544" w14:textId="7D3E0788" w:rsidR="007B6E5D" w:rsidRDefault="00D81726">
      <w:pPr>
        <w:spacing w:after="0"/>
        <w:rPr>
          <w:lang w:eastAsia="en-GB"/>
        </w:rPr>
      </w:pPr>
      <w:r>
        <w:rPr>
          <w:b/>
          <w:bCs/>
          <w:color w:val="000000"/>
        </w:rPr>
        <w:t xml:space="preserve">Total </w:t>
      </w:r>
      <w:r w:rsidR="007B6E5D">
        <w:rPr>
          <w:b/>
          <w:bCs/>
          <w:color w:val="000000"/>
        </w:rPr>
        <w:t>Greenfield runoff rate = 10.21 l/s</w:t>
      </w:r>
    </w:p>
    <w:p w14:paraId="2ADE3C5E" w14:textId="77777777" w:rsidR="001943B6" w:rsidRPr="00277E59" w:rsidRDefault="001943B6" w:rsidP="00386EE3">
      <w:pPr>
        <w:rPr>
          <w:b/>
          <w:bCs/>
          <w:color w:val="156082" w:themeColor="accent1"/>
        </w:rPr>
      </w:pPr>
    </w:p>
    <w:p w14:paraId="4C557459" w14:textId="683D7958" w:rsidR="00277E59" w:rsidRDefault="00277E59" w:rsidP="00883434">
      <w:pPr>
        <w:pStyle w:val="Heading2"/>
      </w:pPr>
      <w:bookmarkStart w:id="5" w:name="_Toc231901615"/>
      <w:r w:rsidRPr="00277E59">
        <w:t>Storage volume</w:t>
      </w:r>
      <w:bookmarkEnd w:id="5"/>
      <w:r w:rsidRPr="00277E59">
        <w:t xml:space="preserve"> </w:t>
      </w:r>
    </w:p>
    <w:p w14:paraId="353CAE23" w14:textId="77777777" w:rsidR="00281302" w:rsidRDefault="00281302">
      <w:pPr>
        <w:rPr>
          <w:lang w:eastAsia="en-GB"/>
        </w:rPr>
      </w:pPr>
      <w:r>
        <w:rPr>
          <w:color w:val="000000"/>
        </w:rPr>
        <w:t>Storage volume = (Inflow rate − Outflow rate) × Duration</w:t>
      </w:r>
    </w:p>
    <w:p w14:paraId="040D1CB3" w14:textId="77777777" w:rsidR="000E09C6" w:rsidRDefault="000E09C6">
      <w:pPr>
        <w:spacing w:after="0"/>
        <w:ind w:left="720"/>
        <w:rPr>
          <w:lang w:eastAsia="en-GB"/>
        </w:rPr>
      </w:pPr>
      <w:r>
        <w:rPr>
          <w:color w:val="000000"/>
        </w:rPr>
        <w:t>Inflow rate = Peak runoff (Q) (l/s)</w:t>
      </w:r>
    </w:p>
    <w:p w14:paraId="5E9C93B3" w14:textId="77777777" w:rsidR="000E09C6" w:rsidRDefault="000E09C6">
      <w:pPr>
        <w:spacing w:after="0"/>
        <w:ind w:left="720"/>
        <w:rPr>
          <w:lang w:eastAsia="en-GB"/>
        </w:rPr>
      </w:pPr>
      <w:r>
        <w:rPr>
          <w:color w:val="000000"/>
        </w:rPr>
        <w:t>Outflow rate = Greenfield runoff rate (</w:t>
      </w:r>
      <w:proofErr w:type="spellStart"/>
      <w:r>
        <w:rPr>
          <w:color w:val="000000"/>
        </w:rPr>
        <w:t>Qbar</w:t>
      </w:r>
      <w:proofErr w:type="spellEnd"/>
      <w:r>
        <w:rPr>
          <w:color w:val="000000"/>
        </w:rPr>
        <w:t>) (l/s)</w:t>
      </w:r>
    </w:p>
    <w:p w14:paraId="6692C655" w14:textId="77777777" w:rsidR="00281302" w:rsidRDefault="00281302">
      <w:pPr>
        <w:spacing w:after="0"/>
        <w:ind w:left="720"/>
        <w:rPr>
          <w:lang w:eastAsia="en-GB"/>
        </w:rPr>
      </w:pPr>
      <w:r>
        <w:rPr>
          <w:color w:val="000000"/>
        </w:rPr>
        <w:t>Duration = Storm duration (s)</w:t>
      </w:r>
    </w:p>
    <w:p w14:paraId="2A327A2E" w14:textId="77777777" w:rsidR="00253561" w:rsidRDefault="00253561" w:rsidP="00253561">
      <w:pPr>
        <w:spacing w:after="0"/>
        <w:ind w:left="720"/>
        <w:rPr>
          <w:color w:val="000000" w:themeColor="text1"/>
        </w:rPr>
      </w:pPr>
    </w:p>
    <w:p w14:paraId="0C94E168" w14:textId="77777777" w:rsidR="000E09C6" w:rsidRDefault="000E09C6">
      <w:pPr>
        <w:spacing w:after="0"/>
        <w:ind w:left="720"/>
        <w:rPr>
          <w:lang w:eastAsia="en-GB"/>
        </w:rPr>
      </w:pPr>
      <w:r>
        <w:rPr>
          <w:color w:val="000000"/>
        </w:rPr>
        <w:t>V = (42.49 – 10.21) × (60 × 60)</w:t>
      </w:r>
    </w:p>
    <w:p w14:paraId="0E8B4879" w14:textId="77777777" w:rsidR="000E09C6" w:rsidRDefault="000E09C6">
      <w:pPr>
        <w:spacing w:after="0"/>
        <w:ind w:left="720"/>
        <w:rPr>
          <w:lang w:eastAsia="en-GB"/>
        </w:rPr>
      </w:pPr>
      <w:r>
        <w:rPr>
          <w:color w:val="000000"/>
        </w:rPr>
        <w:t>V = 32.28 × 3600</w:t>
      </w:r>
    </w:p>
    <w:p w14:paraId="59B3689B" w14:textId="77777777" w:rsidR="000E09C6" w:rsidRDefault="000E09C6">
      <w:pPr>
        <w:spacing w:after="0"/>
        <w:ind w:left="720"/>
        <w:rPr>
          <w:lang w:eastAsia="en-GB"/>
        </w:rPr>
      </w:pPr>
      <w:r>
        <w:rPr>
          <w:color w:val="000000"/>
        </w:rPr>
        <w:t>V = 116,208 L</w:t>
      </w:r>
    </w:p>
    <w:p w14:paraId="06C18746" w14:textId="77777777" w:rsidR="000E09C6" w:rsidRDefault="000E09C6">
      <w:pPr>
        <w:spacing w:after="0"/>
        <w:ind w:left="720"/>
        <w:rPr>
          <w:lang w:eastAsia="en-GB"/>
        </w:rPr>
      </w:pPr>
      <w:r>
        <w:rPr>
          <w:color w:val="000000"/>
        </w:rPr>
        <w:t>V = 116,208 ÷ 1000</w:t>
      </w:r>
    </w:p>
    <w:p w14:paraId="3E498DBE" w14:textId="77777777" w:rsidR="000E09C6" w:rsidRDefault="000E09C6">
      <w:pPr>
        <w:spacing w:after="0"/>
        <w:ind w:left="720"/>
        <w:rPr>
          <w:lang w:eastAsia="en-GB"/>
        </w:rPr>
      </w:pPr>
      <w:r>
        <w:rPr>
          <w:color w:val="000000"/>
        </w:rPr>
        <w:t>V = 116.21 m³</w:t>
      </w:r>
    </w:p>
    <w:p w14:paraId="7B598F64" w14:textId="77777777" w:rsidR="006A668E" w:rsidRDefault="006A668E" w:rsidP="006A668E">
      <w:pPr>
        <w:spacing w:after="0"/>
        <w:ind w:left="720"/>
        <w:rPr>
          <w:color w:val="000000"/>
        </w:rPr>
      </w:pPr>
    </w:p>
    <w:p w14:paraId="14498D24" w14:textId="77777777" w:rsidR="000E09C6" w:rsidRDefault="000E09C6">
      <w:pPr>
        <w:spacing w:after="0"/>
        <w:rPr>
          <w:lang w:eastAsia="en-GB"/>
        </w:rPr>
      </w:pPr>
      <w:r>
        <w:rPr>
          <w:b/>
          <w:bCs/>
          <w:color w:val="000000"/>
        </w:rPr>
        <w:t>Total water storage volume = 116.21 m³</w:t>
      </w:r>
    </w:p>
    <w:p w14:paraId="1934720A" w14:textId="77777777" w:rsidR="00883434" w:rsidRPr="00883434" w:rsidRDefault="00883434" w:rsidP="00883434">
      <w:pPr>
        <w:spacing w:after="0"/>
        <w:rPr>
          <w:b/>
          <w:bCs/>
          <w:color w:val="000000" w:themeColor="text1"/>
        </w:rPr>
      </w:pPr>
    </w:p>
    <w:p w14:paraId="6703EC53" w14:textId="77777777" w:rsidR="00EA7A4B" w:rsidRPr="00E15A31" w:rsidRDefault="00EA7A4B" w:rsidP="00883434">
      <w:pPr>
        <w:pStyle w:val="Heading2"/>
        <w:rPr>
          <w:color w:val="156082" w:themeColor="accent1"/>
        </w:rPr>
      </w:pPr>
      <w:bookmarkStart w:id="6" w:name="_Toc231901616"/>
      <w:r w:rsidRPr="00E15A31">
        <w:rPr>
          <w:color w:val="156082" w:themeColor="accent1"/>
        </w:rPr>
        <w:t>Swale sizing</w:t>
      </w:r>
      <w:bookmarkEnd w:id="6"/>
    </w:p>
    <w:p w14:paraId="112B2B34" w14:textId="77777777" w:rsidR="00D57C94" w:rsidRDefault="00D57C94" w:rsidP="00EA7A4B">
      <w:pPr>
        <w:spacing w:after="0"/>
        <w:rPr>
          <w:b/>
          <w:bCs/>
          <w:color w:val="156082" w:themeColor="accent1"/>
        </w:rPr>
      </w:pPr>
    </w:p>
    <w:p w14:paraId="6B770A39" w14:textId="7D3C3C6C" w:rsidR="00D57C94" w:rsidRPr="00D57C94" w:rsidRDefault="00D57C94" w:rsidP="00EA7A4B">
      <w:pPr>
        <w:spacing w:after="0"/>
        <w:rPr>
          <w:color w:val="000000" w:themeColor="text1"/>
        </w:rPr>
      </w:pPr>
      <w:r>
        <w:rPr>
          <w:color w:val="000000" w:themeColor="text1"/>
        </w:rPr>
        <w:t xml:space="preserve">Figure 6. below shows the swale </w:t>
      </w:r>
      <w:r w:rsidR="003C5048">
        <w:rPr>
          <w:color w:val="000000" w:themeColor="text1"/>
        </w:rPr>
        <w:t xml:space="preserve">sizes used in the calculation to determine the size </w:t>
      </w:r>
      <w:r w:rsidR="0049783B">
        <w:rPr>
          <w:color w:val="000000" w:themeColor="text1"/>
        </w:rPr>
        <w:t>of the swale required to hold the volume of water for the SuDS calculation.</w:t>
      </w:r>
    </w:p>
    <w:p w14:paraId="78E2A711" w14:textId="77777777" w:rsidR="00040B78" w:rsidRDefault="00040B78" w:rsidP="00040B78">
      <w:pPr>
        <w:spacing w:after="0"/>
        <w:rPr>
          <w:b/>
          <w:bCs/>
          <w:color w:val="156082" w:themeColor="accent1"/>
        </w:rPr>
      </w:pPr>
    </w:p>
    <w:p w14:paraId="2E0DCC63" w14:textId="7972D84C" w:rsidR="00D57C94" w:rsidRDefault="00BF5906" w:rsidP="00E15A31">
      <w:pPr>
        <w:spacing w:after="0"/>
        <w:jc w:val="center"/>
        <w:rPr>
          <w:b/>
          <w:bCs/>
          <w:color w:val="156082" w:themeColor="accent1"/>
        </w:rPr>
      </w:pPr>
      <w:r w:rsidRPr="00BF5906">
        <w:rPr>
          <w:b/>
          <w:bCs/>
          <w:noProof/>
          <w:color w:val="156082" w:themeColor="accent1"/>
        </w:rPr>
        <w:lastRenderedPageBreak/>
        <w:drawing>
          <wp:inline distT="0" distB="0" distL="0" distR="0" wp14:anchorId="45E0DAEA" wp14:editId="7F058623">
            <wp:extent cx="5149303" cy="3379622"/>
            <wp:effectExtent l="0" t="0" r="0" b="0"/>
            <wp:docPr id="74237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71269" name=""/>
                    <pic:cNvPicPr/>
                  </pic:nvPicPr>
                  <pic:blipFill>
                    <a:blip r:embed="rId14"/>
                    <a:stretch>
                      <a:fillRect/>
                    </a:stretch>
                  </pic:blipFill>
                  <pic:spPr>
                    <a:xfrm>
                      <a:off x="0" y="0"/>
                      <a:ext cx="5176768" cy="3397648"/>
                    </a:xfrm>
                    <a:prstGeom prst="rect">
                      <a:avLst/>
                    </a:prstGeom>
                  </pic:spPr>
                </pic:pic>
              </a:graphicData>
            </a:graphic>
          </wp:inline>
        </w:drawing>
      </w:r>
    </w:p>
    <w:p w14:paraId="388E71BE" w14:textId="071EB704" w:rsidR="000E1781" w:rsidRDefault="0049783B" w:rsidP="00E15A31">
      <w:pPr>
        <w:spacing w:after="0"/>
        <w:jc w:val="center"/>
        <w:rPr>
          <w:color w:val="000000" w:themeColor="text1"/>
        </w:rPr>
      </w:pPr>
      <w:r>
        <w:rPr>
          <w:color w:val="000000" w:themeColor="text1"/>
        </w:rPr>
        <w:t>Figure 6. Swale cross section and dimensions</w:t>
      </w:r>
      <w:r w:rsidR="002F21E3">
        <w:rPr>
          <w:color w:val="000000" w:themeColor="text1"/>
        </w:rPr>
        <w:t xml:space="preserve"> </w:t>
      </w:r>
      <w:r w:rsidR="002F21E3" w:rsidRPr="002F21E3">
        <w:rPr>
          <w:color w:val="000000" w:themeColor="text1"/>
        </w:rPr>
        <w:t>(</w:t>
      </w:r>
      <w:r w:rsidR="003A1C68">
        <w:rPr>
          <w:color w:val="000000" w:themeColor="text1"/>
        </w:rPr>
        <w:t>Goodrum</w:t>
      </w:r>
      <w:r w:rsidR="002F21E3" w:rsidRPr="002F21E3">
        <w:rPr>
          <w:color w:val="000000" w:themeColor="text1"/>
        </w:rPr>
        <w:t>, 2026</w:t>
      </w:r>
      <w:r w:rsidR="000126AA">
        <w:rPr>
          <w:color w:val="000000" w:themeColor="text1"/>
        </w:rPr>
        <w:t>c</w:t>
      </w:r>
      <w:r w:rsidR="002F21E3" w:rsidRPr="002F21E3">
        <w:rPr>
          <w:color w:val="000000" w:themeColor="text1"/>
        </w:rPr>
        <w:t>)</w:t>
      </w:r>
      <w:r>
        <w:rPr>
          <w:color w:val="000000" w:themeColor="text1"/>
        </w:rPr>
        <w:t>.</w:t>
      </w:r>
    </w:p>
    <w:p w14:paraId="461E3C1C" w14:textId="77777777" w:rsidR="00D81726" w:rsidRDefault="00D81726" w:rsidP="00E15A31">
      <w:pPr>
        <w:spacing w:after="0"/>
        <w:jc w:val="center"/>
        <w:rPr>
          <w:color w:val="000000" w:themeColor="text1"/>
        </w:rPr>
      </w:pPr>
    </w:p>
    <w:p w14:paraId="45DBB543" w14:textId="77777777" w:rsidR="00281302" w:rsidRDefault="00281302">
      <w:pPr>
        <w:spacing w:after="0"/>
        <w:ind w:left="720"/>
        <w:rPr>
          <w:lang w:eastAsia="en-GB"/>
        </w:rPr>
      </w:pPr>
      <w:r>
        <w:rPr>
          <w:b/>
          <w:bCs/>
          <w:color w:val="156082"/>
        </w:rPr>
        <w:t>Calculating sand storage volume</w:t>
      </w:r>
    </w:p>
    <w:p w14:paraId="47067E38" w14:textId="77777777" w:rsidR="00820832" w:rsidRDefault="00820832" w:rsidP="00AA6C1A">
      <w:pPr>
        <w:spacing w:after="0"/>
        <w:rPr>
          <w:color w:val="000000" w:themeColor="text1"/>
        </w:rPr>
      </w:pPr>
    </w:p>
    <w:p w14:paraId="2835A6BC" w14:textId="23A62874" w:rsidR="00820832" w:rsidRDefault="00820832" w:rsidP="00D81726">
      <w:pPr>
        <w:spacing w:after="0"/>
        <w:ind w:left="1440"/>
        <w:rPr>
          <w:color w:val="000000" w:themeColor="text1"/>
        </w:rPr>
      </w:pPr>
      <w:r>
        <w:rPr>
          <w:color w:val="000000" w:themeColor="text1"/>
        </w:rPr>
        <w:t xml:space="preserve">Sand SVP = </w:t>
      </w:r>
      <w:r w:rsidR="00665162">
        <w:rPr>
          <w:color w:val="000000" w:themeColor="text1"/>
        </w:rPr>
        <w:t>0.30</w:t>
      </w:r>
    </w:p>
    <w:p w14:paraId="6FF0BF42" w14:textId="30AD4B90" w:rsidR="00665162" w:rsidRDefault="00665162" w:rsidP="00D81726">
      <w:pPr>
        <w:spacing w:after="0"/>
        <w:ind w:left="1440"/>
        <w:rPr>
          <w:color w:val="000000" w:themeColor="text1"/>
        </w:rPr>
      </w:pPr>
      <w:r>
        <w:rPr>
          <w:color w:val="000000" w:themeColor="text1"/>
        </w:rPr>
        <w:t>Sand VFC = 0.25</w:t>
      </w:r>
    </w:p>
    <w:p w14:paraId="6210585C" w14:textId="77777777" w:rsidR="00E15A31" w:rsidRDefault="00E15A31" w:rsidP="00D81726">
      <w:pPr>
        <w:spacing w:after="0"/>
        <w:ind w:left="1440"/>
        <w:rPr>
          <w:lang w:eastAsia="en-GB"/>
        </w:rPr>
      </w:pPr>
      <w:r>
        <w:rPr>
          <w:color w:val="000000"/>
        </w:rPr>
        <w:t>Sand SVP (1 − VFC) = 0.225</w:t>
      </w:r>
    </w:p>
    <w:p w14:paraId="65F02DA8" w14:textId="77777777" w:rsidR="00CD091B" w:rsidRDefault="00CD091B" w:rsidP="00D81726">
      <w:pPr>
        <w:spacing w:after="0"/>
        <w:ind w:left="1440"/>
        <w:rPr>
          <w:color w:val="000000" w:themeColor="text1"/>
        </w:rPr>
      </w:pPr>
    </w:p>
    <w:p w14:paraId="3D14D0BC" w14:textId="77777777" w:rsidR="00E15A31" w:rsidRDefault="00E15A31" w:rsidP="00D81726">
      <w:pPr>
        <w:spacing w:after="0"/>
        <w:ind w:left="1440"/>
        <w:rPr>
          <w:lang w:eastAsia="en-GB"/>
        </w:rPr>
      </w:pPr>
      <w:r>
        <w:rPr>
          <w:color w:val="000000"/>
        </w:rPr>
        <w:t>V = L × W × D1</w:t>
      </w:r>
    </w:p>
    <w:p w14:paraId="467043B1" w14:textId="77777777" w:rsidR="00E15A31" w:rsidRDefault="00E15A31" w:rsidP="00D81726">
      <w:pPr>
        <w:spacing w:after="0"/>
        <w:ind w:left="1440"/>
        <w:rPr>
          <w:lang w:eastAsia="en-GB"/>
        </w:rPr>
      </w:pPr>
      <w:r>
        <w:rPr>
          <w:color w:val="000000"/>
        </w:rPr>
        <w:t>V = 3.0 × 1.5 × 0.9</w:t>
      </w:r>
    </w:p>
    <w:p w14:paraId="2B84BB6E" w14:textId="77777777" w:rsidR="00E15A31" w:rsidRDefault="00E15A31" w:rsidP="00D81726">
      <w:pPr>
        <w:spacing w:after="0"/>
        <w:ind w:left="1440"/>
        <w:rPr>
          <w:lang w:eastAsia="en-GB"/>
        </w:rPr>
      </w:pPr>
      <w:r>
        <w:rPr>
          <w:color w:val="000000"/>
        </w:rPr>
        <w:t>V = 4.05 m³</w:t>
      </w:r>
    </w:p>
    <w:p w14:paraId="3855AAD9" w14:textId="77777777" w:rsidR="003A61E5" w:rsidRDefault="003A61E5" w:rsidP="00D81726">
      <w:pPr>
        <w:spacing w:after="0"/>
        <w:ind w:left="1440"/>
        <w:rPr>
          <w:color w:val="000000" w:themeColor="text1"/>
        </w:rPr>
      </w:pPr>
    </w:p>
    <w:p w14:paraId="57E64AA5" w14:textId="77777777" w:rsidR="00E15A31" w:rsidRDefault="00E15A31" w:rsidP="00D81726">
      <w:pPr>
        <w:spacing w:after="0"/>
        <w:ind w:left="1440"/>
        <w:rPr>
          <w:lang w:eastAsia="en-GB"/>
        </w:rPr>
      </w:pPr>
      <w:r>
        <w:rPr>
          <w:color w:val="000000"/>
        </w:rPr>
        <w:t>Vs = V × SVP (1 − VFC)</w:t>
      </w:r>
    </w:p>
    <w:p w14:paraId="128100D0" w14:textId="77777777" w:rsidR="00E15A31" w:rsidRDefault="00E15A31" w:rsidP="00D81726">
      <w:pPr>
        <w:spacing w:after="0"/>
        <w:ind w:left="1440"/>
        <w:rPr>
          <w:lang w:eastAsia="en-GB"/>
        </w:rPr>
      </w:pPr>
      <w:r>
        <w:rPr>
          <w:color w:val="000000"/>
        </w:rPr>
        <w:t>Vs = 4.05 × 0.225</w:t>
      </w:r>
    </w:p>
    <w:p w14:paraId="00462768" w14:textId="77777777" w:rsidR="00E15A31" w:rsidRDefault="00E15A31" w:rsidP="00D81726">
      <w:pPr>
        <w:spacing w:after="0"/>
        <w:ind w:left="1440"/>
        <w:rPr>
          <w:lang w:eastAsia="en-GB"/>
        </w:rPr>
      </w:pPr>
      <w:r>
        <w:rPr>
          <w:color w:val="000000"/>
        </w:rPr>
        <w:t>Vs = 0.911 m³ per 3 m swale</w:t>
      </w:r>
    </w:p>
    <w:p w14:paraId="047A2DC2" w14:textId="77777777" w:rsidR="003A61E5" w:rsidRDefault="003A61E5" w:rsidP="00AA6C1A">
      <w:pPr>
        <w:spacing w:after="0"/>
        <w:rPr>
          <w:color w:val="000000" w:themeColor="text1"/>
        </w:rPr>
      </w:pPr>
    </w:p>
    <w:p w14:paraId="212CE953" w14:textId="77777777" w:rsidR="00CD091B" w:rsidRDefault="00CD091B" w:rsidP="00AA6C1A">
      <w:pPr>
        <w:spacing w:after="0"/>
        <w:rPr>
          <w:color w:val="000000" w:themeColor="text1"/>
        </w:rPr>
      </w:pPr>
    </w:p>
    <w:p w14:paraId="7339D4E7" w14:textId="77777777" w:rsidR="00281302" w:rsidRDefault="00281302">
      <w:pPr>
        <w:spacing w:after="0"/>
        <w:ind w:left="720"/>
        <w:rPr>
          <w:lang w:eastAsia="en-GB"/>
        </w:rPr>
      </w:pPr>
      <w:r>
        <w:rPr>
          <w:b/>
          <w:bCs/>
          <w:color w:val="156082"/>
        </w:rPr>
        <w:t>Calculating gravel storage volume</w:t>
      </w:r>
    </w:p>
    <w:p w14:paraId="75F4A0CF" w14:textId="77777777" w:rsidR="0065154D" w:rsidRDefault="0065154D" w:rsidP="00AA6C1A">
      <w:pPr>
        <w:spacing w:after="0"/>
        <w:rPr>
          <w:color w:val="000000" w:themeColor="text1"/>
        </w:rPr>
      </w:pPr>
    </w:p>
    <w:p w14:paraId="402DA0D2" w14:textId="4074A381" w:rsidR="0065154D" w:rsidRDefault="0065154D" w:rsidP="00D81726">
      <w:pPr>
        <w:spacing w:after="0"/>
        <w:ind w:left="1440"/>
        <w:rPr>
          <w:color w:val="000000" w:themeColor="text1"/>
        </w:rPr>
      </w:pPr>
      <w:r>
        <w:rPr>
          <w:color w:val="000000" w:themeColor="text1"/>
        </w:rPr>
        <w:t>Gravel SVP = 0.30</w:t>
      </w:r>
    </w:p>
    <w:p w14:paraId="317F6DC9" w14:textId="6A172DC9" w:rsidR="0065154D" w:rsidRDefault="0065154D" w:rsidP="00D81726">
      <w:pPr>
        <w:spacing w:after="0"/>
        <w:ind w:left="1440"/>
        <w:rPr>
          <w:color w:val="000000" w:themeColor="text1"/>
        </w:rPr>
      </w:pPr>
      <w:r>
        <w:rPr>
          <w:color w:val="000000" w:themeColor="text1"/>
        </w:rPr>
        <w:t>Gravel VFC = 0.</w:t>
      </w:r>
      <w:r w:rsidR="001B6219">
        <w:rPr>
          <w:color w:val="000000" w:themeColor="text1"/>
        </w:rPr>
        <w:t>1</w:t>
      </w:r>
      <w:r>
        <w:rPr>
          <w:color w:val="000000" w:themeColor="text1"/>
        </w:rPr>
        <w:t>5</w:t>
      </w:r>
    </w:p>
    <w:p w14:paraId="0675F46B" w14:textId="77777777" w:rsidR="00E15A31" w:rsidRDefault="00E15A31" w:rsidP="00D81726">
      <w:pPr>
        <w:spacing w:after="0"/>
        <w:ind w:left="1440"/>
        <w:rPr>
          <w:lang w:eastAsia="en-GB"/>
        </w:rPr>
      </w:pPr>
      <w:r>
        <w:rPr>
          <w:color w:val="000000"/>
        </w:rPr>
        <w:t>Gravel SVP (1 − VFC) = 0.255</w:t>
      </w:r>
    </w:p>
    <w:p w14:paraId="2F63EFAA" w14:textId="77777777" w:rsidR="00320A78" w:rsidRDefault="00320A78" w:rsidP="00D81726">
      <w:pPr>
        <w:spacing w:after="0"/>
        <w:ind w:left="1440"/>
        <w:rPr>
          <w:color w:val="000000" w:themeColor="text1"/>
        </w:rPr>
      </w:pPr>
    </w:p>
    <w:p w14:paraId="612005E4" w14:textId="77777777" w:rsidR="00281302" w:rsidRDefault="00281302">
      <w:pPr>
        <w:spacing w:after="0"/>
        <w:ind w:left="1440"/>
        <w:rPr>
          <w:lang w:eastAsia="en-GB"/>
        </w:rPr>
      </w:pPr>
      <w:r>
        <w:rPr>
          <w:color w:val="000000"/>
        </w:rPr>
        <w:t>V = L × W × D2</w:t>
      </w:r>
    </w:p>
    <w:p w14:paraId="47159BDC" w14:textId="77777777" w:rsidR="00E15A31" w:rsidRDefault="00E15A31" w:rsidP="00D81726">
      <w:pPr>
        <w:spacing w:after="0"/>
        <w:ind w:left="1440"/>
        <w:rPr>
          <w:lang w:eastAsia="en-GB"/>
        </w:rPr>
      </w:pPr>
      <w:r>
        <w:rPr>
          <w:color w:val="000000"/>
        </w:rPr>
        <w:t>V = 3.0 × 1.5 × 0.3</w:t>
      </w:r>
    </w:p>
    <w:p w14:paraId="119226B7" w14:textId="77777777" w:rsidR="00E15A31" w:rsidRDefault="00E15A31" w:rsidP="00D81726">
      <w:pPr>
        <w:spacing w:after="0"/>
        <w:ind w:left="1440"/>
        <w:rPr>
          <w:lang w:eastAsia="en-GB"/>
        </w:rPr>
      </w:pPr>
      <w:r>
        <w:rPr>
          <w:color w:val="000000"/>
        </w:rPr>
        <w:lastRenderedPageBreak/>
        <w:t>V = 1.35 m³</w:t>
      </w:r>
    </w:p>
    <w:p w14:paraId="11C0E015" w14:textId="77777777" w:rsidR="009D728A" w:rsidRDefault="009D728A" w:rsidP="00D81726">
      <w:pPr>
        <w:spacing w:after="0"/>
        <w:ind w:left="1440"/>
        <w:rPr>
          <w:color w:val="000000" w:themeColor="text1"/>
        </w:rPr>
      </w:pPr>
    </w:p>
    <w:p w14:paraId="72BA365E" w14:textId="77777777" w:rsidR="00281302" w:rsidRDefault="00281302">
      <w:pPr>
        <w:spacing w:after="0"/>
        <w:ind w:left="1440"/>
        <w:rPr>
          <w:lang w:eastAsia="en-GB"/>
        </w:rPr>
      </w:pPr>
      <w:r>
        <w:rPr>
          <w:color w:val="000000"/>
        </w:rPr>
        <w:t>Vg = V × SVP (1 − VFC)</w:t>
      </w:r>
    </w:p>
    <w:p w14:paraId="2DC63270" w14:textId="77777777" w:rsidR="00281302" w:rsidRDefault="00281302">
      <w:pPr>
        <w:spacing w:after="0"/>
        <w:ind w:left="1440"/>
        <w:rPr>
          <w:lang w:eastAsia="en-GB"/>
        </w:rPr>
      </w:pPr>
      <w:r>
        <w:rPr>
          <w:color w:val="000000"/>
        </w:rPr>
        <w:t>Vg = 1.35 × 0.255</w:t>
      </w:r>
    </w:p>
    <w:p w14:paraId="61303892" w14:textId="77777777" w:rsidR="00281302" w:rsidRDefault="00281302">
      <w:pPr>
        <w:spacing w:after="0"/>
        <w:ind w:left="1440"/>
        <w:rPr>
          <w:lang w:eastAsia="en-GB"/>
        </w:rPr>
      </w:pPr>
      <w:r>
        <w:rPr>
          <w:color w:val="000000"/>
        </w:rPr>
        <w:t>Vg = 0.34 m³ per 3 m swale</w:t>
      </w:r>
    </w:p>
    <w:p w14:paraId="72045E86" w14:textId="77777777" w:rsidR="00320A78" w:rsidRDefault="00320A78" w:rsidP="00AA6C1A">
      <w:pPr>
        <w:spacing w:after="0"/>
        <w:rPr>
          <w:color w:val="000000" w:themeColor="text1"/>
        </w:rPr>
      </w:pPr>
    </w:p>
    <w:p w14:paraId="2686F12E" w14:textId="77777777" w:rsidR="00281302" w:rsidRDefault="00281302">
      <w:pPr>
        <w:spacing w:after="0"/>
        <w:ind w:left="720"/>
        <w:rPr>
          <w:lang w:eastAsia="en-GB"/>
        </w:rPr>
      </w:pPr>
      <w:r>
        <w:rPr>
          <w:b/>
          <w:bCs/>
          <w:color w:val="156082"/>
        </w:rPr>
        <w:t>Calculating surface storage volume</w:t>
      </w:r>
    </w:p>
    <w:p w14:paraId="0FFD1194" w14:textId="77777777" w:rsidR="0070248B" w:rsidRDefault="0070248B" w:rsidP="00AA6C1A">
      <w:pPr>
        <w:spacing w:after="0"/>
        <w:rPr>
          <w:color w:val="000000" w:themeColor="text1"/>
        </w:rPr>
      </w:pPr>
    </w:p>
    <w:p w14:paraId="52C7D331" w14:textId="32683CD9" w:rsidR="00281302" w:rsidRDefault="00281302">
      <w:pPr>
        <w:spacing w:after="0"/>
        <w:ind w:left="1440"/>
        <w:rPr>
          <w:lang w:eastAsia="en-GB"/>
        </w:rPr>
      </w:pPr>
      <w:r>
        <w:rPr>
          <w:color w:val="000000"/>
        </w:rPr>
        <w:t>V = 0.5 × D × (W1 + W2) × L</w:t>
      </w:r>
    </w:p>
    <w:p w14:paraId="76DE5075" w14:textId="070B475A" w:rsidR="00281302" w:rsidRDefault="00281302">
      <w:pPr>
        <w:spacing w:after="0"/>
        <w:ind w:left="1440"/>
        <w:rPr>
          <w:lang w:eastAsia="en-GB"/>
        </w:rPr>
      </w:pPr>
      <w:r>
        <w:rPr>
          <w:color w:val="000000"/>
        </w:rPr>
        <w:t>V</w:t>
      </w:r>
      <w:r w:rsidR="00267D4C">
        <w:rPr>
          <w:color w:val="000000"/>
        </w:rPr>
        <w:t xml:space="preserve"> </w:t>
      </w:r>
      <w:r>
        <w:rPr>
          <w:color w:val="000000"/>
        </w:rPr>
        <w:t>= 0.5 × 1.0 × (3.0 + 0.5) × 3.0</w:t>
      </w:r>
    </w:p>
    <w:p w14:paraId="2784DFDD" w14:textId="207CC871" w:rsidR="00281302" w:rsidRDefault="00281302">
      <w:pPr>
        <w:spacing w:after="0"/>
        <w:ind w:left="1440"/>
        <w:rPr>
          <w:lang w:eastAsia="en-GB"/>
        </w:rPr>
      </w:pPr>
      <w:r>
        <w:rPr>
          <w:color w:val="000000"/>
        </w:rPr>
        <w:t>V = 5.25 m³ per 3 m swale</w:t>
      </w:r>
    </w:p>
    <w:p w14:paraId="29F85D64" w14:textId="77777777" w:rsidR="00F909AE" w:rsidRDefault="00F909AE" w:rsidP="00D81726">
      <w:pPr>
        <w:spacing w:after="0"/>
        <w:ind w:left="1440"/>
        <w:rPr>
          <w:color w:val="000000"/>
        </w:rPr>
      </w:pPr>
    </w:p>
    <w:p w14:paraId="0A3E9C04" w14:textId="1BC882A9" w:rsidR="00F909AE" w:rsidRDefault="00F909AE" w:rsidP="00F909AE">
      <w:pPr>
        <w:spacing w:after="0"/>
        <w:ind w:left="720"/>
        <w:rPr>
          <w:b/>
          <w:bCs/>
          <w:color w:val="156082" w:themeColor="accent1"/>
        </w:rPr>
      </w:pPr>
      <w:r w:rsidRPr="00D81726">
        <w:rPr>
          <w:b/>
          <w:bCs/>
          <w:color w:val="156082" w:themeColor="accent1"/>
        </w:rPr>
        <w:t xml:space="preserve">Calculating </w:t>
      </w:r>
      <w:r>
        <w:rPr>
          <w:b/>
          <w:bCs/>
          <w:color w:val="156082" w:themeColor="accent1"/>
        </w:rPr>
        <w:t>total s</w:t>
      </w:r>
      <w:r w:rsidRPr="00D81726">
        <w:rPr>
          <w:b/>
          <w:bCs/>
          <w:color w:val="156082" w:themeColor="accent1"/>
        </w:rPr>
        <w:t>wale volume</w:t>
      </w:r>
    </w:p>
    <w:p w14:paraId="44F51BF7" w14:textId="77777777" w:rsidR="00F909AE" w:rsidRDefault="00F909AE" w:rsidP="00D81726">
      <w:pPr>
        <w:spacing w:after="0"/>
        <w:ind w:left="1440"/>
        <w:rPr>
          <w:lang w:eastAsia="en-GB"/>
        </w:rPr>
      </w:pPr>
    </w:p>
    <w:p w14:paraId="332EA55D" w14:textId="43EC5B5E" w:rsidR="00281302" w:rsidRDefault="00281302">
      <w:pPr>
        <w:spacing w:after="0"/>
        <w:ind w:left="1440"/>
        <w:rPr>
          <w:lang w:eastAsia="en-GB"/>
        </w:rPr>
      </w:pPr>
      <w:r>
        <w:rPr>
          <w:color w:val="000000"/>
        </w:rPr>
        <w:t>Vt = V</w:t>
      </w:r>
      <w:r w:rsidR="00267D4C">
        <w:rPr>
          <w:color w:val="000000"/>
        </w:rPr>
        <w:t xml:space="preserve"> </w:t>
      </w:r>
      <w:r>
        <w:rPr>
          <w:color w:val="000000"/>
        </w:rPr>
        <w:t>sand + V</w:t>
      </w:r>
      <w:r w:rsidR="00267D4C">
        <w:rPr>
          <w:color w:val="000000"/>
        </w:rPr>
        <w:t xml:space="preserve"> </w:t>
      </w:r>
      <w:r>
        <w:rPr>
          <w:color w:val="000000"/>
        </w:rPr>
        <w:t>gravel + V</w:t>
      </w:r>
      <w:r w:rsidR="00267D4C">
        <w:rPr>
          <w:color w:val="000000"/>
        </w:rPr>
        <w:t xml:space="preserve"> </w:t>
      </w:r>
      <w:r>
        <w:rPr>
          <w:color w:val="000000"/>
        </w:rPr>
        <w:t>surface</w:t>
      </w:r>
    </w:p>
    <w:p w14:paraId="58AA7E50" w14:textId="77777777" w:rsidR="00281302" w:rsidRDefault="00281302">
      <w:pPr>
        <w:spacing w:after="0"/>
        <w:ind w:left="1440"/>
        <w:rPr>
          <w:lang w:eastAsia="en-GB"/>
        </w:rPr>
      </w:pPr>
      <w:r>
        <w:rPr>
          <w:color w:val="000000"/>
        </w:rPr>
        <w:t>Vt = 0.911 + 0.34 + 5.25</w:t>
      </w:r>
    </w:p>
    <w:p w14:paraId="7334CE1B" w14:textId="77777777" w:rsidR="00D107C5" w:rsidRDefault="00D107C5">
      <w:pPr>
        <w:spacing w:after="0"/>
        <w:ind w:left="1440"/>
        <w:rPr>
          <w:lang w:eastAsia="en-GB"/>
        </w:rPr>
      </w:pPr>
      <w:r>
        <w:rPr>
          <w:color w:val="000000"/>
        </w:rPr>
        <w:t>Vt = 6.50 m³ per 3 m swale</w:t>
      </w:r>
    </w:p>
    <w:p w14:paraId="4178F5E5" w14:textId="77777777" w:rsidR="00F66CAB" w:rsidRDefault="00F66CAB" w:rsidP="005F61EC">
      <w:pPr>
        <w:spacing w:after="0"/>
        <w:ind w:left="720"/>
        <w:rPr>
          <w:color w:val="000000" w:themeColor="text1"/>
        </w:rPr>
      </w:pPr>
    </w:p>
    <w:p w14:paraId="0ADBC9D6" w14:textId="77777777" w:rsidR="00D107C5" w:rsidRDefault="00D107C5">
      <w:pPr>
        <w:spacing w:after="0"/>
        <w:rPr>
          <w:lang w:eastAsia="en-GB"/>
        </w:rPr>
      </w:pPr>
      <w:r>
        <w:rPr>
          <w:b/>
          <w:bCs/>
          <w:color w:val="000000"/>
        </w:rPr>
        <w:t>Total swale volume per 3 m length = 6.50 m³</w:t>
      </w:r>
    </w:p>
    <w:p w14:paraId="294C17D1" w14:textId="77777777" w:rsidR="008C4D25" w:rsidRDefault="008C4D25" w:rsidP="005F61EC">
      <w:pPr>
        <w:spacing w:after="0"/>
        <w:ind w:left="720"/>
        <w:rPr>
          <w:color w:val="000000" w:themeColor="text1"/>
        </w:rPr>
      </w:pPr>
    </w:p>
    <w:p w14:paraId="4637D997" w14:textId="2504B032" w:rsidR="008C4D25" w:rsidRPr="00F909AE" w:rsidRDefault="008C4D25" w:rsidP="00F909AE">
      <w:pPr>
        <w:spacing w:after="0"/>
        <w:ind w:left="720"/>
        <w:rPr>
          <w:b/>
          <w:bCs/>
          <w:color w:val="156082" w:themeColor="accent1"/>
        </w:rPr>
      </w:pPr>
      <w:r w:rsidRPr="00F909AE">
        <w:rPr>
          <w:b/>
          <w:bCs/>
          <w:color w:val="156082" w:themeColor="accent1"/>
        </w:rPr>
        <w:t>Total swale length calculation</w:t>
      </w:r>
    </w:p>
    <w:p w14:paraId="74920900" w14:textId="77777777" w:rsidR="00920A29" w:rsidRDefault="00920A29" w:rsidP="008C4D25">
      <w:pPr>
        <w:spacing w:after="0"/>
        <w:rPr>
          <w:b/>
          <w:bCs/>
          <w:color w:val="000000" w:themeColor="text1"/>
        </w:rPr>
      </w:pPr>
    </w:p>
    <w:p w14:paraId="38116D6A" w14:textId="77777777" w:rsidR="00281302" w:rsidRDefault="00281302">
      <w:pPr>
        <w:spacing w:after="0"/>
        <w:ind w:left="1440"/>
        <w:rPr>
          <w:lang w:eastAsia="en-GB"/>
        </w:rPr>
      </w:pPr>
      <w:r w:rsidRPr="00A040F6">
        <w:rPr>
          <w:color w:val="000000"/>
        </w:rPr>
        <w:t>Required swale length = 116.21 m³ ÷ 6.50 m³ × 3 m = 53.64 m</w:t>
      </w:r>
    </w:p>
    <w:p w14:paraId="21AB8E01" w14:textId="77777777" w:rsidR="00F909AE" w:rsidRDefault="00F909AE" w:rsidP="00F909AE">
      <w:pPr>
        <w:spacing w:after="0"/>
        <w:ind w:left="1440"/>
        <w:rPr>
          <w:lang w:eastAsia="en-GB"/>
        </w:rPr>
      </w:pPr>
    </w:p>
    <w:p w14:paraId="76AD1736" w14:textId="77777777" w:rsidR="00D107C5" w:rsidRDefault="00D107C5">
      <w:pPr>
        <w:spacing w:after="0"/>
        <w:rPr>
          <w:lang w:eastAsia="en-GB"/>
        </w:rPr>
      </w:pPr>
      <w:r>
        <w:rPr>
          <w:b/>
          <w:bCs/>
          <w:color w:val="000000"/>
        </w:rPr>
        <w:t>Total swale length needed = 53.64 m</w:t>
      </w:r>
    </w:p>
    <w:p w14:paraId="229A6FA2" w14:textId="77777777" w:rsidR="00F66CAB" w:rsidRDefault="00F66CAB" w:rsidP="008C4D25">
      <w:pPr>
        <w:spacing w:after="0"/>
        <w:rPr>
          <w:b/>
          <w:bCs/>
          <w:color w:val="000000" w:themeColor="text1"/>
        </w:rPr>
      </w:pPr>
    </w:p>
    <w:p w14:paraId="000A4437" w14:textId="77777777" w:rsidR="000B075D" w:rsidRDefault="000B075D" w:rsidP="000B075D">
      <w:pPr>
        <w:pStyle w:val="Heading2"/>
        <w:rPr>
          <w:rFonts w:cstheme="minorBidi"/>
          <w:lang w:eastAsia="en-GB"/>
        </w:rPr>
      </w:pPr>
      <w:bookmarkStart w:id="7" w:name="_Toc231901617"/>
      <w:r>
        <w:rPr>
          <w:rFonts w:cstheme="minorBidi"/>
        </w:rPr>
        <w:t>Proposal Buildability</w:t>
      </w:r>
      <w:bookmarkEnd w:id="7"/>
    </w:p>
    <w:p w14:paraId="296F581C" w14:textId="77777777" w:rsidR="00314046" w:rsidRDefault="00314046">
      <w:pPr>
        <w:rPr>
          <w:lang w:eastAsia="en-GB"/>
        </w:rPr>
      </w:pPr>
      <w:r>
        <w:rPr>
          <w:sz w:val="22"/>
          <w:szCs w:val="22"/>
        </w:rPr>
        <w:t>The proposed development lies within a plot of 2.7 ha, with a comparatively small building footprint relative to the overall size of the plot and good adjoining road infrastructure to facilitate the movement of resources and materials. These factors allow for efficient site set-up and demobilisation, together with material and plant storage for the construction of the development (Transport for London and CLOCS, 2021).</w:t>
      </w:r>
    </w:p>
    <w:p w14:paraId="3DA071D8" w14:textId="77777777" w:rsidR="00314046" w:rsidRDefault="00314046">
      <w:pPr>
        <w:rPr>
          <w:lang w:eastAsia="en-GB"/>
        </w:rPr>
      </w:pPr>
      <w:r>
        <w:rPr>
          <w:sz w:val="22"/>
          <w:szCs w:val="22"/>
        </w:rPr>
        <w:t xml:space="preserve">The simple form of the design and the use of modern methods of construction, with off-site prefabricated elements such as CLT and precast concrete sections, will create an efficient construction phase with minimal resources and less on-site construction required compared with traditional construction techniques. Appendix G shows the construction storyboard for the hotel development, showing the key activities and sequence of events during the construction phase and highlighting these modern methods of construction. The use of off-site manufactured components can eliminate complexities around site construction and material </w:t>
      </w:r>
      <w:r>
        <w:rPr>
          <w:sz w:val="22"/>
          <w:szCs w:val="22"/>
        </w:rPr>
        <w:lastRenderedPageBreak/>
        <w:t>lead times, ensuring that there are no shortages during construction activities, reducing material and resource risks, and in turn reducing delays to the project (UK Government, 2022a).</w:t>
      </w:r>
    </w:p>
    <w:p w14:paraId="6ED21F75" w14:textId="77777777" w:rsidR="000B075D" w:rsidRDefault="000B075D">
      <w:pPr>
        <w:rPr>
          <w:lang w:eastAsia="en-GB"/>
        </w:rPr>
      </w:pPr>
      <w:r>
        <w:rPr>
          <w:sz w:val="22"/>
          <w:szCs w:val="22"/>
        </w:rPr>
        <w:t>The elimination of basement construction eliminates the need for excavations and the room associated with these activities for the storage and disposal of spoil, materials, and plant, decreasing the size of the supply chain, reducing the number of interfaces, simplifying the sequence of works, and reducing the logistics required around the development (Transport for London and CLOCS, 2021; HSE, 2015a).</w:t>
      </w:r>
    </w:p>
    <w:p w14:paraId="55420AC6" w14:textId="77777777" w:rsidR="00314046" w:rsidRDefault="00314046">
      <w:pPr>
        <w:rPr>
          <w:sz w:val="22"/>
          <w:szCs w:val="22"/>
        </w:rPr>
      </w:pPr>
      <w:r>
        <w:rPr>
          <w:sz w:val="22"/>
          <w:szCs w:val="22"/>
        </w:rPr>
        <w:t>Despite the positives mentioned above, the use of innovative MMC such as a CLT frame can lead to potential risks due to a lack of knowledge of this form of construction. The pool of available companies to fabricate and construct this material will likely be smaller than for traditional methods such as concrete frames. The availability of these companies may not align with the project programme, and any delays can have severe consequences due to resource unavailability. A lack of knowledge of these materials and the key quality aspects associated with them during construction could lead to defects going unnoticed, which could in turn lead to building failure during operation (RICS, 2024; UK Government, 2022b).</w:t>
      </w:r>
    </w:p>
    <w:p w14:paraId="0958F8F4" w14:textId="21F98192" w:rsidR="00915F72" w:rsidRPr="002F7406" w:rsidRDefault="000B075D">
      <w:pPr>
        <w:rPr>
          <w:sz w:val="22"/>
          <w:szCs w:val="22"/>
        </w:rPr>
      </w:pPr>
      <w:r>
        <w:rPr>
          <w:sz w:val="22"/>
          <w:szCs w:val="22"/>
        </w:rPr>
        <w:t xml:space="preserve">The design supports sustainability, safety, and efficiency </w:t>
      </w:r>
      <w:r w:rsidR="00484B30">
        <w:rPr>
          <w:sz w:val="22"/>
          <w:szCs w:val="22"/>
        </w:rPr>
        <w:t>using</w:t>
      </w:r>
      <w:r>
        <w:rPr>
          <w:sz w:val="22"/>
          <w:szCs w:val="22"/>
        </w:rPr>
        <w:t xml:space="preserve"> MMC and virgin materials, as previously mentioned. The design reduces on-site resource hours to complete with off-site construction, which in turn reduces the likelihood of accidents during construction. The lack of on-site construction also reduces the number of activities required to install the components, further reducing this risk. Although the construction of the building will require careful design considerations to eliminate risks, the simple design and lack of site constraints result in a project that is both achievable and efficient (HSE, 2015b).</w:t>
      </w:r>
      <w:r w:rsidR="002F7406">
        <w:rPr>
          <w:sz w:val="22"/>
          <w:szCs w:val="22"/>
        </w:rPr>
        <w:t xml:space="preserve"> </w:t>
      </w:r>
    </w:p>
    <w:p w14:paraId="57BFC790" w14:textId="791B6A9B" w:rsidR="005E3DF2" w:rsidRPr="0052736E" w:rsidRDefault="00FB5CC4" w:rsidP="0052736E">
      <w:pPr>
        <w:pStyle w:val="Heading2"/>
        <w:rPr>
          <w:lang w:eastAsia="en-GB"/>
        </w:rPr>
      </w:pPr>
      <w:bookmarkStart w:id="8" w:name="_Toc231901618"/>
      <w:r>
        <w:rPr>
          <w:lang w:eastAsia="en-GB"/>
        </w:rPr>
        <w:t>Conclusion</w:t>
      </w:r>
      <w:bookmarkEnd w:id="8"/>
    </w:p>
    <w:p w14:paraId="4BC543F1" w14:textId="57D01297" w:rsidR="005E3DF2" w:rsidRDefault="009972BA" w:rsidP="005E3DF2">
      <w:pPr>
        <w:rPr>
          <w:sz w:val="22"/>
          <w:szCs w:val="22"/>
        </w:rPr>
      </w:pPr>
      <w:r>
        <w:rPr>
          <w:sz w:val="22"/>
          <w:szCs w:val="22"/>
        </w:rPr>
        <w:t>The hotel development is both sustainable and buildable</w:t>
      </w:r>
      <w:r w:rsidR="006A23C8">
        <w:rPr>
          <w:sz w:val="22"/>
          <w:szCs w:val="22"/>
        </w:rPr>
        <w:t xml:space="preserve">, it looks to </w:t>
      </w:r>
      <w:r w:rsidR="0052736E">
        <w:rPr>
          <w:sz w:val="22"/>
          <w:szCs w:val="22"/>
        </w:rPr>
        <w:t>incorporate</w:t>
      </w:r>
      <w:r w:rsidR="006A23C8">
        <w:rPr>
          <w:sz w:val="22"/>
          <w:szCs w:val="22"/>
        </w:rPr>
        <w:t xml:space="preserve"> cutting edge methods of construction to address </w:t>
      </w:r>
      <w:r w:rsidR="0052736E">
        <w:rPr>
          <w:sz w:val="22"/>
          <w:szCs w:val="22"/>
        </w:rPr>
        <w:t>sustainability</w:t>
      </w:r>
      <w:r w:rsidR="006A23C8">
        <w:rPr>
          <w:sz w:val="22"/>
          <w:szCs w:val="22"/>
        </w:rPr>
        <w:t xml:space="preserve"> </w:t>
      </w:r>
      <w:r w:rsidR="0052736E">
        <w:rPr>
          <w:sz w:val="22"/>
          <w:szCs w:val="22"/>
        </w:rPr>
        <w:t>in construction issues and reducing any impact the development has on the surrounding environment.</w:t>
      </w:r>
      <w:r w:rsidR="00A91289">
        <w:rPr>
          <w:sz w:val="22"/>
          <w:szCs w:val="22"/>
        </w:rPr>
        <w:t xml:space="preserve"> The proposal also takes a whole life approach looking at tomorrows building requirements and how buildings can be repurposed beyond what they were initially required to do and at </w:t>
      </w:r>
      <w:proofErr w:type="gramStart"/>
      <w:r w:rsidR="00A91289">
        <w:rPr>
          <w:sz w:val="22"/>
          <w:szCs w:val="22"/>
        </w:rPr>
        <w:t>end of life</w:t>
      </w:r>
      <w:proofErr w:type="gramEnd"/>
      <w:r w:rsidR="00A91289">
        <w:rPr>
          <w:sz w:val="22"/>
          <w:szCs w:val="22"/>
        </w:rPr>
        <w:t xml:space="preserve"> scenarios how to minimise the impact on the environment.</w:t>
      </w:r>
    </w:p>
    <w:p w14:paraId="28BF882C" w14:textId="77777777" w:rsidR="003F23A8" w:rsidRDefault="003F23A8" w:rsidP="0089542D">
      <w:pPr>
        <w:rPr>
          <w:color w:val="156082" w:themeColor="accent1"/>
        </w:rPr>
      </w:pPr>
    </w:p>
    <w:p w14:paraId="3EF10F00" w14:textId="77777777" w:rsidR="00A026FB" w:rsidRDefault="00A026FB" w:rsidP="00615C3E"/>
    <w:p w14:paraId="6CC2024A" w14:textId="77777777" w:rsidR="00314046" w:rsidRDefault="00314046" w:rsidP="00615C3E"/>
    <w:p w14:paraId="2147CA80" w14:textId="77777777" w:rsidR="00314046" w:rsidRDefault="00314046" w:rsidP="00615C3E"/>
    <w:p w14:paraId="0C869323" w14:textId="77777777" w:rsidR="00314046" w:rsidRDefault="00314046" w:rsidP="00615C3E"/>
    <w:p w14:paraId="2B22E2E4" w14:textId="77777777" w:rsidR="00314046" w:rsidRDefault="00314046" w:rsidP="00615C3E"/>
    <w:p w14:paraId="76E25304" w14:textId="77777777" w:rsidR="00AA2AF4" w:rsidRDefault="00AA2AF4" w:rsidP="00615C3E"/>
    <w:p w14:paraId="5E44B5CD" w14:textId="77777777" w:rsidR="000B075D" w:rsidRDefault="000B075D" w:rsidP="000B075D">
      <w:pPr>
        <w:pStyle w:val="Heading2"/>
        <w:rPr>
          <w:rFonts w:cstheme="minorBidi"/>
          <w:lang w:eastAsia="en-GB"/>
        </w:rPr>
      </w:pPr>
      <w:bookmarkStart w:id="9" w:name="_Toc231901619"/>
      <w:r>
        <w:rPr>
          <w:rFonts w:cstheme="minorBidi"/>
        </w:rPr>
        <w:lastRenderedPageBreak/>
        <w:t>Appendices</w:t>
      </w:r>
      <w:bookmarkEnd w:id="9"/>
    </w:p>
    <w:p w14:paraId="0E388E4E" w14:textId="77777777" w:rsidR="007E547C" w:rsidRPr="007E547C" w:rsidRDefault="007E547C" w:rsidP="007E547C"/>
    <w:p w14:paraId="08A8C714" w14:textId="75681452" w:rsidR="007E547C" w:rsidRPr="007E547C" w:rsidRDefault="004C2759" w:rsidP="007E547C">
      <w:r w:rsidRPr="004C2759">
        <w:drawing>
          <wp:inline distT="0" distB="0" distL="0" distR="0" wp14:anchorId="34E07C76" wp14:editId="23137949">
            <wp:extent cx="5112013" cy="4521432"/>
            <wp:effectExtent l="0" t="0" r="0" b="0"/>
            <wp:docPr id="117656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66219" name=""/>
                    <pic:cNvPicPr/>
                  </pic:nvPicPr>
                  <pic:blipFill>
                    <a:blip r:embed="rId15"/>
                    <a:stretch>
                      <a:fillRect/>
                    </a:stretch>
                  </pic:blipFill>
                  <pic:spPr>
                    <a:xfrm>
                      <a:off x="0" y="0"/>
                      <a:ext cx="5112013" cy="4521432"/>
                    </a:xfrm>
                    <a:prstGeom prst="rect">
                      <a:avLst/>
                    </a:prstGeom>
                  </pic:spPr>
                </pic:pic>
              </a:graphicData>
            </a:graphic>
          </wp:inline>
        </w:drawing>
      </w:r>
    </w:p>
    <w:p w14:paraId="0EE86C41" w14:textId="77777777" w:rsidR="000B075D" w:rsidRDefault="000B075D">
      <w:pPr>
        <w:ind w:left="360"/>
        <w:jc w:val="center"/>
        <w:rPr>
          <w:lang w:eastAsia="en-GB"/>
        </w:rPr>
      </w:pPr>
      <w:r>
        <w:rPr>
          <w:sz w:val="22"/>
          <w:szCs w:val="22"/>
        </w:rPr>
        <w:t>Appendix A. Proposed SuDS component locations (Google Earth, no date a).</w:t>
      </w:r>
    </w:p>
    <w:p w14:paraId="0425D97C" w14:textId="77777777" w:rsidR="00A026FB" w:rsidRDefault="00A026FB" w:rsidP="00615C3E"/>
    <w:p w14:paraId="3120B1A0" w14:textId="77777777" w:rsidR="00A026FB" w:rsidRDefault="00A026FB" w:rsidP="00615C3E"/>
    <w:p w14:paraId="301A797C" w14:textId="77777777" w:rsidR="00A026FB" w:rsidRDefault="00A026FB" w:rsidP="00615C3E"/>
    <w:p w14:paraId="36CF6FDA" w14:textId="77777777" w:rsidR="00A026FB" w:rsidRDefault="00A026FB" w:rsidP="00615C3E"/>
    <w:p w14:paraId="3C8E09C7" w14:textId="77777777" w:rsidR="00A026FB" w:rsidRDefault="00A026FB" w:rsidP="00615C3E"/>
    <w:p w14:paraId="7021A18D" w14:textId="77777777" w:rsidR="00A026FB" w:rsidRDefault="00A026FB" w:rsidP="00615C3E"/>
    <w:p w14:paraId="05938301" w14:textId="3A35638A" w:rsidR="00A026FB" w:rsidRDefault="008F6073" w:rsidP="00615C3E">
      <w:r w:rsidRPr="008F6073">
        <w:rPr>
          <w:noProof/>
        </w:rPr>
        <w:lastRenderedPageBreak/>
        <w:drawing>
          <wp:inline distT="0" distB="0" distL="0" distR="0" wp14:anchorId="2D3880D9" wp14:editId="2CAFB9F8">
            <wp:extent cx="5731510" cy="2861945"/>
            <wp:effectExtent l="0" t="0" r="2540" b="0"/>
            <wp:docPr id="1496121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21191" name=""/>
                    <pic:cNvPicPr/>
                  </pic:nvPicPr>
                  <pic:blipFill>
                    <a:blip r:embed="rId16"/>
                    <a:stretch>
                      <a:fillRect/>
                    </a:stretch>
                  </pic:blipFill>
                  <pic:spPr>
                    <a:xfrm>
                      <a:off x="0" y="0"/>
                      <a:ext cx="5731510" cy="2861945"/>
                    </a:xfrm>
                    <a:prstGeom prst="rect">
                      <a:avLst/>
                    </a:prstGeom>
                  </pic:spPr>
                </pic:pic>
              </a:graphicData>
            </a:graphic>
          </wp:inline>
        </w:drawing>
      </w:r>
    </w:p>
    <w:p w14:paraId="274835E6" w14:textId="77777777" w:rsidR="000B075D" w:rsidRDefault="000B075D">
      <w:pPr>
        <w:jc w:val="center"/>
        <w:rPr>
          <w:lang w:eastAsia="en-GB"/>
        </w:rPr>
      </w:pPr>
      <w:r>
        <w:t xml:space="preserve">Appendix B. Total site area </w:t>
      </w:r>
      <w:r>
        <w:rPr>
          <w:sz w:val="22"/>
          <w:szCs w:val="22"/>
        </w:rPr>
        <w:t>(Google Earth, no date b).</w:t>
      </w:r>
    </w:p>
    <w:p w14:paraId="132F935E" w14:textId="394FB962" w:rsidR="00767429" w:rsidRDefault="00767429" w:rsidP="00615C3E">
      <w:r w:rsidRPr="00767429">
        <w:rPr>
          <w:noProof/>
        </w:rPr>
        <w:drawing>
          <wp:inline distT="0" distB="0" distL="0" distR="0" wp14:anchorId="71E06E98" wp14:editId="7EC13D2D">
            <wp:extent cx="5731510" cy="3031490"/>
            <wp:effectExtent l="0" t="0" r="2540" b="0"/>
            <wp:docPr id="35311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15731" name=""/>
                    <pic:cNvPicPr/>
                  </pic:nvPicPr>
                  <pic:blipFill>
                    <a:blip r:embed="rId17"/>
                    <a:stretch>
                      <a:fillRect/>
                    </a:stretch>
                  </pic:blipFill>
                  <pic:spPr>
                    <a:xfrm>
                      <a:off x="0" y="0"/>
                      <a:ext cx="5731510" cy="3031490"/>
                    </a:xfrm>
                    <a:prstGeom prst="rect">
                      <a:avLst/>
                    </a:prstGeom>
                  </pic:spPr>
                </pic:pic>
              </a:graphicData>
            </a:graphic>
          </wp:inline>
        </w:drawing>
      </w:r>
    </w:p>
    <w:p w14:paraId="193182C2" w14:textId="77777777" w:rsidR="000B075D" w:rsidRDefault="000B075D">
      <w:pPr>
        <w:jc w:val="center"/>
        <w:rPr>
          <w:lang w:eastAsia="en-GB"/>
        </w:rPr>
      </w:pPr>
      <w:r>
        <w:t xml:space="preserve">Appendix C. Area of building </w:t>
      </w:r>
      <w:r>
        <w:rPr>
          <w:sz w:val="22"/>
          <w:szCs w:val="22"/>
        </w:rPr>
        <w:t>(Google Earth, no date c).</w:t>
      </w:r>
    </w:p>
    <w:p w14:paraId="101C732B" w14:textId="77777777" w:rsidR="00852EE0" w:rsidRDefault="00852EE0" w:rsidP="00615C3E"/>
    <w:p w14:paraId="03456BCE" w14:textId="77777777" w:rsidR="00A026FB" w:rsidRDefault="00A026FB" w:rsidP="00615C3E"/>
    <w:p w14:paraId="1586995B" w14:textId="50CC0F33" w:rsidR="00A026FB" w:rsidRDefault="007404A5" w:rsidP="00615C3E">
      <w:r w:rsidRPr="007404A5">
        <w:rPr>
          <w:noProof/>
        </w:rPr>
        <w:lastRenderedPageBreak/>
        <w:drawing>
          <wp:inline distT="0" distB="0" distL="0" distR="0" wp14:anchorId="3F6FFDF4" wp14:editId="3C3F5950">
            <wp:extent cx="5731510" cy="3418840"/>
            <wp:effectExtent l="0" t="0" r="2540" b="0"/>
            <wp:docPr id="1431468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68782" name=""/>
                    <pic:cNvPicPr/>
                  </pic:nvPicPr>
                  <pic:blipFill>
                    <a:blip r:embed="rId18"/>
                    <a:stretch>
                      <a:fillRect/>
                    </a:stretch>
                  </pic:blipFill>
                  <pic:spPr>
                    <a:xfrm>
                      <a:off x="0" y="0"/>
                      <a:ext cx="5731510" cy="3418840"/>
                    </a:xfrm>
                    <a:prstGeom prst="rect">
                      <a:avLst/>
                    </a:prstGeom>
                  </pic:spPr>
                </pic:pic>
              </a:graphicData>
            </a:graphic>
          </wp:inline>
        </w:drawing>
      </w:r>
    </w:p>
    <w:p w14:paraId="337852DB" w14:textId="77777777" w:rsidR="004B4E35" w:rsidRDefault="004B4E35" w:rsidP="00356C40">
      <w:pPr>
        <w:jc w:val="center"/>
      </w:pPr>
      <w:r>
        <w:t xml:space="preserve">Appendix D. Area of asphalt </w:t>
      </w:r>
      <w:r w:rsidRPr="006728BD">
        <w:rPr>
          <w:sz w:val="22"/>
          <w:szCs w:val="22"/>
        </w:rPr>
        <w:t>(Google Earth, no date</w:t>
      </w:r>
      <w:r>
        <w:rPr>
          <w:sz w:val="22"/>
          <w:szCs w:val="22"/>
        </w:rPr>
        <w:t xml:space="preserve"> </w:t>
      </w:r>
      <w:r>
        <w:rPr>
          <w:sz w:val="22"/>
          <w:szCs w:val="22"/>
        </w:rPr>
        <w:t>d</w:t>
      </w:r>
      <w:r w:rsidRPr="006728BD">
        <w:rPr>
          <w:sz w:val="22"/>
          <w:szCs w:val="22"/>
        </w:rPr>
        <w:t>)</w:t>
      </w:r>
      <w:r>
        <w:t>.</w:t>
      </w:r>
    </w:p>
    <w:p w14:paraId="3D0941A6" w14:textId="77777777" w:rsidR="00B04FB8" w:rsidRDefault="00B04FB8" w:rsidP="00615C3E"/>
    <w:p w14:paraId="4746F0BE" w14:textId="75F8E2D4" w:rsidR="00A026FB" w:rsidRDefault="00BD6431" w:rsidP="00615C3E">
      <w:r w:rsidRPr="00BD6431">
        <w:rPr>
          <w:noProof/>
        </w:rPr>
        <w:drawing>
          <wp:inline distT="0" distB="0" distL="0" distR="0" wp14:anchorId="6822E0CA" wp14:editId="420538E2">
            <wp:extent cx="5731510" cy="3204845"/>
            <wp:effectExtent l="0" t="0" r="2540" b="0"/>
            <wp:docPr id="1042628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28511" name=""/>
                    <pic:cNvPicPr/>
                  </pic:nvPicPr>
                  <pic:blipFill>
                    <a:blip r:embed="rId19"/>
                    <a:stretch>
                      <a:fillRect/>
                    </a:stretch>
                  </pic:blipFill>
                  <pic:spPr>
                    <a:xfrm>
                      <a:off x="0" y="0"/>
                      <a:ext cx="5731510" cy="3204845"/>
                    </a:xfrm>
                    <a:prstGeom prst="rect">
                      <a:avLst/>
                    </a:prstGeom>
                  </pic:spPr>
                </pic:pic>
              </a:graphicData>
            </a:graphic>
          </wp:inline>
        </w:drawing>
      </w:r>
    </w:p>
    <w:p w14:paraId="4F104893" w14:textId="77777777" w:rsidR="000B075D" w:rsidRDefault="000B075D">
      <w:pPr>
        <w:jc w:val="center"/>
        <w:rPr>
          <w:lang w:eastAsia="en-GB"/>
        </w:rPr>
      </w:pPr>
      <w:r>
        <w:t xml:space="preserve">Appendix E. Area of grassland </w:t>
      </w:r>
      <w:r>
        <w:rPr>
          <w:sz w:val="22"/>
          <w:szCs w:val="22"/>
        </w:rPr>
        <w:t>(Google Earth, no date e).</w:t>
      </w:r>
    </w:p>
    <w:p w14:paraId="50D63CD1" w14:textId="77777777" w:rsidR="004541E3" w:rsidRDefault="004541E3" w:rsidP="00615C3E"/>
    <w:p w14:paraId="61DD7C48" w14:textId="5C955FDB" w:rsidR="007B6635" w:rsidRDefault="00695ABA" w:rsidP="00615C3E">
      <w:r w:rsidRPr="00695ABA">
        <w:rPr>
          <w:noProof/>
        </w:rPr>
        <w:lastRenderedPageBreak/>
        <w:drawing>
          <wp:inline distT="0" distB="0" distL="0" distR="0" wp14:anchorId="698B35F7" wp14:editId="3F15EE71">
            <wp:extent cx="5731510" cy="3549015"/>
            <wp:effectExtent l="0" t="0" r="2540" b="0"/>
            <wp:docPr id="36384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46629" name=""/>
                    <pic:cNvPicPr/>
                  </pic:nvPicPr>
                  <pic:blipFill>
                    <a:blip r:embed="rId20"/>
                    <a:stretch>
                      <a:fillRect/>
                    </a:stretch>
                  </pic:blipFill>
                  <pic:spPr>
                    <a:xfrm>
                      <a:off x="0" y="0"/>
                      <a:ext cx="5731510" cy="3549015"/>
                    </a:xfrm>
                    <a:prstGeom prst="rect">
                      <a:avLst/>
                    </a:prstGeom>
                  </pic:spPr>
                </pic:pic>
              </a:graphicData>
            </a:graphic>
          </wp:inline>
        </w:drawing>
      </w:r>
    </w:p>
    <w:p w14:paraId="2A194138" w14:textId="77777777" w:rsidR="004B4E35" w:rsidRDefault="004B4E35" w:rsidP="000D3D95">
      <w:pPr>
        <w:jc w:val="center"/>
      </w:pPr>
      <w:r>
        <w:t xml:space="preserve">Appendix F. Area of paving </w:t>
      </w:r>
      <w:r w:rsidRPr="006728BD">
        <w:rPr>
          <w:sz w:val="22"/>
          <w:szCs w:val="22"/>
        </w:rPr>
        <w:t>(Google Earth, no date</w:t>
      </w:r>
      <w:r>
        <w:rPr>
          <w:sz w:val="22"/>
          <w:szCs w:val="22"/>
        </w:rPr>
        <w:t xml:space="preserve"> </w:t>
      </w:r>
      <w:r>
        <w:rPr>
          <w:sz w:val="22"/>
          <w:szCs w:val="22"/>
        </w:rPr>
        <w:t>f</w:t>
      </w:r>
      <w:r w:rsidRPr="006728BD">
        <w:rPr>
          <w:sz w:val="22"/>
          <w:szCs w:val="22"/>
        </w:rPr>
        <w:t>)</w:t>
      </w:r>
      <w:r>
        <w:rPr>
          <w:sz w:val="22"/>
          <w:szCs w:val="22"/>
        </w:rPr>
        <w:t>.</w:t>
      </w:r>
    </w:p>
    <w:p w14:paraId="22946088" w14:textId="23DE39EB" w:rsidR="00C70759" w:rsidRDefault="00BF2C82" w:rsidP="00615C3E">
      <w:r w:rsidRPr="00BF2C82">
        <w:rPr>
          <w:noProof/>
        </w:rPr>
        <w:drawing>
          <wp:inline distT="0" distB="0" distL="0" distR="0" wp14:anchorId="1F60BAC0" wp14:editId="251C0042">
            <wp:extent cx="5731510" cy="3594735"/>
            <wp:effectExtent l="0" t="0" r="2540" b="5715"/>
            <wp:docPr id="425930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30051" name=""/>
                    <pic:cNvPicPr/>
                  </pic:nvPicPr>
                  <pic:blipFill>
                    <a:blip r:embed="rId21"/>
                    <a:stretch>
                      <a:fillRect/>
                    </a:stretch>
                  </pic:blipFill>
                  <pic:spPr>
                    <a:xfrm>
                      <a:off x="0" y="0"/>
                      <a:ext cx="5731510" cy="3594735"/>
                    </a:xfrm>
                    <a:prstGeom prst="rect">
                      <a:avLst/>
                    </a:prstGeom>
                  </pic:spPr>
                </pic:pic>
              </a:graphicData>
            </a:graphic>
          </wp:inline>
        </w:drawing>
      </w:r>
    </w:p>
    <w:p w14:paraId="3DC87FC2" w14:textId="3E3DEF5B" w:rsidR="006222D0" w:rsidRPr="006222D0" w:rsidRDefault="00F5429F" w:rsidP="006222D0">
      <w:pPr>
        <w:jc w:val="center"/>
        <w:rPr>
          <w:sz w:val="22"/>
          <w:szCs w:val="22"/>
        </w:rPr>
      </w:pPr>
      <w:r w:rsidRPr="006222D0">
        <w:rPr>
          <w:sz w:val="22"/>
          <w:szCs w:val="22"/>
        </w:rPr>
        <w:t xml:space="preserve">Appendix </w:t>
      </w:r>
      <w:r w:rsidR="00CA01BA" w:rsidRPr="006222D0">
        <w:rPr>
          <w:sz w:val="22"/>
          <w:szCs w:val="22"/>
        </w:rPr>
        <w:t>G</w:t>
      </w:r>
      <w:r w:rsidRPr="006222D0">
        <w:rPr>
          <w:sz w:val="22"/>
          <w:szCs w:val="22"/>
        </w:rPr>
        <w:t>.</w:t>
      </w:r>
      <w:r w:rsidR="00046DC0" w:rsidRPr="006222D0">
        <w:rPr>
          <w:sz w:val="22"/>
          <w:szCs w:val="22"/>
        </w:rPr>
        <w:t xml:space="preserve"> Development soil type</w:t>
      </w:r>
      <w:r w:rsidR="006222D0" w:rsidRPr="006222D0">
        <w:rPr>
          <w:sz w:val="22"/>
          <w:szCs w:val="22"/>
        </w:rPr>
        <w:t xml:space="preserve"> </w:t>
      </w:r>
      <w:r w:rsidR="006222D0" w:rsidRPr="006222D0">
        <w:rPr>
          <w:sz w:val="22"/>
          <w:szCs w:val="22"/>
        </w:rPr>
        <w:t>(EDINA Digimap, no date)</w:t>
      </w:r>
      <w:r w:rsidR="006222D0">
        <w:rPr>
          <w:sz w:val="22"/>
          <w:szCs w:val="22"/>
        </w:rPr>
        <w:t>.</w:t>
      </w:r>
    </w:p>
    <w:p w14:paraId="5D245B2B" w14:textId="4FD9FDDB" w:rsidR="00F5429F" w:rsidRDefault="00F5429F" w:rsidP="00BF2C82">
      <w:pPr>
        <w:jc w:val="center"/>
      </w:pPr>
    </w:p>
    <w:p w14:paraId="4C216DCB" w14:textId="77777777" w:rsidR="00A026FB" w:rsidRDefault="00A026FB" w:rsidP="00615C3E"/>
    <w:p w14:paraId="61A8BDD6" w14:textId="37B3F55B" w:rsidR="00686315" w:rsidRDefault="00C310DF" w:rsidP="00DE09D1">
      <w:pPr>
        <w:pStyle w:val="Heading2"/>
      </w:pPr>
      <w:bookmarkStart w:id="10" w:name="_Toc231901620"/>
      <w:r>
        <w:lastRenderedPageBreak/>
        <w:t>References</w:t>
      </w:r>
      <w:bookmarkEnd w:id="10"/>
    </w:p>
    <w:p w14:paraId="69CFF600" w14:textId="77777777" w:rsidR="001C73B5" w:rsidRPr="001C73B5" w:rsidRDefault="001C73B5" w:rsidP="001C73B5"/>
    <w:p w14:paraId="44232589" w14:textId="77777777" w:rsidR="00402A6D" w:rsidRPr="00602B56" w:rsidRDefault="00402A6D" w:rsidP="00402A6D">
      <w:pPr>
        <w:rPr>
          <w:sz w:val="20"/>
          <w:szCs w:val="20"/>
        </w:rPr>
      </w:pPr>
      <w:r w:rsidRPr="00602B56">
        <w:rPr>
          <w:sz w:val="20"/>
          <w:szCs w:val="20"/>
        </w:rPr>
        <w:t xml:space="preserve">British Standards Institution (2022) </w:t>
      </w:r>
      <w:r w:rsidRPr="00602B56">
        <w:rPr>
          <w:i/>
          <w:iCs/>
          <w:sz w:val="20"/>
          <w:szCs w:val="20"/>
        </w:rPr>
        <w:t>BS EN 17037:2018+A1:2021, Daylight in buildings</w:t>
      </w:r>
      <w:r w:rsidRPr="00602B56">
        <w:rPr>
          <w:sz w:val="20"/>
          <w:szCs w:val="20"/>
        </w:rPr>
        <w:t>. London: BSI</w:t>
      </w:r>
    </w:p>
    <w:p w14:paraId="6635F649" w14:textId="27A345C1" w:rsidR="00402A6D" w:rsidRPr="00602B56" w:rsidRDefault="00402A6D" w:rsidP="00402A6D">
      <w:pPr>
        <w:rPr>
          <w:sz w:val="20"/>
          <w:szCs w:val="20"/>
        </w:rPr>
      </w:pPr>
      <w:r w:rsidRPr="00602B56">
        <w:rPr>
          <w:sz w:val="20"/>
          <w:szCs w:val="20"/>
        </w:rPr>
        <w:t xml:space="preserve">CIBSE Journal (2024) </w:t>
      </w:r>
      <w:r w:rsidRPr="00602B56">
        <w:rPr>
          <w:i/>
          <w:iCs/>
          <w:sz w:val="20"/>
          <w:szCs w:val="20"/>
        </w:rPr>
        <w:t>Case study: Manchester’s garden of Eden</w:t>
      </w:r>
      <w:r w:rsidRPr="00602B56">
        <w:rPr>
          <w:sz w:val="20"/>
          <w:szCs w:val="20"/>
        </w:rPr>
        <w:t xml:space="preserve">. Screenshot from webpage. Available at: </w:t>
      </w:r>
      <w:hyperlink r:id="rId22" w:history="1">
        <w:r w:rsidR="007667EC" w:rsidRPr="009341AC">
          <w:rPr>
            <w:rStyle w:val="Hyperlink"/>
            <w:sz w:val="20"/>
            <w:szCs w:val="20"/>
          </w:rPr>
          <w:t>https://www.cibsejournal.com/case-studies/case-study-manchesters-garden-of-eden/</w:t>
        </w:r>
      </w:hyperlink>
      <w:r w:rsidR="007667EC">
        <w:rPr>
          <w:sz w:val="20"/>
          <w:szCs w:val="20"/>
        </w:rPr>
        <w:t xml:space="preserve"> </w:t>
      </w:r>
      <w:r w:rsidRPr="00602B56">
        <w:rPr>
          <w:sz w:val="20"/>
          <w:szCs w:val="20"/>
        </w:rPr>
        <w:t>(Accessed: 5 June 2026).</w:t>
      </w:r>
    </w:p>
    <w:p w14:paraId="44CFE2F4" w14:textId="7C3CA84D" w:rsidR="00402A6D" w:rsidRDefault="00402A6D" w:rsidP="00402A6D">
      <w:pPr>
        <w:rPr>
          <w:sz w:val="20"/>
          <w:szCs w:val="20"/>
        </w:rPr>
      </w:pPr>
      <w:r w:rsidRPr="00602B56">
        <w:rPr>
          <w:sz w:val="20"/>
          <w:szCs w:val="20"/>
        </w:rPr>
        <w:t xml:space="preserve">EDINA Digimap (no date) </w:t>
      </w:r>
      <w:r w:rsidRPr="00602B56">
        <w:rPr>
          <w:i/>
          <w:iCs/>
          <w:sz w:val="20"/>
          <w:szCs w:val="20"/>
        </w:rPr>
        <w:t>Geology Roam map</w:t>
      </w:r>
      <w:r w:rsidRPr="00602B56">
        <w:rPr>
          <w:sz w:val="20"/>
          <w:szCs w:val="20"/>
        </w:rPr>
        <w:t xml:space="preserve">. Screenshot from online map. Available at: </w:t>
      </w:r>
      <w:hyperlink r:id="rId23" w:history="1">
        <w:r w:rsidR="007667EC" w:rsidRPr="009341AC">
          <w:rPr>
            <w:rStyle w:val="Hyperlink"/>
            <w:sz w:val="20"/>
            <w:szCs w:val="20"/>
          </w:rPr>
          <w:t>https://digimap.edina.ac.uk/roam/map/geology</w:t>
        </w:r>
      </w:hyperlink>
      <w:r w:rsidR="007667EC">
        <w:rPr>
          <w:sz w:val="20"/>
          <w:szCs w:val="20"/>
        </w:rPr>
        <w:t xml:space="preserve"> </w:t>
      </w:r>
      <w:r w:rsidRPr="00602B56">
        <w:rPr>
          <w:sz w:val="20"/>
          <w:szCs w:val="20"/>
        </w:rPr>
        <w:t>(Accessed: 7 June 2026).</w:t>
      </w:r>
    </w:p>
    <w:p w14:paraId="5421E3EE" w14:textId="7E858A4C" w:rsidR="00031D3B" w:rsidRDefault="00031D3B" w:rsidP="00402A6D">
      <w:pPr>
        <w:rPr>
          <w:sz w:val="20"/>
          <w:szCs w:val="20"/>
        </w:rPr>
      </w:pPr>
      <w:r>
        <w:rPr>
          <w:sz w:val="20"/>
          <w:szCs w:val="20"/>
        </w:rPr>
        <w:t>Goodrum, J</w:t>
      </w:r>
      <w:r w:rsidRPr="00602B56">
        <w:rPr>
          <w:sz w:val="20"/>
          <w:szCs w:val="20"/>
        </w:rPr>
        <w:t xml:space="preserve"> (2026</w:t>
      </w:r>
      <w:r>
        <w:rPr>
          <w:sz w:val="20"/>
          <w:szCs w:val="20"/>
        </w:rPr>
        <w:t>a</w:t>
      </w:r>
      <w:r w:rsidRPr="00602B56">
        <w:rPr>
          <w:sz w:val="20"/>
          <w:szCs w:val="20"/>
        </w:rPr>
        <w:t xml:space="preserve">) </w:t>
      </w:r>
      <w:r w:rsidRPr="00602B56">
        <w:rPr>
          <w:i/>
          <w:iCs/>
          <w:sz w:val="20"/>
          <w:szCs w:val="20"/>
        </w:rPr>
        <w:t>AI-generated visualisation of a multi-storey commercial CLT building with glazed ground floor and adjacent car park, based on site photograph</w:t>
      </w:r>
      <w:r w:rsidRPr="00602B56">
        <w:rPr>
          <w:sz w:val="20"/>
          <w:szCs w:val="20"/>
        </w:rPr>
        <w:t>. Created using Microsoft Copilot (OpenAI), 16 May.</w:t>
      </w:r>
    </w:p>
    <w:p w14:paraId="0160BD56" w14:textId="64178117" w:rsidR="001C73B5" w:rsidRDefault="001C73B5" w:rsidP="00402A6D">
      <w:pPr>
        <w:rPr>
          <w:sz w:val="20"/>
          <w:szCs w:val="20"/>
        </w:rPr>
      </w:pPr>
      <w:r w:rsidRPr="001C73B5">
        <w:rPr>
          <w:sz w:val="20"/>
          <w:szCs w:val="20"/>
        </w:rPr>
        <w:t>Goodrum, J. (2026</w:t>
      </w:r>
      <w:r w:rsidR="00031D3B">
        <w:rPr>
          <w:sz w:val="20"/>
          <w:szCs w:val="20"/>
        </w:rPr>
        <w:t>b</w:t>
      </w:r>
      <w:r w:rsidRPr="001C73B5">
        <w:rPr>
          <w:sz w:val="20"/>
          <w:szCs w:val="20"/>
        </w:rPr>
        <w:t xml:space="preserve">) </w:t>
      </w:r>
      <w:r w:rsidRPr="001C73B5">
        <w:rPr>
          <w:i/>
          <w:iCs/>
          <w:sz w:val="20"/>
          <w:szCs w:val="20"/>
        </w:rPr>
        <w:t>Construction storyboard for multi-storey hotel development (CLT frame and concrete core).</w:t>
      </w:r>
      <w:r w:rsidRPr="001C73B5">
        <w:rPr>
          <w:sz w:val="20"/>
          <w:szCs w:val="20"/>
        </w:rPr>
        <w:t xml:space="preserve"> AI-generated image. Created using Microsoft Copilot (GPT-5), June 2026. Unpublished.</w:t>
      </w:r>
    </w:p>
    <w:p w14:paraId="2B681F95" w14:textId="0ED65529" w:rsidR="000126AA" w:rsidRDefault="000126AA" w:rsidP="00402A6D">
      <w:pPr>
        <w:rPr>
          <w:sz w:val="20"/>
          <w:szCs w:val="20"/>
        </w:rPr>
      </w:pPr>
      <w:r>
        <w:rPr>
          <w:sz w:val="20"/>
          <w:szCs w:val="20"/>
        </w:rPr>
        <w:t>Goodrum</w:t>
      </w:r>
      <w:r w:rsidR="00283CB9">
        <w:rPr>
          <w:sz w:val="20"/>
          <w:szCs w:val="20"/>
        </w:rPr>
        <w:t>, J</w:t>
      </w:r>
      <w:r w:rsidRPr="00602B56">
        <w:rPr>
          <w:sz w:val="20"/>
          <w:szCs w:val="20"/>
        </w:rPr>
        <w:t xml:space="preserve"> (2026</w:t>
      </w:r>
      <w:r w:rsidR="00283CB9">
        <w:rPr>
          <w:sz w:val="20"/>
          <w:szCs w:val="20"/>
        </w:rPr>
        <w:t>c</w:t>
      </w:r>
      <w:r w:rsidRPr="00602B56">
        <w:rPr>
          <w:sz w:val="20"/>
          <w:szCs w:val="20"/>
        </w:rPr>
        <w:t xml:space="preserve">) </w:t>
      </w:r>
      <w:r w:rsidRPr="00602B56">
        <w:rPr>
          <w:i/>
          <w:iCs/>
          <w:sz w:val="20"/>
          <w:szCs w:val="20"/>
        </w:rPr>
        <w:t>Swale cross-section showing grassed surface, sand and gravel layers with dimensions (L = 3 m, W = 1.5 m, D1 = 0.9 m, D2 = 0.3 m)</w:t>
      </w:r>
      <w:r w:rsidRPr="00602B56">
        <w:rPr>
          <w:sz w:val="20"/>
          <w:szCs w:val="20"/>
        </w:rPr>
        <w:t>. AI-generated image. Created using Copilot (GPT-5). Unpublished.</w:t>
      </w:r>
    </w:p>
    <w:p w14:paraId="470298D1" w14:textId="70F1A0F5" w:rsidR="00D24B93" w:rsidRDefault="00D24B93" w:rsidP="00402A6D">
      <w:pPr>
        <w:rPr>
          <w:sz w:val="20"/>
          <w:szCs w:val="20"/>
        </w:rPr>
      </w:pPr>
      <w:r w:rsidRPr="00A5251A">
        <w:rPr>
          <w:sz w:val="20"/>
          <w:szCs w:val="20"/>
        </w:rPr>
        <w:t>Google Earth (no date</w:t>
      </w:r>
      <w:r w:rsidR="00A5251A" w:rsidRPr="00A5251A">
        <w:rPr>
          <w:sz w:val="20"/>
          <w:szCs w:val="20"/>
        </w:rPr>
        <w:t xml:space="preserve"> a</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4" w:history="1">
        <w:r w:rsidR="00C51B14" w:rsidRPr="009341AC">
          <w:rPr>
            <w:rStyle w:val="Hyperlink"/>
            <w:sz w:val="20"/>
            <w:szCs w:val="20"/>
          </w:rPr>
          <w:t>https://earth.google.com/web/@51.60604905,-3.98626288,8.9589521a,364.59974636d,35y,235.3</w:t>
        </w:r>
        <w:r w:rsidR="00C51B14" w:rsidRPr="009341AC">
          <w:rPr>
            <w:rStyle w:val="Hyperlink"/>
            <w:sz w:val="20"/>
            <w:szCs w:val="20"/>
          </w:rPr>
          <w:t>8</w:t>
        </w:r>
        <w:r w:rsidR="00C51B14" w:rsidRPr="009341AC">
          <w:rPr>
            <w:rStyle w:val="Hyperlink"/>
            <w:sz w:val="20"/>
            <w:szCs w:val="20"/>
          </w:rPr>
          <w:t>929876h,0t,0r/data=CgRCAggBQgIIAEoNCP___________wEQAA?hl=en-GB</w:t>
        </w:r>
      </w:hyperlink>
      <w:r w:rsidR="00C51B14">
        <w:rPr>
          <w:sz w:val="20"/>
          <w:szCs w:val="20"/>
        </w:rPr>
        <w:t xml:space="preserve"> </w:t>
      </w:r>
      <w:r w:rsidRPr="00D24B93">
        <w:rPr>
          <w:sz w:val="20"/>
          <w:szCs w:val="20"/>
        </w:rPr>
        <w:t>(Accessed: 9 June 2026).</w:t>
      </w:r>
    </w:p>
    <w:p w14:paraId="11F852AB" w14:textId="1B76CEA9" w:rsidR="00CA01BA" w:rsidRPr="00602B56" w:rsidRDefault="00CA01BA" w:rsidP="00CA01BA">
      <w:pPr>
        <w:rPr>
          <w:sz w:val="20"/>
          <w:szCs w:val="20"/>
        </w:rPr>
      </w:pPr>
      <w:r w:rsidRPr="00A5251A">
        <w:rPr>
          <w:sz w:val="20"/>
          <w:szCs w:val="20"/>
        </w:rPr>
        <w:t xml:space="preserve">Google Earth (no date </w:t>
      </w:r>
      <w:r>
        <w:rPr>
          <w:sz w:val="20"/>
          <w:szCs w:val="20"/>
        </w:rPr>
        <w:t>b</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5" w:history="1">
        <w:r w:rsidRPr="009341AC">
          <w:rPr>
            <w:rStyle w:val="Hyperlink"/>
            <w:sz w:val="20"/>
            <w:szCs w:val="20"/>
          </w:rPr>
          <w:t>https://earth.google.com/web/@51.60604905,-3.98626288,8.9589521a,364.59974636d,35y,235.38929876h,0t,0r/data=CgRCAggBQgIIAEoNCP___________wEQAA?hl=en-GB</w:t>
        </w:r>
      </w:hyperlink>
      <w:r>
        <w:rPr>
          <w:sz w:val="20"/>
          <w:szCs w:val="20"/>
        </w:rPr>
        <w:t xml:space="preserve"> </w:t>
      </w:r>
      <w:r w:rsidRPr="00D24B93">
        <w:rPr>
          <w:sz w:val="20"/>
          <w:szCs w:val="20"/>
        </w:rPr>
        <w:t>(Accessed: 9 June 2026).</w:t>
      </w:r>
    </w:p>
    <w:p w14:paraId="248CA5EE" w14:textId="18AFC11D" w:rsidR="00CA01BA" w:rsidRPr="00602B56" w:rsidRDefault="00CA01BA" w:rsidP="00CA01BA">
      <w:pPr>
        <w:rPr>
          <w:sz w:val="20"/>
          <w:szCs w:val="20"/>
        </w:rPr>
      </w:pPr>
      <w:r w:rsidRPr="00A5251A">
        <w:rPr>
          <w:sz w:val="20"/>
          <w:szCs w:val="20"/>
        </w:rPr>
        <w:t xml:space="preserve">Google Earth (no date </w:t>
      </w:r>
      <w:r>
        <w:rPr>
          <w:sz w:val="20"/>
          <w:szCs w:val="20"/>
        </w:rPr>
        <w:t>c</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6" w:history="1">
        <w:r w:rsidRPr="009341AC">
          <w:rPr>
            <w:rStyle w:val="Hyperlink"/>
            <w:sz w:val="20"/>
            <w:szCs w:val="20"/>
          </w:rPr>
          <w:t>https://earth.google.com/web/@51.60604905,-3.98626288,8.9589521a,364.59974636d,35y,235.38929876h,0t,0r/data=CgRCAggBQgIIAEoNCP___________wEQAA?hl=en-GB</w:t>
        </w:r>
      </w:hyperlink>
      <w:r>
        <w:rPr>
          <w:sz w:val="20"/>
          <w:szCs w:val="20"/>
        </w:rPr>
        <w:t xml:space="preserve"> </w:t>
      </w:r>
      <w:r w:rsidRPr="00D24B93">
        <w:rPr>
          <w:sz w:val="20"/>
          <w:szCs w:val="20"/>
        </w:rPr>
        <w:t>(Accessed: 9 June 2026).</w:t>
      </w:r>
    </w:p>
    <w:p w14:paraId="36F1FA3C" w14:textId="1B2EA201" w:rsidR="00CA01BA" w:rsidRPr="00602B56" w:rsidRDefault="00CA01BA" w:rsidP="00CA01BA">
      <w:pPr>
        <w:rPr>
          <w:sz w:val="20"/>
          <w:szCs w:val="20"/>
        </w:rPr>
      </w:pPr>
      <w:r w:rsidRPr="00A5251A">
        <w:rPr>
          <w:sz w:val="20"/>
          <w:szCs w:val="20"/>
        </w:rPr>
        <w:t xml:space="preserve">Google Earth (no date </w:t>
      </w:r>
      <w:r>
        <w:rPr>
          <w:sz w:val="20"/>
          <w:szCs w:val="20"/>
        </w:rPr>
        <w:t>d</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7" w:history="1">
        <w:r w:rsidRPr="009341AC">
          <w:rPr>
            <w:rStyle w:val="Hyperlink"/>
            <w:sz w:val="20"/>
            <w:szCs w:val="20"/>
          </w:rPr>
          <w:t>https://earth.google.com/web/@51.60604905,-3.98626288,8.9589521a,364.59974636d,35y,235.38929876h,0t,0r/data=CgRCAggBQgIIAEoNCP___________wEQAA?hl=en-GB</w:t>
        </w:r>
      </w:hyperlink>
      <w:r>
        <w:rPr>
          <w:sz w:val="20"/>
          <w:szCs w:val="20"/>
        </w:rPr>
        <w:t xml:space="preserve"> </w:t>
      </w:r>
      <w:r w:rsidRPr="00D24B93">
        <w:rPr>
          <w:sz w:val="20"/>
          <w:szCs w:val="20"/>
        </w:rPr>
        <w:t>(Accessed: 9 June 2026).</w:t>
      </w:r>
    </w:p>
    <w:p w14:paraId="51EA5D55" w14:textId="7D642CD2" w:rsidR="00CA01BA" w:rsidRPr="00602B56" w:rsidRDefault="00CA01BA" w:rsidP="00CA01BA">
      <w:pPr>
        <w:rPr>
          <w:sz w:val="20"/>
          <w:szCs w:val="20"/>
        </w:rPr>
      </w:pPr>
      <w:r w:rsidRPr="00A5251A">
        <w:rPr>
          <w:sz w:val="20"/>
          <w:szCs w:val="20"/>
        </w:rPr>
        <w:t xml:space="preserve">Google Earth (no date </w:t>
      </w:r>
      <w:r>
        <w:rPr>
          <w:sz w:val="20"/>
          <w:szCs w:val="20"/>
        </w:rPr>
        <w:t>e</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8" w:history="1">
        <w:r w:rsidRPr="009341AC">
          <w:rPr>
            <w:rStyle w:val="Hyperlink"/>
            <w:sz w:val="20"/>
            <w:szCs w:val="20"/>
          </w:rPr>
          <w:t>https://earth.google.com/web/@51.60604905,-3.98626288,8.9589521a,364.59974636d,35y,235.38929876h,0t,0r/data=CgRCAggBQgIIAEoNCP___________wEQAA?hl=en-GB</w:t>
        </w:r>
      </w:hyperlink>
      <w:r>
        <w:rPr>
          <w:sz w:val="20"/>
          <w:szCs w:val="20"/>
        </w:rPr>
        <w:t xml:space="preserve"> </w:t>
      </w:r>
      <w:r w:rsidRPr="00D24B93">
        <w:rPr>
          <w:sz w:val="20"/>
          <w:szCs w:val="20"/>
        </w:rPr>
        <w:t>(Accessed: 9 June 2026).</w:t>
      </w:r>
    </w:p>
    <w:p w14:paraId="30E2E4C2" w14:textId="50F1CF3E" w:rsidR="00CA01BA" w:rsidRPr="00602B56" w:rsidRDefault="00CA01BA" w:rsidP="00CA01BA">
      <w:pPr>
        <w:rPr>
          <w:sz w:val="20"/>
          <w:szCs w:val="20"/>
        </w:rPr>
      </w:pPr>
      <w:r w:rsidRPr="00A5251A">
        <w:rPr>
          <w:sz w:val="20"/>
          <w:szCs w:val="20"/>
        </w:rPr>
        <w:t xml:space="preserve">Google Earth (no date </w:t>
      </w:r>
      <w:r>
        <w:rPr>
          <w:sz w:val="20"/>
          <w:szCs w:val="20"/>
        </w:rPr>
        <w:t>f</w:t>
      </w:r>
      <w:r w:rsidRPr="00A5251A">
        <w:rPr>
          <w:sz w:val="20"/>
          <w:szCs w:val="20"/>
        </w:rPr>
        <w:t>)</w:t>
      </w:r>
      <w:r w:rsidRPr="00D24B93">
        <w:rPr>
          <w:sz w:val="20"/>
          <w:szCs w:val="20"/>
        </w:rPr>
        <w:t xml:space="preserve"> </w:t>
      </w:r>
      <w:r w:rsidRPr="00D24B93">
        <w:rPr>
          <w:i/>
          <w:iCs/>
          <w:sz w:val="20"/>
          <w:szCs w:val="20"/>
        </w:rPr>
        <w:t>Location view at 51.60604905, -3.98626288</w:t>
      </w:r>
      <w:r w:rsidRPr="00D24B93">
        <w:rPr>
          <w:sz w:val="20"/>
          <w:szCs w:val="20"/>
        </w:rPr>
        <w:t xml:space="preserve">. Screenshot from online map. Available at: </w:t>
      </w:r>
      <w:hyperlink r:id="rId29" w:history="1">
        <w:r w:rsidRPr="009341AC">
          <w:rPr>
            <w:rStyle w:val="Hyperlink"/>
            <w:sz w:val="20"/>
            <w:szCs w:val="20"/>
          </w:rPr>
          <w:t>https://earth.google.com/web/@51.60604905,-3.98626288,8.9589521a,364.59974636d,35y,235.38929876h,0t,0r/data=CgRCAggBQgIIAEoNCP___________wEQAA?hl=en-GB</w:t>
        </w:r>
      </w:hyperlink>
      <w:r>
        <w:rPr>
          <w:sz w:val="20"/>
          <w:szCs w:val="20"/>
        </w:rPr>
        <w:t xml:space="preserve"> </w:t>
      </w:r>
      <w:r w:rsidRPr="00D24B93">
        <w:rPr>
          <w:sz w:val="20"/>
          <w:szCs w:val="20"/>
        </w:rPr>
        <w:t>(Accessed: 9 June 2026).</w:t>
      </w:r>
    </w:p>
    <w:p w14:paraId="0DC321E7" w14:textId="77777777" w:rsidR="00CA01BA" w:rsidRPr="00602B56" w:rsidRDefault="00CA01BA" w:rsidP="00402A6D">
      <w:pPr>
        <w:rPr>
          <w:sz w:val="20"/>
          <w:szCs w:val="20"/>
        </w:rPr>
      </w:pPr>
    </w:p>
    <w:p w14:paraId="377469F3" w14:textId="43ECC4BC" w:rsidR="00402A6D" w:rsidRPr="00602B56" w:rsidRDefault="00402A6D" w:rsidP="00402A6D">
      <w:pPr>
        <w:rPr>
          <w:sz w:val="20"/>
          <w:szCs w:val="20"/>
        </w:rPr>
      </w:pPr>
      <w:r w:rsidRPr="00602B56">
        <w:rPr>
          <w:sz w:val="20"/>
          <w:szCs w:val="20"/>
        </w:rPr>
        <w:lastRenderedPageBreak/>
        <w:t xml:space="preserve">HCE Ltd (2022) </w:t>
      </w:r>
      <w:r w:rsidRPr="00602B56">
        <w:rPr>
          <w:i/>
          <w:iCs/>
          <w:sz w:val="20"/>
          <w:szCs w:val="20"/>
        </w:rPr>
        <w:t xml:space="preserve">Storm Water Drainage Calculations for New Production Facility at TIMET UK, </w:t>
      </w:r>
      <w:proofErr w:type="spellStart"/>
      <w:r w:rsidRPr="00602B56">
        <w:rPr>
          <w:i/>
          <w:iCs/>
          <w:sz w:val="20"/>
          <w:szCs w:val="20"/>
        </w:rPr>
        <w:t>Waunarlwydd</w:t>
      </w:r>
      <w:proofErr w:type="spellEnd"/>
      <w:r w:rsidRPr="00602B56">
        <w:rPr>
          <w:i/>
          <w:iCs/>
          <w:sz w:val="20"/>
          <w:szCs w:val="20"/>
        </w:rPr>
        <w:t>, Swansea</w:t>
      </w:r>
      <w:r w:rsidRPr="00602B56">
        <w:rPr>
          <w:sz w:val="20"/>
          <w:szCs w:val="20"/>
        </w:rPr>
        <w:t xml:space="preserve">. Document no. HCE-1546-CVD-CAL-001, Rev. R03, February 2022. Available at: </w:t>
      </w:r>
      <w:hyperlink r:id="rId30" w:history="1">
        <w:r w:rsidR="007667EC" w:rsidRPr="009341AC">
          <w:rPr>
            <w:rStyle w:val="Hyperlink"/>
            <w:sz w:val="20"/>
            <w:szCs w:val="20"/>
          </w:rPr>
          <w:t>https://www.evansbanks.com/wp-content/uploads/2022/02/HCE-1546-CVD-CAL-001-SW-Drainage-Calculations.pdf</w:t>
        </w:r>
      </w:hyperlink>
      <w:r w:rsidR="007667EC">
        <w:rPr>
          <w:sz w:val="20"/>
          <w:szCs w:val="20"/>
        </w:rPr>
        <w:t xml:space="preserve"> </w:t>
      </w:r>
      <w:r w:rsidRPr="00602B56">
        <w:rPr>
          <w:sz w:val="20"/>
          <w:szCs w:val="20"/>
        </w:rPr>
        <w:t>(Accessed: 7 June 2026).</w:t>
      </w:r>
    </w:p>
    <w:p w14:paraId="3720B71C" w14:textId="64E081B4" w:rsidR="00602B56" w:rsidRPr="00602B56" w:rsidRDefault="00602B56" w:rsidP="00602B56">
      <w:pPr>
        <w:rPr>
          <w:sz w:val="20"/>
          <w:szCs w:val="20"/>
        </w:rPr>
      </w:pPr>
      <w:r w:rsidRPr="00602B56">
        <w:rPr>
          <w:sz w:val="20"/>
          <w:szCs w:val="20"/>
        </w:rPr>
        <w:t xml:space="preserve">Health and Safety Executive (HSE) (2015a) </w:t>
      </w:r>
      <w:r w:rsidRPr="00602B56">
        <w:rPr>
          <w:i/>
          <w:iCs/>
          <w:sz w:val="20"/>
          <w:szCs w:val="20"/>
        </w:rPr>
        <w:t>Managing health and safety in construction: Construction (Design and Management) Regulations 2015. Guidance on Regulations</w:t>
      </w:r>
      <w:r w:rsidRPr="00602B56">
        <w:rPr>
          <w:sz w:val="20"/>
          <w:szCs w:val="20"/>
        </w:rPr>
        <w:t xml:space="preserve">. L153. Available at: </w:t>
      </w:r>
      <w:hyperlink r:id="rId31" w:history="1">
        <w:r w:rsidR="007667EC" w:rsidRPr="009341AC">
          <w:rPr>
            <w:rStyle w:val="Hyperlink"/>
            <w:sz w:val="20"/>
            <w:szCs w:val="20"/>
          </w:rPr>
          <w:t>https://books.hse.gov.uk/gempdf/L153.pdf</w:t>
        </w:r>
      </w:hyperlink>
      <w:r w:rsidR="007667EC">
        <w:rPr>
          <w:sz w:val="20"/>
          <w:szCs w:val="20"/>
        </w:rPr>
        <w:t xml:space="preserve"> </w:t>
      </w:r>
      <w:r w:rsidRPr="00602B56">
        <w:rPr>
          <w:sz w:val="20"/>
          <w:szCs w:val="20"/>
        </w:rPr>
        <w:t>(Accessed: 9 June 2026).</w:t>
      </w:r>
    </w:p>
    <w:p w14:paraId="6D502823" w14:textId="77ECBE3F" w:rsidR="00602B56" w:rsidRPr="00602B56" w:rsidRDefault="00602B56" w:rsidP="00402A6D">
      <w:pPr>
        <w:rPr>
          <w:sz w:val="20"/>
          <w:szCs w:val="20"/>
        </w:rPr>
      </w:pPr>
      <w:r w:rsidRPr="00602B56">
        <w:rPr>
          <w:sz w:val="20"/>
          <w:szCs w:val="20"/>
        </w:rPr>
        <w:t xml:space="preserve">Health and Safety Executive (HSE) (2015b) </w:t>
      </w:r>
      <w:r w:rsidRPr="00602B56">
        <w:rPr>
          <w:i/>
          <w:iCs/>
          <w:sz w:val="20"/>
          <w:szCs w:val="20"/>
        </w:rPr>
        <w:t>Managing health and safety in construction: Construction (Design and Management) Regulations 2015. Guidance on Regulations</w:t>
      </w:r>
      <w:r w:rsidRPr="00602B56">
        <w:rPr>
          <w:sz w:val="20"/>
          <w:szCs w:val="20"/>
        </w:rPr>
        <w:t xml:space="preserve">. L153. Available at: </w:t>
      </w:r>
      <w:hyperlink r:id="rId32" w:history="1">
        <w:r w:rsidR="007667EC" w:rsidRPr="009341AC">
          <w:rPr>
            <w:rStyle w:val="Hyperlink"/>
            <w:sz w:val="20"/>
            <w:szCs w:val="20"/>
          </w:rPr>
          <w:t>https://books.hse.gov.uk/gempdf/L153.pdf</w:t>
        </w:r>
      </w:hyperlink>
      <w:r w:rsidR="007667EC">
        <w:rPr>
          <w:sz w:val="20"/>
          <w:szCs w:val="20"/>
        </w:rPr>
        <w:t xml:space="preserve"> </w:t>
      </w:r>
      <w:r w:rsidRPr="00602B56">
        <w:rPr>
          <w:sz w:val="20"/>
          <w:szCs w:val="20"/>
        </w:rPr>
        <w:t>(Accessed: 9 June 2026).</w:t>
      </w:r>
    </w:p>
    <w:p w14:paraId="6CDCC173" w14:textId="68C7EF66" w:rsidR="00686315" w:rsidRPr="00602B56" w:rsidRDefault="00686315" w:rsidP="000F2853">
      <w:pPr>
        <w:rPr>
          <w:sz w:val="20"/>
          <w:szCs w:val="20"/>
        </w:rPr>
      </w:pPr>
      <w:r w:rsidRPr="00602B56">
        <w:rPr>
          <w:sz w:val="20"/>
          <w:szCs w:val="20"/>
        </w:rPr>
        <w:t xml:space="preserve">International Organization for Standardization (ISO) (2020) </w:t>
      </w:r>
      <w:r w:rsidRPr="00602B56">
        <w:rPr>
          <w:i/>
          <w:iCs/>
          <w:sz w:val="20"/>
          <w:szCs w:val="20"/>
        </w:rPr>
        <w:t>ISO 20887:2020 Sustainability in buildings and civil engineering works — Design for disassembly and adaptability — Principles, requirements and guidance</w:t>
      </w:r>
      <w:r w:rsidRPr="00602B56">
        <w:rPr>
          <w:sz w:val="20"/>
          <w:szCs w:val="20"/>
        </w:rPr>
        <w:t xml:space="preserve">. Geneva: ISO. Available at: </w:t>
      </w:r>
      <w:hyperlink r:id="rId33" w:history="1">
        <w:r w:rsidRPr="00602B56">
          <w:rPr>
            <w:rStyle w:val="Hyperlink"/>
            <w:sz w:val="20"/>
            <w:szCs w:val="20"/>
          </w:rPr>
          <w:t>https://www.iso.org/standard/69370.html</w:t>
        </w:r>
      </w:hyperlink>
      <w:r w:rsidRPr="00602B56">
        <w:rPr>
          <w:sz w:val="20"/>
          <w:szCs w:val="20"/>
        </w:rPr>
        <w:t xml:space="preserve"> (Accessed: 27 May 2026)</w:t>
      </w:r>
    </w:p>
    <w:p w14:paraId="3A6578B8" w14:textId="03080836" w:rsidR="000F2853" w:rsidRPr="00602B56" w:rsidRDefault="000F2853" w:rsidP="000F2853">
      <w:pPr>
        <w:rPr>
          <w:sz w:val="20"/>
          <w:szCs w:val="20"/>
        </w:rPr>
      </w:pPr>
      <w:r w:rsidRPr="00602B56">
        <w:rPr>
          <w:sz w:val="20"/>
          <w:szCs w:val="20"/>
        </w:rPr>
        <w:t xml:space="preserve">Lüley, M. (2023) ‘Ephemeral occupancies: Non-linear approach to adaptable architecture’, </w:t>
      </w:r>
      <w:r w:rsidRPr="00602B56">
        <w:rPr>
          <w:i/>
          <w:iCs/>
          <w:sz w:val="20"/>
          <w:szCs w:val="20"/>
        </w:rPr>
        <w:t>ALFA</w:t>
      </w:r>
      <w:r w:rsidRPr="00602B56">
        <w:rPr>
          <w:sz w:val="20"/>
          <w:szCs w:val="20"/>
        </w:rPr>
        <w:t xml:space="preserve">, 28(2). Available at: </w:t>
      </w:r>
      <w:hyperlink r:id="rId34" w:history="1">
        <w:r w:rsidR="007667EC" w:rsidRPr="009341AC">
          <w:rPr>
            <w:rStyle w:val="Hyperlink"/>
            <w:sz w:val="20"/>
            <w:szCs w:val="20"/>
          </w:rPr>
          <w:t>https://www.usablebuildings.co.uk/UsableBuildings/Unprotected/EphemeralOccupancies.pdf</w:t>
        </w:r>
      </w:hyperlink>
      <w:r w:rsidR="007667EC">
        <w:rPr>
          <w:sz w:val="20"/>
          <w:szCs w:val="20"/>
        </w:rPr>
        <w:t xml:space="preserve"> </w:t>
      </w:r>
      <w:r w:rsidRPr="00602B56">
        <w:rPr>
          <w:sz w:val="20"/>
          <w:szCs w:val="20"/>
        </w:rPr>
        <w:t>(Accessed: 27 May 2026).</w:t>
      </w:r>
    </w:p>
    <w:p w14:paraId="32A1A780" w14:textId="79C5AF35" w:rsidR="00433ABD" w:rsidRPr="00602B56" w:rsidRDefault="006E021D" w:rsidP="00927C59">
      <w:pPr>
        <w:rPr>
          <w:sz w:val="20"/>
          <w:szCs w:val="20"/>
        </w:rPr>
      </w:pPr>
      <w:r w:rsidRPr="00602B56">
        <w:rPr>
          <w:sz w:val="20"/>
          <w:szCs w:val="20"/>
        </w:rPr>
        <w:t xml:space="preserve">Marshall, D.C.W. and Bayliss, A.C. (1994) </w:t>
      </w:r>
      <w:r w:rsidRPr="00602B56">
        <w:rPr>
          <w:i/>
          <w:iCs/>
          <w:sz w:val="20"/>
          <w:szCs w:val="20"/>
        </w:rPr>
        <w:t>Flood estimation for small catchments</w:t>
      </w:r>
      <w:r w:rsidRPr="00602B56">
        <w:rPr>
          <w:sz w:val="20"/>
          <w:szCs w:val="20"/>
        </w:rPr>
        <w:t xml:space="preserve">. Wallingford: Institute of Hydrology. (IH Report No. 124). Available at: </w:t>
      </w:r>
      <w:hyperlink r:id="rId35" w:history="1">
        <w:r w:rsidR="007667EC" w:rsidRPr="009341AC">
          <w:rPr>
            <w:rStyle w:val="Hyperlink"/>
            <w:sz w:val="20"/>
            <w:szCs w:val="20"/>
          </w:rPr>
          <w:t>https://nora.nerc.ac.uk/id/eprint/7367/1/IH_124.pdf</w:t>
        </w:r>
      </w:hyperlink>
      <w:r w:rsidR="007667EC">
        <w:rPr>
          <w:sz w:val="20"/>
          <w:szCs w:val="20"/>
        </w:rPr>
        <w:t xml:space="preserve"> </w:t>
      </w:r>
      <w:r w:rsidRPr="00602B56">
        <w:rPr>
          <w:sz w:val="20"/>
          <w:szCs w:val="20"/>
        </w:rPr>
        <w:t xml:space="preserve">(Accessed: 7 June 2026). </w:t>
      </w:r>
    </w:p>
    <w:p w14:paraId="6FA44518" w14:textId="4DE2DE81" w:rsidR="00402A6D" w:rsidRPr="00602B56" w:rsidRDefault="00927C59" w:rsidP="00927C59">
      <w:pPr>
        <w:rPr>
          <w:sz w:val="20"/>
          <w:szCs w:val="20"/>
        </w:rPr>
      </w:pPr>
      <w:r w:rsidRPr="00602B56">
        <w:rPr>
          <w:sz w:val="20"/>
          <w:szCs w:val="20"/>
        </w:rPr>
        <w:t xml:space="preserve">Passivhaus Trust (2020) </w:t>
      </w:r>
      <w:r w:rsidRPr="00602B56">
        <w:rPr>
          <w:i/>
          <w:iCs/>
          <w:sz w:val="20"/>
          <w:szCs w:val="20"/>
        </w:rPr>
        <w:t>What is Passivhaus? Easi Guide</w:t>
      </w:r>
      <w:r w:rsidRPr="00602B56">
        <w:rPr>
          <w:sz w:val="20"/>
          <w:szCs w:val="20"/>
        </w:rPr>
        <w:t xml:space="preserve">. [PDF] London: Passivhaus Trust. Available at: </w:t>
      </w:r>
      <w:hyperlink r:id="rId36" w:history="1">
        <w:r w:rsidRPr="00602B56">
          <w:rPr>
            <w:rStyle w:val="Hyperlink"/>
            <w:sz w:val="20"/>
            <w:szCs w:val="20"/>
          </w:rPr>
          <w:t>https://www.passivhaustrust.org.uk/UserFiles/File/research%20papers/easi%20guide%20PH%20design/Passivhaus%20easi-guide_screen_portrait.pdf</w:t>
        </w:r>
      </w:hyperlink>
      <w:r w:rsidRPr="00602B56">
        <w:rPr>
          <w:sz w:val="20"/>
          <w:szCs w:val="20"/>
        </w:rPr>
        <w:t xml:space="preserve"> (Accessed: 27 May 2026).</w:t>
      </w:r>
    </w:p>
    <w:p w14:paraId="4D8AD8E5" w14:textId="3B225652" w:rsidR="00402A6D" w:rsidRPr="00602B56" w:rsidRDefault="00402A6D" w:rsidP="00927C59">
      <w:pPr>
        <w:rPr>
          <w:sz w:val="20"/>
          <w:szCs w:val="20"/>
        </w:rPr>
      </w:pPr>
      <w:r w:rsidRPr="00602B56">
        <w:rPr>
          <w:sz w:val="20"/>
          <w:szCs w:val="20"/>
        </w:rPr>
        <w:t xml:space="preserve">Passivhaus Trust (2021) </w:t>
      </w:r>
      <w:r w:rsidRPr="00602B56">
        <w:rPr>
          <w:i/>
          <w:iCs/>
          <w:sz w:val="20"/>
          <w:szCs w:val="20"/>
        </w:rPr>
        <w:t>Avoiding summer overheating: guidelines for summer comfort in Passivhaus buildings and the PHT Summer overheating tool</w:t>
      </w:r>
      <w:r w:rsidRPr="00602B56">
        <w:rPr>
          <w:sz w:val="20"/>
          <w:szCs w:val="20"/>
        </w:rPr>
        <w:t xml:space="preserve">. [PDF] London: Passivhaus Trust. Available at: </w:t>
      </w:r>
      <w:hyperlink r:id="rId37" w:history="1">
        <w:r w:rsidRPr="00602B56">
          <w:rPr>
            <w:rStyle w:val="Hyperlink"/>
            <w:sz w:val="20"/>
            <w:szCs w:val="20"/>
          </w:rPr>
          <w:t>https://passivhaus.uk/wp-content/uploads/2024/10/Avoiding-summer-overheating.pdf</w:t>
        </w:r>
      </w:hyperlink>
      <w:r w:rsidRPr="00602B56">
        <w:rPr>
          <w:sz w:val="20"/>
          <w:szCs w:val="20"/>
        </w:rPr>
        <w:t xml:space="preserve"> (Accessed: 20 May 2026).</w:t>
      </w:r>
    </w:p>
    <w:p w14:paraId="664B8598" w14:textId="77777777" w:rsidR="00927C59" w:rsidRPr="00602B56" w:rsidRDefault="00927C59" w:rsidP="00927C59">
      <w:pPr>
        <w:rPr>
          <w:sz w:val="20"/>
          <w:szCs w:val="20"/>
        </w:rPr>
      </w:pPr>
      <w:r w:rsidRPr="00602B56">
        <w:rPr>
          <w:sz w:val="20"/>
          <w:szCs w:val="20"/>
        </w:rPr>
        <w:t xml:space="preserve">Royal Institution of Chartered Surveyors (RICS) (2017) </w:t>
      </w:r>
      <w:r w:rsidRPr="00602B56">
        <w:rPr>
          <w:i/>
          <w:iCs/>
          <w:sz w:val="20"/>
          <w:szCs w:val="20"/>
        </w:rPr>
        <w:t>Whole life carbon assessment for the built environment</w:t>
      </w:r>
      <w:r w:rsidRPr="00602B56">
        <w:rPr>
          <w:sz w:val="20"/>
          <w:szCs w:val="20"/>
        </w:rPr>
        <w:t xml:space="preserve">. 1st edn. London: RICS. Available at: </w:t>
      </w:r>
      <w:hyperlink r:id="rId38" w:history="1">
        <w:r w:rsidRPr="00602B56">
          <w:rPr>
            <w:rStyle w:val="Hyperlink"/>
            <w:sz w:val="20"/>
            <w:szCs w:val="20"/>
          </w:rPr>
          <w:t>https://www.rics.org/content/dam/ricsglobal/documents/standards/whole_life_carbon_assessment_for_the_built_environment_1st_edition_rics.pdf</w:t>
        </w:r>
      </w:hyperlink>
      <w:r w:rsidRPr="00602B56">
        <w:rPr>
          <w:sz w:val="20"/>
          <w:szCs w:val="20"/>
        </w:rPr>
        <w:t xml:space="preserve"> (Accessed: 27 May 2026).</w:t>
      </w:r>
    </w:p>
    <w:p w14:paraId="71101B90" w14:textId="72A2BD43" w:rsidR="00602B56" w:rsidRDefault="00602B56" w:rsidP="00927C59">
      <w:pPr>
        <w:rPr>
          <w:sz w:val="20"/>
          <w:szCs w:val="20"/>
        </w:rPr>
      </w:pPr>
      <w:r w:rsidRPr="00602B56">
        <w:rPr>
          <w:sz w:val="20"/>
          <w:szCs w:val="20"/>
        </w:rPr>
        <w:t xml:space="preserve">Royal Institution of Chartered Surveyors (RICS) (2024) </w:t>
      </w:r>
      <w:r w:rsidRPr="00602B56">
        <w:rPr>
          <w:i/>
          <w:iCs/>
          <w:sz w:val="20"/>
          <w:szCs w:val="20"/>
        </w:rPr>
        <w:t>Developing a construction procurement strategy and selecting an appropriate route</w:t>
      </w:r>
      <w:r w:rsidRPr="00602B56">
        <w:rPr>
          <w:sz w:val="20"/>
          <w:szCs w:val="20"/>
        </w:rPr>
        <w:t xml:space="preserve">. 2nd edn. Available at: </w:t>
      </w:r>
      <w:hyperlink r:id="rId39" w:history="1">
        <w:r w:rsidR="007667EC" w:rsidRPr="009341AC">
          <w:rPr>
            <w:rStyle w:val="Hyperlink"/>
            <w:sz w:val="20"/>
            <w:szCs w:val="20"/>
          </w:rPr>
          <w:t>https://www.rics.org/content/dam/ricsglobal/documents/standards/Developing-a-construction-procurement-strategy.pdf</w:t>
        </w:r>
      </w:hyperlink>
      <w:r w:rsidR="00514CA9">
        <w:rPr>
          <w:sz w:val="20"/>
          <w:szCs w:val="20"/>
        </w:rPr>
        <w:t xml:space="preserve"> </w:t>
      </w:r>
      <w:r w:rsidRPr="00602B56">
        <w:rPr>
          <w:sz w:val="20"/>
          <w:szCs w:val="20"/>
        </w:rPr>
        <w:t>(Accessed: 9 June 2026).</w:t>
      </w:r>
    </w:p>
    <w:p w14:paraId="5121AAE1" w14:textId="77777777" w:rsidR="000B075D" w:rsidRPr="00465B08" w:rsidRDefault="000B075D" w:rsidP="000B075D">
      <w:pPr>
        <w:rPr>
          <w:sz w:val="22"/>
          <w:szCs w:val="22"/>
        </w:rPr>
      </w:pPr>
      <w:r w:rsidRPr="00465B08">
        <w:rPr>
          <w:sz w:val="22"/>
          <w:szCs w:val="22"/>
        </w:rPr>
        <w:t xml:space="preserve">Swansea Bay University Health Board (no date) </w:t>
      </w:r>
      <w:r w:rsidRPr="00465B08">
        <w:rPr>
          <w:i/>
          <w:iCs/>
          <w:sz w:val="22"/>
          <w:szCs w:val="22"/>
        </w:rPr>
        <w:t>Singleton Hospital</w:t>
      </w:r>
      <w:r w:rsidRPr="00465B08">
        <w:rPr>
          <w:sz w:val="22"/>
          <w:szCs w:val="22"/>
        </w:rPr>
        <w:t xml:space="preserve">. Screenshot. Available at: </w:t>
      </w:r>
      <w:hyperlink r:id="rId40" w:history="1">
        <w:r w:rsidRPr="009341AC">
          <w:rPr>
            <w:rStyle w:val="Hyperlink"/>
            <w:sz w:val="22"/>
            <w:szCs w:val="22"/>
          </w:rPr>
          <w:t>https://sbuhb.nhs.wales/hospitals/our-hospitals/singleton-hospital/</w:t>
        </w:r>
      </w:hyperlink>
      <w:r>
        <w:rPr>
          <w:sz w:val="22"/>
          <w:szCs w:val="22"/>
        </w:rPr>
        <w:t xml:space="preserve"> </w:t>
      </w:r>
      <w:r w:rsidRPr="00465B08">
        <w:rPr>
          <w:sz w:val="22"/>
          <w:szCs w:val="22"/>
        </w:rPr>
        <w:t xml:space="preserve"> (Accessed: 2 June 2026).</w:t>
      </w:r>
    </w:p>
    <w:p w14:paraId="707781E9" w14:textId="54D17BF7" w:rsidR="000911C8" w:rsidRPr="00602B56" w:rsidRDefault="000911C8" w:rsidP="000911C8">
      <w:pPr>
        <w:rPr>
          <w:sz w:val="20"/>
          <w:szCs w:val="20"/>
        </w:rPr>
      </w:pPr>
      <w:r w:rsidRPr="00602B56">
        <w:rPr>
          <w:sz w:val="20"/>
          <w:szCs w:val="20"/>
        </w:rPr>
        <w:t>Swansea Council (</w:t>
      </w:r>
      <w:r w:rsidR="00806D66" w:rsidRPr="00602B56">
        <w:rPr>
          <w:sz w:val="20"/>
          <w:szCs w:val="20"/>
        </w:rPr>
        <w:t>2026</w:t>
      </w:r>
      <w:r w:rsidRPr="00602B56">
        <w:rPr>
          <w:sz w:val="20"/>
          <w:szCs w:val="20"/>
        </w:rPr>
        <w:t xml:space="preserve">) </w:t>
      </w:r>
      <w:r w:rsidRPr="00602B56">
        <w:rPr>
          <w:i/>
          <w:iCs/>
          <w:sz w:val="20"/>
          <w:szCs w:val="20"/>
        </w:rPr>
        <w:t>Green wall information</w:t>
      </w:r>
      <w:r w:rsidRPr="00602B56">
        <w:rPr>
          <w:sz w:val="20"/>
          <w:szCs w:val="20"/>
        </w:rPr>
        <w:t xml:space="preserve">. Available at: </w:t>
      </w:r>
      <w:hyperlink r:id="rId41" w:history="1">
        <w:r w:rsidR="00514CA9" w:rsidRPr="009341AC">
          <w:rPr>
            <w:rStyle w:val="Hyperlink"/>
            <w:sz w:val="20"/>
            <w:szCs w:val="20"/>
          </w:rPr>
          <w:t>https://www.swansea.gov.uk/greenwallinfo?lang=en</w:t>
        </w:r>
      </w:hyperlink>
      <w:r w:rsidR="00514CA9">
        <w:rPr>
          <w:sz w:val="20"/>
          <w:szCs w:val="20"/>
        </w:rPr>
        <w:t xml:space="preserve"> </w:t>
      </w:r>
      <w:r w:rsidRPr="00602B56">
        <w:rPr>
          <w:sz w:val="20"/>
          <w:szCs w:val="20"/>
        </w:rPr>
        <w:t>(Accessed: 5 June 2026).</w:t>
      </w:r>
    </w:p>
    <w:p w14:paraId="0B538D97" w14:textId="1D78AE59" w:rsidR="006E021D" w:rsidRPr="00602B56" w:rsidRDefault="006E021D" w:rsidP="006E021D">
      <w:pPr>
        <w:rPr>
          <w:sz w:val="20"/>
          <w:szCs w:val="20"/>
        </w:rPr>
      </w:pPr>
      <w:r w:rsidRPr="00602B56">
        <w:rPr>
          <w:sz w:val="20"/>
          <w:szCs w:val="20"/>
        </w:rPr>
        <w:t xml:space="preserve">Transport for London and CLOCS (2021) </w:t>
      </w:r>
      <w:r w:rsidRPr="00602B56">
        <w:rPr>
          <w:i/>
          <w:iCs/>
          <w:sz w:val="20"/>
          <w:szCs w:val="20"/>
        </w:rPr>
        <w:t>Construction Logistics Planning Guidance</w:t>
      </w:r>
      <w:r w:rsidRPr="00602B56">
        <w:rPr>
          <w:sz w:val="20"/>
          <w:szCs w:val="20"/>
        </w:rPr>
        <w:t xml:space="preserve">. Version 1.2. Available at: </w:t>
      </w:r>
      <w:hyperlink r:id="rId42" w:history="1">
        <w:r w:rsidR="00514CA9" w:rsidRPr="009341AC">
          <w:rPr>
            <w:rStyle w:val="Hyperlink"/>
            <w:sz w:val="20"/>
            <w:szCs w:val="20"/>
          </w:rPr>
          <w:t>https://www.tfl.gov.uk/cdn/static/cms/documents/clp-guidance-clocs.pdf</w:t>
        </w:r>
      </w:hyperlink>
      <w:r w:rsidR="00514CA9">
        <w:rPr>
          <w:sz w:val="20"/>
          <w:szCs w:val="20"/>
        </w:rPr>
        <w:t xml:space="preserve"> </w:t>
      </w:r>
      <w:r w:rsidRPr="00602B56">
        <w:rPr>
          <w:sz w:val="20"/>
          <w:szCs w:val="20"/>
        </w:rPr>
        <w:t>(Accessed: 9 June 2026).</w:t>
      </w:r>
    </w:p>
    <w:p w14:paraId="5D10E50D" w14:textId="55D74A61" w:rsidR="006E021D" w:rsidRPr="00602B56" w:rsidRDefault="006E021D" w:rsidP="000911C8">
      <w:pPr>
        <w:rPr>
          <w:sz w:val="20"/>
          <w:szCs w:val="20"/>
        </w:rPr>
      </w:pPr>
      <w:r w:rsidRPr="00602B56">
        <w:rPr>
          <w:sz w:val="20"/>
          <w:szCs w:val="20"/>
        </w:rPr>
        <w:lastRenderedPageBreak/>
        <w:t xml:space="preserve">UK Centre for Ecology &amp; Hydrology (no date) </w:t>
      </w:r>
      <w:r w:rsidRPr="00602B56">
        <w:rPr>
          <w:i/>
          <w:iCs/>
          <w:sz w:val="20"/>
          <w:szCs w:val="20"/>
        </w:rPr>
        <w:t>FEH Web Service</w:t>
      </w:r>
      <w:r w:rsidRPr="00602B56">
        <w:rPr>
          <w:sz w:val="20"/>
          <w:szCs w:val="20"/>
        </w:rPr>
        <w:t xml:space="preserve">. Available at: </w:t>
      </w:r>
      <w:hyperlink r:id="rId43" w:history="1">
        <w:r w:rsidR="00514CA9" w:rsidRPr="009341AC">
          <w:rPr>
            <w:rStyle w:val="Hyperlink"/>
            <w:sz w:val="20"/>
            <w:szCs w:val="20"/>
          </w:rPr>
          <w:t>https://fehweb.ceh.ac.uk/</w:t>
        </w:r>
      </w:hyperlink>
      <w:r w:rsidR="00514CA9">
        <w:rPr>
          <w:sz w:val="20"/>
          <w:szCs w:val="20"/>
        </w:rPr>
        <w:t xml:space="preserve"> </w:t>
      </w:r>
      <w:r w:rsidRPr="00602B56">
        <w:rPr>
          <w:sz w:val="20"/>
          <w:szCs w:val="20"/>
        </w:rPr>
        <w:t>(Accessed: 7 June 2026).</w:t>
      </w:r>
    </w:p>
    <w:p w14:paraId="1D686E86" w14:textId="1DF249BE" w:rsidR="006E021D" w:rsidRPr="00602B56" w:rsidRDefault="005F0674" w:rsidP="005F0674">
      <w:pPr>
        <w:rPr>
          <w:sz w:val="20"/>
          <w:szCs w:val="20"/>
        </w:rPr>
      </w:pPr>
      <w:r w:rsidRPr="00602B56">
        <w:rPr>
          <w:sz w:val="20"/>
          <w:szCs w:val="20"/>
        </w:rPr>
        <w:t xml:space="preserve">UK Government (2010) </w:t>
      </w:r>
      <w:r w:rsidRPr="00602B56">
        <w:rPr>
          <w:i/>
          <w:iCs/>
          <w:sz w:val="20"/>
          <w:szCs w:val="20"/>
        </w:rPr>
        <w:t>Flood and Water Management Act 2010, Schedule 3: Sustainable drainage</w:t>
      </w:r>
      <w:r w:rsidRPr="00602B56">
        <w:rPr>
          <w:sz w:val="20"/>
          <w:szCs w:val="20"/>
        </w:rPr>
        <w:t xml:space="preserve">. Available at: </w:t>
      </w:r>
      <w:hyperlink r:id="rId44" w:history="1">
        <w:r w:rsidR="00514CA9" w:rsidRPr="009341AC">
          <w:rPr>
            <w:rStyle w:val="Hyperlink"/>
            <w:sz w:val="20"/>
            <w:szCs w:val="20"/>
          </w:rPr>
          <w:t>https://www.legislation.gov.uk/ukpga/2010/29/schedule/3</w:t>
        </w:r>
      </w:hyperlink>
      <w:r w:rsidR="00514CA9">
        <w:rPr>
          <w:sz w:val="20"/>
          <w:szCs w:val="20"/>
        </w:rPr>
        <w:t xml:space="preserve"> </w:t>
      </w:r>
      <w:r w:rsidRPr="00602B56">
        <w:rPr>
          <w:sz w:val="20"/>
          <w:szCs w:val="20"/>
        </w:rPr>
        <w:t>(Accessed: 5 June 2026)</w:t>
      </w:r>
    </w:p>
    <w:p w14:paraId="66EADBC7" w14:textId="07A9189D" w:rsidR="006E021D" w:rsidRPr="00602B56" w:rsidRDefault="006E021D" w:rsidP="006E021D">
      <w:pPr>
        <w:rPr>
          <w:sz w:val="20"/>
          <w:szCs w:val="20"/>
        </w:rPr>
      </w:pPr>
      <w:r w:rsidRPr="00602B56">
        <w:rPr>
          <w:sz w:val="20"/>
          <w:szCs w:val="20"/>
        </w:rPr>
        <w:t xml:space="preserve">UK Government (2022a) </w:t>
      </w:r>
      <w:r w:rsidRPr="00602B56">
        <w:rPr>
          <w:i/>
          <w:iCs/>
          <w:sz w:val="20"/>
          <w:szCs w:val="20"/>
        </w:rPr>
        <w:t>Modern Methods of Construction Guidance Note</w:t>
      </w:r>
      <w:r w:rsidRPr="00602B56">
        <w:rPr>
          <w:sz w:val="20"/>
          <w:szCs w:val="20"/>
        </w:rPr>
        <w:t xml:space="preserve">. Available at: </w:t>
      </w:r>
      <w:hyperlink r:id="rId45" w:history="1">
        <w:r w:rsidR="00FB75ED" w:rsidRPr="009341AC">
          <w:rPr>
            <w:rStyle w:val="Hyperlink"/>
            <w:sz w:val="20"/>
            <w:szCs w:val="20"/>
          </w:rPr>
          <w:t>https://assets.publishing.service.gov.uk/media/631222468fa8f5423fb0c7c0/20220901-MMC-Guidance-Note.pdf</w:t>
        </w:r>
      </w:hyperlink>
      <w:r w:rsidR="00FB75ED">
        <w:rPr>
          <w:sz w:val="20"/>
          <w:szCs w:val="20"/>
        </w:rPr>
        <w:t xml:space="preserve"> </w:t>
      </w:r>
      <w:r w:rsidRPr="00602B56">
        <w:rPr>
          <w:sz w:val="20"/>
          <w:szCs w:val="20"/>
        </w:rPr>
        <w:t>(Accessed: 9 June 2026).</w:t>
      </w:r>
    </w:p>
    <w:p w14:paraId="5AFE3E0E" w14:textId="29165FA7" w:rsidR="006E021D" w:rsidRPr="00602B56" w:rsidRDefault="006E021D" w:rsidP="006E021D">
      <w:pPr>
        <w:rPr>
          <w:sz w:val="20"/>
          <w:szCs w:val="20"/>
        </w:rPr>
      </w:pPr>
      <w:r w:rsidRPr="00602B56">
        <w:rPr>
          <w:sz w:val="20"/>
          <w:szCs w:val="20"/>
        </w:rPr>
        <w:t xml:space="preserve">UK Government (2022b) </w:t>
      </w:r>
      <w:r w:rsidRPr="00602B56">
        <w:rPr>
          <w:i/>
          <w:iCs/>
          <w:sz w:val="20"/>
          <w:szCs w:val="20"/>
        </w:rPr>
        <w:t>Modern Methods of Construction Guidance Note</w:t>
      </w:r>
      <w:r w:rsidRPr="00602B56">
        <w:rPr>
          <w:sz w:val="20"/>
          <w:szCs w:val="20"/>
        </w:rPr>
        <w:t xml:space="preserve">. Available at: </w:t>
      </w:r>
      <w:hyperlink r:id="rId46" w:history="1">
        <w:r w:rsidR="00FB75ED" w:rsidRPr="009341AC">
          <w:rPr>
            <w:rStyle w:val="Hyperlink"/>
            <w:sz w:val="20"/>
            <w:szCs w:val="20"/>
          </w:rPr>
          <w:t>https://assets.publishing.service.gov.uk/media/631222468fa8f5423fb0c7c0/20220901-MMC-Guidance-Note.pdf</w:t>
        </w:r>
      </w:hyperlink>
      <w:r w:rsidR="00FB75ED">
        <w:rPr>
          <w:sz w:val="20"/>
          <w:szCs w:val="20"/>
        </w:rPr>
        <w:t xml:space="preserve"> </w:t>
      </w:r>
      <w:r w:rsidRPr="00602B56">
        <w:rPr>
          <w:sz w:val="20"/>
          <w:szCs w:val="20"/>
        </w:rPr>
        <w:t>(Accessed: 9 June 2026).</w:t>
      </w:r>
    </w:p>
    <w:p w14:paraId="494C44BF" w14:textId="71150029" w:rsidR="006E021D" w:rsidRPr="00602B56" w:rsidRDefault="006E021D" w:rsidP="006E021D">
      <w:pPr>
        <w:rPr>
          <w:sz w:val="20"/>
          <w:szCs w:val="20"/>
        </w:rPr>
      </w:pPr>
      <w:r w:rsidRPr="00602B56">
        <w:rPr>
          <w:sz w:val="20"/>
          <w:szCs w:val="20"/>
        </w:rPr>
        <w:t xml:space="preserve">United Utilities (2022a) </w:t>
      </w:r>
      <w:r w:rsidRPr="00602B56">
        <w:rPr>
          <w:i/>
          <w:iCs/>
          <w:sz w:val="20"/>
          <w:szCs w:val="20"/>
        </w:rPr>
        <w:t>S104 SuDS Guidance Document: Swales</w:t>
      </w:r>
      <w:r w:rsidRPr="00602B56">
        <w:rPr>
          <w:sz w:val="20"/>
          <w:szCs w:val="20"/>
        </w:rPr>
        <w:t xml:space="preserve">. Version 3, October 2022. Available at: </w:t>
      </w:r>
      <w:hyperlink r:id="rId47" w:history="1">
        <w:r w:rsidR="00FB75ED" w:rsidRPr="009341AC">
          <w:rPr>
            <w:rStyle w:val="Hyperlink"/>
            <w:sz w:val="20"/>
            <w:szCs w:val="20"/>
          </w:rPr>
          <w:t>https://www.unitedutilities.com/globalassets/documents/builders--developers-docs/s104-suds-guidance-document-swale.v3.pdf</w:t>
        </w:r>
      </w:hyperlink>
      <w:r w:rsidR="00FB75ED">
        <w:rPr>
          <w:sz w:val="20"/>
          <w:szCs w:val="20"/>
        </w:rPr>
        <w:t xml:space="preserve"> </w:t>
      </w:r>
      <w:r w:rsidRPr="00602B56">
        <w:rPr>
          <w:sz w:val="20"/>
          <w:szCs w:val="20"/>
        </w:rPr>
        <w:t>(Accessed: 7 June 2026)</w:t>
      </w:r>
    </w:p>
    <w:p w14:paraId="0DF64236" w14:textId="7C4C028C" w:rsidR="006E021D" w:rsidRPr="00602B56" w:rsidRDefault="006E021D" w:rsidP="006E021D">
      <w:pPr>
        <w:rPr>
          <w:sz w:val="20"/>
          <w:szCs w:val="20"/>
        </w:rPr>
      </w:pPr>
      <w:r w:rsidRPr="00602B56">
        <w:rPr>
          <w:sz w:val="20"/>
          <w:szCs w:val="20"/>
        </w:rPr>
        <w:t xml:space="preserve">United Utilities (2022b) </w:t>
      </w:r>
      <w:r w:rsidRPr="00602B56">
        <w:rPr>
          <w:i/>
          <w:iCs/>
          <w:sz w:val="20"/>
          <w:szCs w:val="20"/>
        </w:rPr>
        <w:t>S104 SuDS Guidance Document: Swales</w:t>
      </w:r>
      <w:r w:rsidRPr="00602B56">
        <w:rPr>
          <w:sz w:val="20"/>
          <w:szCs w:val="20"/>
        </w:rPr>
        <w:t xml:space="preserve">. Version 3, October 2022. Available at: </w:t>
      </w:r>
      <w:hyperlink r:id="rId48" w:history="1">
        <w:r w:rsidR="00FB75ED" w:rsidRPr="009341AC">
          <w:rPr>
            <w:rStyle w:val="Hyperlink"/>
            <w:sz w:val="20"/>
            <w:szCs w:val="20"/>
          </w:rPr>
          <w:t>https://www.unitedutilities.com/globalassets/documents/builders--developers-docs/s104-suds-guidance-document-swale.v3.pdf</w:t>
        </w:r>
      </w:hyperlink>
      <w:r w:rsidR="00FB75ED">
        <w:rPr>
          <w:sz w:val="20"/>
          <w:szCs w:val="20"/>
        </w:rPr>
        <w:t xml:space="preserve"> </w:t>
      </w:r>
      <w:r w:rsidRPr="00602B56">
        <w:rPr>
          <w:sz w:val="20"/>
          <w:szCs w:val="20"/>
        </w:rPr>
        <w:t>(Accessed: 7 June 2026).</w:t>
      </w:r>
    </w:p>
    <w:p w14:paraId="102094A6" w14:textId="3EB26749" w:rsidR="00EC4406" w:rsidRPr="00602B56" w:rsidRDefault="00EC4406" w:rsidP="00EC4406">
      <w:pPr>
        <w:rPr>
          <w:sz w:val="20"/>
          <w:szCs w:val="20"/>
        </w:rPr>
      </w:pPr>
      <w:r w:rsidRPr="00602B56">
        <w:rPr>
          <w:sz w:val="20"/>
          <w:szCs w:val="20"/>
        </w:rPr>
        <w:t>Welsh Government (2018</w:t>
      </w:r>
      <w:r w:rsidR="00F83C1D" w:rsidRPr="00602B56">
        <w:rPr>
          <w:sz w:val="20"/>
          <w:szCs w:val="20"/>
        </w:rPr>
        <w:t>a</w:t>
      </w:r>
      <w:r w:rsidRPr="00602B56">
        <w:rPr>
          <w:sz w:val="20"/>
          <w:szCs w:val="20"/>
        </w:rPr>
        <w:t xml:space="preserve">) </w:t>
      </w:r>
      <w:r w:rsidRPr="00602B56">
        <w:rPr>
          <w:i/>
          <w:iCs/>
          <w:sz w:val="20"/>
          <w:szCs w:val="20"/>
        </w:rPr>
        <w:t>Statutory national standards for sustainable drainage systems</w:t>
      </w:r>
      <w:r w:rsidRPr="00602B56">
        <w:rPr>
          <w:sz w:val="20"/>
          <w:szCs w:val="20"/>
        </w:rPr>
        <w:t xml:space="preserve">. Available at: </w:t>
      </w:r>
      <w:hyperlink r:id="rId49" w:history="1">
        <w:r w:rsidR="00FB75ED" w:rsidRPr="009341AC">
          <w:rPr>
            <w:rStyle w:val="Hyperlink"/>
            <w:sz w:val="20"/>
            <w:szCs w:val="20"/>
          </w:rPr>
          <w:t>https://www.gov.wales/sites/default/files/publications/2019-06/statutory-national-standards-for-sustainable-drainage-systems.pdf</w:t>
        </w:r>
      </w:hyperlink>
      <w:r w:rsidR="00FB75ED">
        <w:rPr>
          <w:sz w:val="20"/>
          <w:szCs w:val="20"/>
        </w:rPr>
        <w:t xml:space="preserve"> </w:t>
      </w:r>
      <w:r w:rsidRPr="00602B56">
        <w:rPr>
          <w:sz w:val="20"/>
          <w:szCs w:val="20"/>
        </w:rPr>
        <w:t>(Accessed: 5 June 2026).</w:t>
      </w:r>
    </w:p>
    <w:p w14:paraId="623A0EE8" w14:textId="2A3C9665" w:rsidR="00F83C1D" w:rsidRPr="00602B56" w:rsidRDefault="00F83C1D" w:rsidP="00EC4406">
      <w:pPr>
        <w:rPr>
          <w:sz w:val="20"/>
          <w:szCs w:val="20"/>
        </w:rPr>
      </w:pPr>
      <w:r w:rsidRPr="00602B56">
        <w:rPr>
          <w:sz w:val="20"/>
          <w:szCs w:val="20"/>
        </w:rPr>
        <w:t xml:space="preserve">Welsh Government (2018b) </w:t>
      </w:r>
      <w:r w:rsidRPr="00602B56">
        <w:rPr>
          <w:i/>
          <w:iCs/>
          <w:sz w:val="20"/>
          <w:szCs w:val="20"/>
        </w:rPr>
        <w:t>Statutory national standards for sustainable drainage systems</w:t>
      </w:r>
      <w:r w:rsidRPr="00602B56">
        <w:rPr>
          <w:sz w:val="20"/>
          <w:szCs w:val="20"/>
        </w:rPr>
        <w:t xml:space="preserve">. Available at: </w:t>
      </w:r>
      <w:hyperlink r:id="rId50" w:history="1">
        <w:r w:rsidR="00FB75ED" w:rsidRPr="009341AC">
          <w:rPr>
            <w:rStyle w:val="Hyperlink"/>
            <w:sz w:val="20"/>
            <w:szCs w:val="20"/>
          </w:rPr>
          <w:t>https://www.gov.wales/sites/default/files/publications/2019-06/statutory-national-standards-for-sustainable-drainage-systems.pdf</w:t>
        </w:r>
      </w:hyperlink>
      <w:r w:rsidR="00FB75ED">
        <w:rPr>
          <w:sz w:val="20"/>
          <w:szCs w:val="20"/>
        </w:rPr>
        <w:t xml:space="preserve"> </w:t>
      </w:r>
      <w:r w:rsidRPr="00602B56">
        <w:rPr>
          <w:sz w:val="20"/>
          <w:szCs w:val="20"/>
        </w:rPr>
        <w:t>(Accessed: 5 June 2026).</w:t>
      </w:r>
    </w:p>
    <w:p w14:paraId="65A227AD" w14:textId="2E4D581E" w:rsidR="000D0C47" w:rsidRPr="00602B56" w:rsidRDefault="000D0C47" w:rsidP="000D0C47">
      <w:pPr>
        <w:rPr>
          <w:sz w:val="20"/>
          <w:szCs w:val="20"/>
        </w:rPr>
      </w:pPr>
      <w:r w:rsidRPr="00602B56">
        <w:rPr>
          <w:sz w:val="20"/>
          <w:szCs w:val="20"/>
        </w:rPr>
        <w:t>Woods Ballard, B., Wilson, S., Udale-Clarke, H., Illman, S., Scott, T., Ashley, R. and Kellagher, R. (2015</w:t>
      </w:r>
      <w:r w:rsidR="00F83C1D" w:rsidRPr="00602B56">
        <w:rPr>
          <w:sz w:val="20"/>
          <w:szCs w:val="20"/>
        </w:rPr>
        <w:t>a</w:t>
      </w:r>
      <w:r w:rsidRPr="00602B56">
        <w:rPr>
          <w:sz w:val="20"/>
          <w:szCs w:val="20"/>
        </w:rPr>
        <w:t xml:space="preserve">) </w:t>
      </w:r>
      <w:r w:rsidRPr="00602B56">
        <w:rPr>
          <w:i/>
          <w:iCs/>
          <w:sz w:val="20"/>
          <w:szCs w:val="20"/>
        </w:rPr>
        <w:t>The SuDS Manual</w:t>
      </w:r>
      <w:r w:rsidRPr="00602B56">
        <w:rPr>
          <w:sz w:val="20"/>
          <w:szCs w:val="20"/>
        </w:rPr>
        <w:t xml:space="preserve">. CIRIA C753. London: CIRIA. Available at: </w:t>
      </w:r>
      <w:hyperlink r:id="rId51" w:history="1">
        <w:r w:rsidR="00FB75ED" w:rsidRPr="009341AC">
          <w:rPr>
            <w:rStyle w:val="Hyperlink"/>
            <w:sz w:val="20"/>
            <w:szCs w:val="20"/>
          </w:rPr>
          <w:t>https://www.ciria.org/CIRIA/Books/Free_publications/C753F.aspx</w:t>
        </w:r>
      </w:hyperlink>
      <w:r w:rsidR="00FB75ED">
        <w:rPr>
          <w:sz w:val="20"/>
          <w:szCs w:val="20"/>
        </w:rPr>
        <w:t xml:space="preserve"> </w:t>
      </w:r>
      <w:r w:rsidRPr="00602B56">
        <w:rPr>
          <w:sz w:val="20"/>
          <w:szCs w:val="20"/>
        </w:rPr>
        <w:t>(Accessed: 5 June 2026)</w:t>
      </w:r>
    </w:p>
    <w:p w14:paraId="39426328" w14:textId="73C417EC" w:rsidR="00F83C1D" w:rsidRPr="00602B56" w:rsidRDefault="00F83C1D" w:rsidP="00F83C1D">
      <w:pPr>
        <w:rPr>
          <w:sz w:val="20"/>
          <w:szCs w:val="20"/>
        </w:rPr>
      </w:pPr>
      <w:r w:rsidRPr="00602B56">
        <w:rPr>
          <w:sz w:val="20"/>
          <w:szCs w:val="20"/>
        </w:rPr>
        <w:t xml:space="preserve">Woods Ballard, B., Wilson, S., Udale-Clarke, H., Illman, S., Scott, T., Ashley, R. and Kellagher, R. (2015b) </w:t>
      </w:r>
      <w:r w:rsidRPr="00602B56">
        <w:rPr>
          <w:i/>
          <w:iCs/>
          <w:sz w:val="20"/>
          <w:szCs w:val="20"/>
        </w:rPr>
        <w:t>The SuDS Manual</w:t>
      </w:r>
      <w:r w:rsidRPr="00602B56">
        <w:rPr>
          <w:sz w:val="20"/>
          <w:szCs w:val="20"/>
        </w:rPr>
        <w:t xml:space="preserve">. CIRIA C753. London: CIRIA. Available at: </w:t>
      </w:r>
      <w:hyperlink r:id="rId52" w:history="1">
        <w:r w:rsidR="00FB75ED" w:rsidRPr="009341AC">
          <w:rPr>
            <w:rStyle w:val="Hyperlink"/>
            <w:sz w:val="20"/>
            <w:szCs w:val="20"/>
          </w:rPr>
          <w:t>https://www.ciria.org/CIRIA/Books/Free_publications/C753F.aspx</w:t>
        </w:r>
      </w:hyperlink>
      <w:r w:rsidR="00FB75ED">
        <w:rPr>
          <w:sz w:val="20"/>
          <w:szCs w:val="20"/>
        </w:rPr>
        <w:t xml:space="preserve"> </w:t>
      </w:r>
      <w:r w:rsidRPr="00602B56">
        <w:rPr>
          <w:sz w:val="20"/>
          <w:szCs w:val="20"/>
        </w:rPr>
        <w:t>(Accessed: 5 June 2026)</w:t>
      </w:r>
    </w:p>
    <w:p w14:paraId="68968D68" w14:textId="3F39EF5F" w:rsidR="00F4290C" w:rsidRPr="00602B56" w:rsidRDefault="00F4290C" w:rsidP="00F83C1D">
      <w:pPr>
        <w:rPr>
          <w:sz w:val="20"/>
          <w:szCs w:val="20"/>
        </w:rPr>
      </w:pPr>
      <w:r w:rsidRPr="00602B56">
        <w:rPr>
          <w:sz w:val="20"/>
          <w:szCs w:val="20"/>
        </w:rPr>
        <w:t xml:space="preserve">Woods Ballard, B., Wilson, S., Udale-Clarke, H., Illman, S., Scott, T., Ashley, R. and Kellagher, R. (2015c) </w:t>
      </w:r>
      <w:r w:rsidRPr="00602B56">
        <w:rPr>
          <w:i/>
          <w:iCs/>
          <w:sz w:val="20"/>
          <w:szCs w:val="20"/>
        </w:rPr>
        <w:t>The SuDS Manual</w:t>
      </w:r>
      <w:r w:rsidRPr="00602B56">
        <w:rPr>
          <w:sz w:val="20"/>
          <w:szCs w:val="20"/>
        </w:rPr>
        <w:t xml:space="preserve">. CIRIA C753. London: </w:t>
      </w:r>
      <w:hyperlink r:id="rId53" w:tgtFrame="_blank" w:history="1">
        <w:r w:rsidRPr="00602B56">
          <w:rPr>
            <w:rStyle w:val="Hyperlink"/>
            <w:sz w:val="20"/>
            <w:szCs w:val="20"/>
          </w:rPr>
          <w:t>CIRIA</w:t>
        </w:r>
      </w:hyperlink>
      <w:r w:rsidRPr="00602B56">
        <w:rPr>
          <w:sz w:val="20"/>
          <w:szCs w:val="20"/>
        </w:rPr>
        <w:t xml:space="preserve">. Available at: </w:t>
      </w:r>
      <w:hyperlink r:id="rId54" w:history="1">
        <w:r w:rsidR="00DE09D1" w:rsidRPr="009341AC">
          <w:rPr>
            <w:rStyle w:val="Hyperlink"/>
            <w:sz w:val="20"/>
            <w:szCs w:val="20"/>
          </w:rPr>
          <w:t>https://www.ciria.org/CIRIA/Books/Free_publications/C753F.aspx</w:t>
        </w:r>
      </w:hyperlink>
      <w:r w:rsidR="00DE09D1">
        <w:rPr>
          <w:sz w:val="20"/>
          <w:szCs w:val="20"/>
        </w:rPr>
        <w:t xml:space="preserve"> </w:t>
      </w:r>
      <w:r w:rsidRPr="00602B56">
        <w:rPr>
          <w:sz w:val="20"/>
          <w:szCs w:val="20"/>
        </w:rPr>
        <w:t>(Accessed: 7 June 2026).</w:t>
      </w:r>
    </w:p>
    <w:p w14:paraId="0C887F41" w14:textId="77777777" w:rsidR="00615C3E" w:rsidRPr="00602B56" w:rsidRDefault="00615C3E" w:rsidP="00615C3E">
      <w:pPr>
        <w:rPr>
          <w:sz w:val="22"/>
          <w:szCs w:val="22"/>
        </w:rPr>
      </w:pPr>
    </w:p>
    <w:p w14:paraId="58BDA8B9" w14:textId="77777777" w:rsidR="00615C3E" w:rsidRPr="00615C3E" w:rsidRDefault="00615C3E" w:rsidP="00615C3E"/>
    <w:p w14:paraId="357D8769" w14:textId="77777777" w:rsidR="00615C3E" w:rsidRDefault="00615C3E" w:rsidP="00615C3E">
      <w:pPr>
        <w:rPr>
          <w:sz w:val="20"/>
          <w:szCs w:val="20"/>
        </w:rPr>
      </w:pPr>
    </w:p>
    <w:p w14:paraId="18E9A9D7" w14:textId="77777777" w:rsidR="00615C3E" w:rsidRDefault="00615C3E" w:rsidP="00615C3E">
      <w:pPr>
        <w:rPr>
          <w:sz w:val="20"/>
          <w:szCs w:val="20"/>
        </w:rPr>
      </w:pPr>
    </w:p>
    <w:p w14:paraId="50A4D25D" w14:textId="77777777" w:rsidR="00615C3E" w:rsidRDefault="00615C3E" w:rsidP="00615C3E">
      <w:pPr>
        <w:rPr>
          <w:sz w:val="20"/>
          <w:szCs w:val="20"/>
        </w:rPr>
      </w:pPr>
    </w:p>
    <w:p w14:paraId="1F590E12" w14:textId="77777777" w:rsidR="00615C3E" w:rsidRPr="00615C3E" w:rsidRDefault="00615C3E" w:rsidP="00615C3E">
      <w:pPr>
        <w:rPr>
          <w:sz w:val="20"/>
          <w:szCs w:val="20"/>
        </w:rPr>
      </w:pPr>
    </w:p>
    <w:sectPr w:rsidR="00615C3E" w:rsidRPr="00615C3E" w:rsidSect="00314046">
      <w:footerReference w:type="even" r:id="rId55"/>
      <w:footerReference w:type="default" r:id="rId56"/>
      <w:footerReference w:type="firs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5FB3F" w14:textId="77777777" w:rsidR="0051138A" w:rsidRDefault="0051138A" w:rsidP="00F5336C">
      <w:pPr>
        <w:spacing w:after="0" w:line="240" w:lineRule="auto"/>
      </w:pPr>
      <w:r>
        <w:separator/>
      </w:r>
    </w:p>
  </w:endnote>
  <w:endnote w:type="continuationSeparator" w:id="0">
    <w:p w14:paraId="491661E7" w14:textId="77777777" w:rsidR="0051138A" w:rsidRDefault="0051138A" w:rsidP="00F53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2008" w14:textId="51FC9C80" w:rsidR="00F5336C" w:rsidRDefault="00F5336C">
    <w:pPr>
      <w:pStyle w:val="Footer"/>
    </w:pPr>
    <w:r>
      <w:rPr>
        <w:noProof/>
      </w:rPr>
      <mc:AlternateContent>
        <mc:Choice Requires="wps">
          <w:drawing>
            <wp:anchor distT="0" distB="0" distL="0" distR="0" simplePos="0" relativeHeight="251659264" behindDoc="0" locked="0" layoutInCell="1" allowOverlap="1" wp14:anchorId="630CC0B3" wp14:editId="2AED4F33">
              <wp:simplePos x="635" y="635"/>
              <wp:positionH relativeFrom="page">
                <wp:align>center</wp:align>
              </wp:positionH>
              <wp:positionV relativeFrom="page">
                <wp:align>bottom</wp:align>
              </wp:positionV>
              <wp:extent cx="956310" cy="370205"/>
              <wp:effectExtent l="0" t="0" r="15240" b="0"/>
              <wp:wrapNone/>
              <wp:docPr id="986342411"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0A356AE9" w14:textId="3E531A5A" w:rsidR="00F5336C" w:rsidRPr="00F5336C" w:rsidRDefault="00F5336C" w:rsidP="00F5336C">
                          <w:pPr>
                            <w:spacing w:after="0"/>
                            <w:rPr>
                              <w:rFonts w:ascii="Aptos" w:eastAsia="Aptos" w:hAnsi="Aptos" w:cs="Aptos"/>
                              <w:noProof/>
                              <w:color w:val="000000"/>
                              <w:sz w:val="20"/>
                              <w:szCs w:val="20"/>
                            </w:rPr>
                          </w:pPr>
                          <w:r w:rsidRPr="00F5336C">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30CC0B3" id="_x0000_t202" coordsize="21600,21600" o:spt="202" path="m,l,21600r21600,l21600,xe">
              <v:stroke joinstyle="miter"/>
              <v:path gradientshapeok="t" o:connecttype="rect"/>
            </v:shapetype>
            <v:shape id="Text Box 2" o:spid="_x0000_s1029" type="#_x0000_t202" alt="General Business" style="position:absolute;margin-left:0;margin-top:0;width:75.3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0A356AE9" w14:textId="3E531A5A" w:rsidR="00F5336C" w:rsidRPr="00F5336C" w:rsidRDefault="00F5336C" w:rsidP="00F5336C">
                    <w:pPr>
                      <w:spacing w:after="0"/>
                      <w:rPr>
                        <w:rFonts w:ascii="Aptos" w:eastAsia="Aptos" w:hAnsi="Aptos" w:cs="Aptos"/>
                        <w:noProof/>
                        <w:color w:val="000000"/>
                        <w:sz w:val="20"/>
                        <w:szCs w:val="20"/>
                      </w:rPr>
                    </w:pPr>
                    <w:r w:rsidRPr="00F5336C">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872126"/>
      <w:docPartObj>
        <w:docPartGallery w:val="Page Numbers (Bottom of Page)"/>
        <w:docPartUnique/>
      </w:docPartObj>
    </w:sdtPr>
    <w:sdtEndPr>
      <w:rPr>
        <w:noProof/>
      </w:rPr>
    </w:sdtEndPr>
    <w:sdtContent>
      <w:p w14:paraId="35521073" w14:textId="405BCD83" w:rsidR="00314046" w:rsidRDefault="003140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0C382" w14:textId="669676A2" w:rsidR="00F5336C" w:rsidRDefault="00F533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6710D" w14:textId="38A70149" w:rsidR="00F5336C" w:rsidRDefault="00F5336C">
    <w:pPr>
      <w:pStyle w:val="Footer"/>
    </w:pPr>
    <w:r>
      <w:rPr>
        <w:noProof/>
      </w:rPr>
      <mc:AlternateContent>
        <mc:Choice Requires="wps">
          <w:drawing>
            <wp:anchor distT="0" distB="0" distL="0" distR="0" simplePos="0" relativeHeight="251658240" behindDoc="0" locked="0" layoutInCell="1" allowOverlap="1" wp14:anchorId="79E91E37" wp14:editId="6CDDC57C">
              <wp:simplePos x="635" y="635"/>
              <wp:positionH relativeFrom="page">
                <wp:align>center</wp:align>
              </wp:positionH>
              <wp:positionV relativeFrom="page">
                <wp:align>bottom</wp:align>
              </wp:positionV>
              <wp:extent cx="956310" cy="370205"/>
              <wp:effectExtent l="0" t="0" r="15240" b="0"/>
              <wp:wrapNone/>
              <wp:docPr id="1504341841"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0CF0A7BD" w14:textId="075FB1AA" w:rsidR="00F5336C" w:rsidRPr="00F5336C" w:rsidRDefault="00F5336C" w:rsidP="00F5336C">
                          <w:pPr>
                            <w:spacing w:after="0"/>
                            <w:rPr>
                              <w:rFonts w:ascii="Aptos" w:eastAsia="Aptos" w:hAnsi="Aptos" w:cs="Aptos"/>
                              <w:noProof/>
                              <w:color w:val="000000"/>
                              <w:sz w:val="20"/>
                              <w:szCs w:val="20"/>
                            </w:rPr>
                          </w:pPr>
                          <w:r w:rsidRPr="00F5336C">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E91E37" id="_x0000_t202" coordsize="21600,21600" o:spt="202" path="m,l,21600r21600,l21600,xe">
              <v:stroke joinstyle="miter"/>
              <v:path gradientshapeok="t" o:connecttype="rect"/>
            </v:shapetype>
            <v:shape id="Text Box 1" o:spid="_x0000_s1030"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0CF0A7BD" w14:textId="075FB1AA" w:rsidR="00F5336C" w:rsidRPr="00F5336C" w:rsidRDefault="00F5336C" w:rsidP="00F5336C">
                    <w:pPr>
                      <w:spacing w:after="0"/>
                      <w:rPr>
                        <w:rFonts w:ascii="Aptos" w:eastAsia="Aptos" w:hAnsi="Aptos" w:cs="Aptos"/>
                        <w:noProof/>
                        <w:color w:val="000000"/>
                        <w:sz w:val="20"/>
                        <w:szCs w:val="20"/>
                      </w:rPr>
                    </w:pPr>
                    <w:r w:rsidRPr="00F5336C">
                      <w:rPr>
                        <w:rFonts w:ascii="Aptos" w:eastAsia="Aptos" w:hAnsi="Aptos" w:cs="Aptos"/>
                        <w:noProof/>
                        <w:color w:val="000000"/>
                        <w:sz w:val="20"/>
                        <w:szCs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A57B1" w14:textId="77777777" w:rsidR="0051138A" w:rsidRDefault="0051138A" w:rsidP="00F5336C">
      <w:pPr>
        <w:spacing w:after="0" w:line="240" w:lineRule="auto"/>
      </w:pPr>
      <w:r>
        <w:separator/>
      </w:r>
    </w:p>
  </w:footnote>
  <w:footnote w:type="continuationSeparator" w:id="0">
    <w:p w14:paraId="3CFFAC46" w14:textId="77777777" w:rsidR="0051138A" w:rsidRDefault="0051138A" w:rsidP="00F53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D27BC"/>
    <w:multiLevelType w:val="multilevel"/>
    <w:tmpl w:val="1320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E1549"/>
    <w:multiLevelType w:val="hybridMultilevel"/>
    <w:tmpl w:val="58EA83A2"/>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C983C3D"/>
    <w:multiLevelType w:val="multilevel"/>
    <w:tmpl w:val="4EB02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1F1799"/>
    <w:multiLevelType w:val="hybridMultilevel"/>
    <w:tmpl w:val="BFD8439C"/>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7356707"/>
    <w:multiLevelType w:val="multilevel"/>
    <w:tmpl w:val="7B4E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433EC"/>
    <w:multiLevelType w:val="hybridMultilevel"/>
    <w:tmpl w:val="7A1878CE"/>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271499C"/>
    <w:multiLevelType w:val="hybridMultilevel"/>
    <w:tmpl w:val="5B74C4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7045EF2"/>
    <w:multiLevelType w:val="multilevel"/>
    <w:tmpl w:val="5E0E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F555BA"/>
    <w:multiLevelType w:val="multilevel"/>
    <w:tmpl w:val="0BC86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B94D5F"/>
    <w:multiLevelType w:val="hybridMultilevel"/>
    <w:tmpl w:val="8B8AD6BA"/>
    <w:lvl w:ilvl="0" w:tplc="0809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5B824882"/>
    <w:multiLevelType w:val="multilevel"/>
    <w:tmpl w:val="4EB02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3D7FDC"/>
    <w:multiLevelType w:val="hybridMultilevel"/>
    <w:tmpl w:val="B5ECCCAA"/>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8067E4E"/>
    <w:multiLevelType w:val="hybridMultilevel"/>
    <w:tmpl w:val="56DE0470"/>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6A7C64DE"/>
    <w:multiLevelType w:val="multilevel"/>
    <w:tmpl w:val="B374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7210E6"/>
    <w:multiLevelType w:val="hybridMultilevel"/>
    <w:tmpl w:val="F4949CEE"/>
    <w:lvl w:ilvl="0" w:tplc="B0CE75B2">
      <w:start w:val="1"/>
      <w:numFmt w:val="bullet"/>
      <w:lvlText w:val=""/>
      <w:lvlJc w:val="left"/>
      <w:pPr>
        <w:ind w:left="360" w:hanging="360"/>
      </w:pPr>
      <w:rPr>
        <w:rFonts w:ascii="Symbol" w:hAnsi="Symbol" w:hint="default"/>
      </w:rPr>
    </w:lvl>
    <w:lvl w:ilvl="1" w:tplc="8E84C2E8" w:tentative="1">
      <w:start w:val="1"/>
      <w:numFmt w:val="bullet"/>
      <w:lvlText w:val="o"/>
      <w:lvlJc w:val="left"/>
      <w:pPr>
        <w:ind w:left="1080" w:hanging="360"/>
      </w:pPr>
      <w:rPr>
        <w:rFonts w:ascii="Courier New" w:hAnsi="Courier New" w:cs="Courier New" w:hint="default"/>
      </w:rPr>
    </w:lvl>
    <w:lvl w:ilvl="2" w:tplc="B0CADB7C" w:tentative="1">
      <w:start w:val="1"/>
      <w:numFmt w:val="bullet"/>
      <w:lvlText w:val=""/>
      <w:lvlJc w:val="left"/>
      <w:pPr>
        <w:ind w:left="1800" w:hanging="360"/>
      </w:pPr>
      <w:rPr>
        <w:rFonts w:ascii="Wingdings" w:hAnsi="Wingdings" w:hint="default"/>
      </w:rPr>
    </w:lvl>
    <w:lvl w:ilvl="3" w:tplc="BF9A0A02" w:tentative="1">
      <w:start w:val="1"/>
      <w:numFmt w:val="bullet"/>
      <w:lvlText w:val=""/>
      <w:lvlJc w:val="left"/>
      <w:pPr>
        <w:ind w:left="2520" w:hanging="360"/>
      </w:pPr>
      <w:rPr>
        <w:rFonts w:ascii="Symbol" w:hAnsi="Symbol" w:hint="default"/>
      </w:rPr>
    </w:lvl>
    <w:lvl w:ilvl="4" w:tplc="2E26B3C2" w:tentative="1">
      <w:start w:val="1"/>
      <w:numFmt w:val="bullet"/>
      <w:lvlText w:val="o"/>
      <w:lvlJc w:val="left"/>
      <w:pPr>
        <w:ind w:left="3240" w:hanging="360"/>
      </w:pPr>
      <w:rPr>
        <w:rFonts w:ascii="Courier New" w:hAnsi="Courier New" w:cs="Courier New" w:hint="default"/>
      </w:rPr>
    </w:lvl>
    <w:lvl w:ilvl="5" w:tplc="A68E2F36" w:tentative="1">
      <w:start w:val="1"/>
      <w:numFmt w:val="bullet"/>
      <w:lvlText w:val=""/>
      <w:lvlJc w:val="left"/>
      <w:pPr>
        <w:ind w:left="3960" w:hanging="360"/>
      </w:pPr>
      <w:rPr>
        <w:rFonts w:ascii="Wingdings" w:hAnsi="Wingdings" w:hint="default"/>
      </w:rPr>
    </w:lvl>
    <w:lvl w:ilvl="6" w:tplc="99BAEDE0" w:tentative="1">
      <w:start w:val="1"/>
      <w:numFmt w:val="bullet"/>
      <w:lvlText w:val=""/>
      <w:lvlJc w:val="left"/>
      <w:pPr>
        <w:ind w:left="4680" w:hanging="360"/>
      </w:pPr>
      <w:rPr>
        <w:rFonts w:ascii="Symbol" w:hAnsi="Symbol" w:hint="default"/>
      </w:rPr>
    </w:lvl>
    <w:lvl w:ilvl="7" w:tplc="37CCE0E0" w:tentative="1">
      <w:start w:val="1"/>
      <w:numFmt w:val="bullet"/>
      <w:lvlText w:val="o"/>
      <w:lvlJc w:val="left"/>
      <w:pPr>
        <w:ind w:left="5400" w:hanging="360"/>
      </w:pPr>
      <w:rPr>
        <w:rFonts w:ascii="Courier New" w:hAnsi="Courier New" w:cs="Courier New" w:hint="default"/>
      </w:rPr>
    </w:lvl>
    <w:lvl w:ilvl="8" w:tplc="B6FEC694" w:tentative="1">
      <w:start w:val="1"/>
      <w:numFmt w:val="bullet"/>
      <w:lvlText w:val=""/>
      <w:lvlJc w:val="left"/>
      <w:pPr>
        <w:ind w:left="6120" w:hanging="360"/>
      </w:pPr>
      <w:rPr>
        <w:rFonts w:ascii="Wingdings" w:hAnsi="Wingdings" w:hint="default"/>
      </w:rPr>
    </w:lvl>
  </w:abstractNum>
  <w:num w:numId="1" w16cid:durableId="1698695083">
    <w:abstractNumId w:val="14"/>
  </w:num>
  <w:num w:numId="2" w16cid:durableId="1851337014">
    <w:abstractNumId w:val="6"/>
  </w:num>
  <w:num w:numId="3" w16cid:durableId="1762604351">
    <w:abstractNumId w:val="9"/>
  </w:num>
  <w:num w:numId="4" w16cid:durableId="916131927">
    <w:abstractNumId w:val="1"/>
  </w:num>
  <w:num w:numId="5" w16cid:durableId="73669355">
    <w:abstractNumId w:val="3"/>
  </w:num>
  <w:num w:numId="6" w16cid:durableId="1553350684">
    <w:abstractNumId w:val="12"/>
  </w:num>
  <w:num w:numId="7" w16cid:durableId="25756417">
    <w:abstractNumId w:val="11"/>
  </w:num>
  <w:num w:numId="8" w16cid:durableId="467742407">
    <w:abstractNumId w:val="5"/>
  </w:num>
  <w:num w:numId="9" w16cid:durableId="1506047350">
    <w:abstractNumId w:val="4"/>
  </w:num>
  <w:num w:numId="10" w16cid:durableId="1086462988">
    <w:abstractNumId w:val="0"/>
  </w:num>
  <w:num w:numId="11" w16cid:durableId="829100263">
    <w:abstractNumId w:val="7"/>
  </w:num>
  <w:num w:numId="12" w16cid:durableId="1394818702">
    <w:abstractNumId w:val="8"/>
  </w:num>
  <w:num w:numId="13" w16cid:durableId="1606621199">
    <w:abstractNumId w:val="2"/>
  </w:num>
  <w:num w:numId="14" w16cid:durableId="1719235426">
    <w:abstractNumId w:val="10"/>
  </w:num>
  <w:num w:numId="15" w16cid:durableId="5365061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2E"/>
    <w:rsid w:val="000022D7"/>
    <w:rsid w:val="000042AE"/>
    <w:rsid w:val="0000524C"/>
    <w:rsid w:val="000060DD"/>
    <w:rsid w:val="000126AA"/>
    <w:rsid w:val="000150F0"/>
    <w:rsid w:val="00016AB3"/>
    <w:rsid w:val="0001724A"/>
    <w:rsid w:val="00021B92"/>
    <w:rsid w:val="00023026"/>
    <w:rsid w:val="000278EA"/>
    <w:rsid w:val="00031D3B"/>
    <w:rsid w:val="000365A4"/>
    <w:rsid w:val="000377D9"/>
    <w:rsid w:val="00040B78"/>
    <w:rsid w:val="00045512"/>
    <w:rsid w:val="00045791"/>
    <w:rsid w:val="00045F4C"/>
    <w:rsid w:val="00046DC0"/>
    <w:rsid w:val="00053D6D"/>
    <w:rsid w:val="000540F9"/>
    <w:rsid w:val="00056162"/>
    <w:rsid w:val="00061181"/>
    <w:rsid w:val="00075371"/>
    <w:rsid w:val="0007790F"/>
    <w:rsid w:val="0008192E"/>
    <w:rsid w:val="00084CE9"/>
    <w:rsid w:val="00086730"/>
    <w:rsid w:val="000911C8"/>
    <w:rsid w:val="000927AC"/>
    <w:rsid w:val="000963E0"/>
    <w:rsid w:val="000969DC"/>
    <w:rsid w:val="00097A70"/>
    <w:rsid w:val="000A0014"/>
    <w:rsid w:val="000A2ED8"/>
    <w:rsid w:val="000B075D"/>
    <w:rsid w:val="000B4992"/>
    <w:rsid w:val="000C0688"/>
    <w:rsid w:val="000C1058"/>
    <w:rsid w:val="000C40B8"/>
    <w:rsid w:val="000D0C47"/>
    <w:rsid w:val="000D1C32"/>
    <w:rsid w:val="000D3D95"/>
    <w:rsid w:val="000D7A8C"/>
    <w:rsid w:val="000E09C6"/>
    <w:rsid w:val="000E1781"/>
    <w:rsid w:val="000E19B0"/>
    <w:rsid w:val="000E654A"/>
    <w:rsid w:val="000F2853"/>
    <w:rsid w:val="000F7A74"/>
    <w:rsid w:val="00100C03"/>
    <w:rsid w:val="00102904"/>
    <w:rsid w:val="001048D1"/>
    <w:rsid w:val="00107790"/>
    <w:rsid w:val="00110C1B"/>
    <w:rsid w:val="001115C8"/>
    <w:rsid w:val="00116339"/>
    <w:rsid w:val="001173FE"/>
    <w:rsid w:val="00125585"/>
    <w:rsid w:val="001328F2"/>
    <w:rsid w:val="00143F8B"/>
    <w:rsid w:val="00147021"/>
    <w:rsid w:val="00151136"/>
    <w:rsid w:val="00154731"/>
    <w:rsid w:val="0015552E"/>
    <w:rsid w:val="00180BA3"/>
    <w:rsid w:val="00184AA0"/>
    <w:rsid w:val="00185592"/>
    <w:rsid w:val="001913BA"/>
    <w:rsid w:val="0019142C"/>
    <w:rsid w:val="001943B6"/>
    <w:rsid w:val="001959A4"/>
    <w:rsid w:val="001A14B5"/>
    <w:rsid w:val="001A1ED1"/>
    <w:rsid w:val="001A320B"/>
    <w:rsid w:val="001A6927"/>
    <w:rsid w:val="001B1BC2"/>
    <w:rsid w:val="001B5E32"/>
    <w:rsid w:val="001B6219"/>
    <w:rsid w:val="001B622C"/>
    <w:rsid w:val="001B6DBB"/>
    <w:rsid w:val="001B7AC3"/>
    <w:rsid w:val="001C2578"/>
    <w:rsid w:val="001C2652"/>
    <w:rsid w:val="001C2EBD"/>
    <w:rsid w:val="001C73B5"/>
    <w:rsid w:val="001D100E"/>
    <w:rsid w:val="001D409D"/>
    <w:rsid w:val="002035F0"/>
    <w:rsid w:val="002079EC"/>
    <w:rsid w:val="002105C6"/>
    <w:rsid w:val="00210F51"/>
    <w:rsid w:val="00211A4F"/>
    <w:rsid w:val="00212841"/>
    <w:rsid w:val="0021470B"/>
    <w:rsid w:val="00224A79"/>
    <w:rsid w:val="00235091"/>
    <w:rsid w:val="00235997"/>
    <w:rsid w:val="002418CD"/>
    <w:rsid w:val="00244EE9"/>
    <w:rsid w:val="00245B86"/>
    <w:rsid w:val="00246F5C"/>
    <w:rsid w:val="0024733D"/>
    <w:rsid w:val="00251886"/>
    <w:rsid w:val="00251FB8"/>
    <w:rsid w:val="00253561"/>
    <w:rsid w:val="00255906"/>
    <w:rsid w:val="00255BE8"/>
    <w:rsid w:val="00256A6F"/>
    <w:rsid w:val="00256B44"/>
    <w:rsid w:val="00261661"/>
    <w:rsid w:val="002644D3"/>
    <w:rsid w:val="00264F3B"/>
    <w:rsid w:val="0026686D"/>
    <w:rsid w:val="00266C1D"/>
    <w:rsid w:val="00267D4C"/>
    <w:rsid w:val="00270799"/>
    <w:rsid w:val="002720CE"/>
    <w:rsid w:val="00273E9B"/>
    <w:rsid w:val="00273F57"/>
    <w:rsid w:val="00277E59"/>
    <w:rsid w:val="00281302"/>
    <w:rsid w:val="00283CB9"/>
    <w:rsid w:val="00284670"/>
    <w:rsid w:val="00285674"/>
    <w:rsid w:val="00291D4A"/>
    <w:rsid w:val="0029469B"/>
    <w:rsid w:val="002A0123"/>
    <w:rsid w:val="002A0F13"/>
    <w:rsid w:val="002A21B8"/>
    <w:rsid w:val="002B52B2"/>
    <w:rsid w:val="002B5EBA"/>
    <w:rsid w:val="002C3AB7"/>
    <w:rsid w:val="002C6E02"/>
    <w:rsid w:val="002D3839"/>
    <w:rsid w:val="002E2723"/>
    <w:rsid w:val="002E58DD"/>
    <w:rsid w:val="002F21E3"/>
    <w:rsid w:val="002F7406"/>
    <w:rsid w:val="00300CB4"/>
    <w:rsid w:val="003021E6"/>
    <w:rsid w:val="00314046"/>
    <w:rsid w:val="003162F9"/>
    <w:rsid w:val="00320A78"/>
    <w:rsid w:val="00322DA6"/>
    <w:rsid w:val="003260D1"/>
    <w:rsid w:val="00331850"/>
    <w:rsid w:val="00335EB5"/>
    <w:rsid w:val="00336BB9"/>
    <w:rsid w:val="00337238"/>
    <w:rsid w:val="00342D87"/>
    <w:rsid w:val="00343D19"/>
    <w:rsid w:val="00346FB4"/>
    <w:rsid w:val="0035096F"/>
    <w:rsid w:val="00356C40"/>
    <w:rsid w:val="003746D0"/>
    <w:rsid w:val="00380832"/>
    <w:rsid w:val="003828FC"/>
    <w:rsid w:val="00386EE3"/>
    <w:rsid w:val="0039028B"/>
    <w:rsid w:val="003A1C68"/>
    <w:rsid w:val="003A2814"/>
    <w:rsid w:val="003A3B7F"/>
    <w:rsid w:val="003A44EE"/>
    <w:rsid w:val="003A4FFD"/>
    <w:rsid w:val="003A61E5"/>
    <w:rsid w:val="003A69BF"/>
    <w:rsid w:val="003B20E0"/>
    <w:rsid w:val="003B5CCC"/>
    <w:rsid w:val="003C5048"/>
    <w:rsid w:val="003C5103"/>
    <w:rsid w:val="003C53F7"/>
    <w:rsid w:val="003C59BE"/>
    <w:rsid w:val="003D0ECA"/>
    <w:rsid w:val="003D1CFF"/>
    <w:rsid w:val="003D3EE1"/>
    <w:rsid w:val="003D4DA8"/>
    <w:rsid w:val="003E0576"/>
    <w:rsid w:val="003F059C"/>
    <w:rsid w:val="003F1D57"/>
    <w:rsid w:val="003F1DCB"/>
    <w:rsid w:val="003F23A8"/>
    <w:rsid w:val="00402A6D"/>
    <w:rsid w:val="004068E3"/>
    <w:rsid w:val="00415586"/>
    <w:rsid w:val="00430033"/>
    <w:rsid w:val="00430986"/>
    <w:rsid w:val="00433ABD"/>
    <w:rsid w:val="00442BC9"/>
    <w:rsid w:val="0045284D"/>
    <w:rsid w:val="004541E3"/>
    <w:rsid w:val="004543B9"/>
    <w:rsid w:val="00454B26"/>
    <w:rsid w:val="00457DE1"/>
    <w:rsid w:val="004627C5"/>
    <w:rsid w:val="00465B08"/>
    <w:rsid w:val="00467031"/>
    <w:rsid w:val="00481B80"/>
    <w:rsid w:val="00484242"/>
    <w:rsid w:val="00484B30"/>
    <w:rsid w:val="00485044"/>
    <w:rsid w:val="004877ED"/>
    <w:rsid w:val="0049043D"/>
    <w:rsid w:val="00495CA3"/>
    <w:rsid w:val="00495EB0"/>
    <w:rsid w:val="004960B1"/>
    <w:rsid w:val="0049783B"/>
    <w:rsid w:val="004A0D76"/>
    <w:rsid w:val="004A15A3"/>
    <w:rsid w:val="004A16DE"/>
    <w:rsid w:val="004B0394"/>
    <w:rsid w:val="004B2578"/>
    <w:rsid w:val="004B4E35"/>
    <w:rsid w:val="004B53C2"/>
    <w:rsid w:val="004B6565"/>
    <w:rsid w:val="004C2759"/>
    <w:rsid w:val="004D082D"/>
    <w:rsid w:val="004D10A4"/>
    <w:rsid w:val="004E0A98"/>
    <w:rsid w:val="004E47C5"/>
    <w:rsid w:val="004F00C2"/>
    <w:rsid w:val="004F2B0D"/>
    <w:rsid w:val="004F3971"/>
    <w:rsid w:val="0050021D"/>
    <w:rsid w:val="00501365"/>
    <w:rsid w:val="005040B0"/>
    <w:rsid w:val="005101D0"/>
    <w:rsid w:val="0051138A"/>
    <w:rsid w:val="00514398"/>
    <w:rsid w:val="00514CA9"/>
    <w:rsid w:val="005201D7"/>
    <w:rsid w:val="00526041"/>
    <w:rsid w:val="0052736E"/>
    <w:rsid w:val="00527E40"/>
    <w:rsid w:val="00531CB0"/>
    <w:rsid w:val="005323F3"/>
    <w:rsid w:val="00537010"/>
    <w:rsid w:val="00553A1B"/>
    <w:rsid w:val="005564AF"/>
    <w:rsid w:val="00556EAB"/>
    <w:rsid w:val="005577F9"/>
    <w:rsid w:val="00571161"/>
    <w:rsid w:val="00574A27"/>
    <w:rsid w:val="005760BE"/>
    <w:rsid w:val="00577920"/>
    <w:rsid w:val="00584E70"/>
    <w:rsid w:val="00584FF1"/>
    <w:rsid w:val="00586631"/>
    <w:rsid w:val="00587C93"/>
    <w:rsid w:val="00591318"/>
    <w:rsid w:val="0059280C"/>
    <w:rsid w:val="0059398F"/>
    <w:rsid w:val="00596991"/>
    <w:rsid w:val="0059720B"/>
    <w:rsid w:val="005A2028"/>
    <w:rsid w:val="005A54AF"/>
    <w:rsid w:val="005B13EB"/>
    <w:rsid w:val="005B2BD5"/>
    <w:rsid w:val="005B68C6"/>
    <w:rsid w:val="005B799D"/>
    <w:rsid w:val="005C2222"/>
    <w:rsid w:val="005C248F"/>
    <w:rsid w:val="005C43FB"/>
    <w:rsid w:val="005C44C1"/>
    <w:rsid w:val="005C631C"/>
    <w:rsid w:val="005D0DB0"/>
    <w:rsid w:val="005D1475"/>
    <w:rsid w:val="005D28BC"/>
    <w:rsid w:val="005D365E"/>
    <w:rsid w:val="005E0373"/>
    <w:rsid w:val="005E1D5E"/>
    <w:rsid w:val="005E3DF2"/>
    <w:rsid w:val="005F0674"/>
    <w:rsid w:val="005F41C8"/>
    <w:rsid w:val="005F61EC"/>
    <w:rsid w:val="00600FF2"/>
    <w:rsid w:val="00602B56"/>
    <w:rsid w:val="00606C4C"/>
    <w:rsid w:val="00615C3E"/>
    <w:rsid w:val="00621712"/>
    <w:rsid w:val="006222D0"/>
    <w:rsid w:val="00626F91"/>
    <w:rsid w:val="00630463"/>
    <w:rsid w:val="00635618"/>
    <w:rsid w:val="00635699"/>
    <w:rsid w:val="00642661"/>
    <w:rsid w:val="006455FC"/>
    <w:rsid w:val="0064623E"/>
    <w:rsid w:val="006508DF"/>
    <w:rsid w:val="0065154D"/>
    <w:rsid w:val="00652F92"/>
    <w:rsid w:val="006539F2"/>
    <w:rsid w:val="00662147"/>
    <w:rsid w:val="00665162"/>
    <w:rsid w:val="00665F9A"/>
    <w:rsid w:val="00666C8F"/>
    <w:rsid w:val="00667961"/>
    <w:rsid w:val="006728BD"/>
    <w:rsid w:val="00674867"/>
    <w:rsid w:val="00686315"/>
    <w:rsid w:val="00695ABA"/>
    <w:rsid w:val="006A23C8"/>
    <w:rsid w:val="006A668E"/>
    <w:rsid w:val="006B042C"/>
    <w:rsid w:val="006B0FE3"/>
    <w:rsid w:val="006B193D"/>
    <w:rsid w:val="006B1DA3"/>
    <w:rsid w:val="006B6835"/>
    <w:rsid w:val="006C1352"/>
    <w:rsid w:val="006C3A4C"/>
    <w:rsid w:val="006C4774"/>
    <w:rsid w:val="006C4DCE"/>
    <w:rsid w:val="006E021D"/>
    <w:rsid w:val="006E0D23"/>
    <w:rsid w:val="006E175F"/>
    <w:rsid w:val="006F1E24"/>
    <w:rsid w:val="006F24F6"/>
    <w:rsid w:val="006F7D43"/>
    <w:rsid w:val="0070187B"/>
    <w:rsid w:val="00702172"/>
    <w:rsid w:val="0070248B"/>
    <w:rsid w:val="00703CE9"/>
    <w:rsid w:val="00711817"/>
    <w:rsid w:val="00713B5E"/>
    <w:rsid w:val="00730F04"/>
    <w:rsid w:val="0073231E"/>
    <w:rsid w:val="00732508"/>
    <w:rsid w:val="007404A5"/>
    <w:rsid w:val="007458A6"/>
    <w:rsid w:val="00746BDE"/>
    <w:rsid w:val="00747E0A"/>
    <w:rsid w:val="00750B8A"/>
    <w:rsid w:val="00760D4D"/>
    <w:rsid w:val="00762E03"/>
    <w:rsid w:val="00764B3D"/>
    <w:rsid w:val="007667EC"/>
    <w:rsid w:val="00766A99"/>
    <w:rsid w:val="00767429"/>
    <w:rsid w:val="0077745A"/>
    <w:rsid w:val="007800F3"/>
    <w:rsid w:val="00785EB4"/>
    <w:rsid w:val="00786744"/>
    <w:rsid w:val="007926FC"/>
    <w:rsid w:val="007A2A24"/>
    <w:rsid w:val="007B1BC3"/>
    <w:rsid w:val="007B6635"/>
    <w:rsid w:val="007B6E5D"/>
    <w:rsid w:val="007D07BF"/>
    <w:rsid w:val="007D2C64"/>
    <w:rsid w:val="007D7391"/>
    <w:rsid w:val="007E3505"/>
    <w:rsid w:val="007E3A25"/>
    <w:rsid w:val="007E3A6A"/>
    <w:rsid w:val="007E47D0"/>
    <w:rsid w:val="007E547C"/>
    <w:rsid w:val="007E7B2C"/>
    <w:rsid w:val="007F5F6F"/>
    <w:rsid w:val="00800237"/>
    <w:rsid w:val="0080566C"/>
    <w:rsid w:val="00806B70"/>
    <w:rsid w:val="00806D66"/>
    <w:rsid w:val="00812862"/>
    <w:rsid w:val="00815A5C"/>
    <w:rsid w:val="00820832"/>
    <w:rsid w:val="00820D03"/>
    <w:rsid w:val="008245D9"/>
    <w:rsid w:val="00825962"/>
    <w:rsid w:val="00831DB6"/>
    <w:rsid w:val="00834B2E"/>
    <w:rsid w:val="008354BF"/>
    <w:rsid w:val="00837A01"/>
    <w:rsid w:val="00842997"/>
    <w:rsid w:val="0085153D"/>
    <w:rsid w:val="0085207B"/>
    <w:rsid w:val="00852EE0"/>
    <w:rsid w:val="00855739"/>
    <w:rsid w:val="00855D52"/>
    <w:rsid w:val="00860FA3"/>
    <w:rsid w:val="008661CD"/>
    <w:rsid w:val="008675DB"/>
    <w:rsid w:val="00872C8D"/>
    <w:rsid w:val="00874012"/>
    <w:rsid w:val="008747D9"/>
    <w:rsid w:val="00876E29"/>
    <w:rsid w:val="00881A29"/>
    <w:rsid w:val="00882AAA"/>
    <w:rsid w:val="00883434"/>
    <w:rsid w:val="00883825"/>
    <w:rsid w:val="008844A5"/>
    <w:rsid w:val="00893569"/>
    <w:rsid w:val="00894057"/>
    <w:rsid w:val="0089542D"/>
    <w:rsid w:val="00895C2A"/>
    <w:rsid w:val="008974A9"/>
    <w:rsid w:val="008A4B20"/>
    <w:rsid w:val="008B36BE"/>
    <w:rsid w:val="008B587A"/>
    <w:rsid w:val="008C1C61"/>
    <w:rsid w:val="008C4D25"/>
    <w:rsid w:val="008C500A"/>
    <w:rsid w:val="008D0328"/>
    <w:rsid w:val="008D2465"/>
    <w:rsid w:val="008E55C9"/>
    <w:rsid w:val="008F2F78"/>
    <w:rsid w:val="008F441A"/>
    <w:rsid w:val="008F6073"/>
    <w:rsid w:val="00901CFF"/>
    <w:rsid w:val="0090534D"/>
    <w:rsid w:val="00911C09"/>
    <w:rsid w:val="009127D5"/>
    <w:rsid w:val="00915F72"/>
    <w:rsid w:val="00920A29"/>
    <w:rsid w:val="00920C30"/>
    <w:rsid w:val="00925E41"/>
    <w:rsid w:val="00927C59"/>
    <w:rsid w:val="00932A9D"/>
    <w:rsid w:val="00935231"/>
    <w:rsid w:val="00940E09"/>
    <w:rsid w:val="0095189E"/>
    <w:rsid w:val="009551AB"/>
    <w:rsid w:val="00966B2C"/>
    <w:rsid w:val="00974E58"/>
    <w:rsid w:val="00977B0D"/>
    <w:rsid w:val="00980744"/>
    <w:rsid w:val="00983664"/>
    <w:rsid w:val="00985BD6"/>
    <w:rsid w:val="00986922"/>
    <w:rsid w:val="009870AA"/>
    <w:rsid w:val="00991F51"/>
    <w:rsid w:val="009949B9"/>
    <w:rsid w:val="009972BA"/>
    <w:rsid w:val="009B09A3"/>
    <w:rsid w:val="009C0A80"/>
    <w:rsid w:val="009C184F"/>
    <w:rsid w:val="009C58E2"/>
    <w:rsid w:val="009C6A87"/>
    <w:rsid w:val="009D4F02"/>
    <w:rsid w:val="009D54C1"/>
    <w:rsid w:val="009D728A"/>
    <w:rsid w:val="009E0F96"/>
    <w:rsid w:val="009E3A0E"/>
    <w:rsid w:val="009F0D0B"/>
    <w:rsid w:val="00A02211"/>
    <w:rsid w:val="00A026FB"/>
    <w:rsid w:val="00A040F6"/>
    <w:rsid w:val="00A1360A"/>
    <w:rsid w:val="00A16073"/>
    <w:rsid w:val="00A20E6C"/>
    <w:rsid w:val="00A353E0"/>
    <w:rsid w:val="00A465FB"/>
    <w:rsid w:val="00A5251A"/>
    <w:rsid w:val="00A52EAC"/>
    <w:rsid w:val="00A54F39"/>
    <w:rsid w:val="00A57CEF"/>
    <w:rsid w:val="00A71A71"/>
    <w:rsid w:val="00A82B59"/>
    <w:rsid w:val="00A91289"/>
    <w:rsid w:val="00AA0602"/>
    <w:rsid w:val="00AA06C9"/>
    <w:rsid w:val="00AA2AF4"/>
    <w:rsid w:val="00AA3A4D"/>
    <w:rsid w:val="00AA6C1A"/>
    <w:rsid w:val="00AB7DA5"/>
    <w:rsid w:val="00AC0AD7"/>
    <w:rsid w:val="00AC3FFF"/>
    <w:rsid w:val="00AC56CD"/>
    <w:rsid w:val="00AD5CDE"/>
    <w:rsid w:val="00AD76B1"/>
    <w:rsid w:val="00AE3046"/>
    <w:rsid w:val="00AF7565"/>
    <w:rsid w:val="00B04FB8"/>
    <w:rsid w:val="00B05B72"/>
    <w:rsid w:val="00B13914"/>
    <w:rsid w:val="00B13EE7"/>
    <w:rsid w:val="00B16196"/>
    <w:rsid w:val="00B2192A"/>
    <w:rsid w:val="00B34EF9"/>
    <w:rsid w:val="00B369BD"/>
    <w:rsid w:val="00B37467"/>
    <w:rsid w:val="00B375F7"/>
    <w:rsid w:val="00B37D54"/>
    <w:rsid w:val="00B457D7"/>
    <w:rsid w:val="00B52249"/>
    <w:rsid w:val="00B57314"/>
    <w:rsid w:val="00B57BCE"/>
    <w:rsid w:val="00B57BF9"/>
    <w:rsid w:val="00B6660F"/>
    <w:rsid w:val="00B70BF1"/>
    <w:rsid w:val="00B8063D"/>
    <w:rsid w:val="00B83064"/>
    <w:rsid w:val="00B8699F"/>
    <w:rsid w:val="00B9116A"/>
    <w:rsid w:val="00B9467F"/>
    <w:rsid w:val="00B94B4C"/>
    <w:rsid w:val="00B9590E"/>
    <w:rsid w:val="00BA0571"/>
    <w:rsid w:val="00BA35F8"/>
    <w:rsid w:val="00BA390C"/>
    <w:rsid w:val="00BB2062"/>
    <w:rsid w:val="00BC5750"/>
    <w:rsid w:val="00BD2DDA"/>
    <w:rsid w:val="00BD6431"/>
    <w:rsid w:val="00BD6FA5"/>
    <w:rsid w:val="00BD73F1"/>
    <w:rsid w:val="00BD753F"/>
    <w:rsid w:val="00BE044C"/>
    <w:rsid w:val="00BE160E"/>
    <w:rsid w:val="00BE21FF"/>
    <w:rsid w:val="00BF257A"/>
    <w:rsid w:val="00BF2C82"/>
    <w:rsid w:val="00BF5906"/>
    <w:rsid w:val="00C03850"/>
    <w:rsid w:val="00C10357"/>
    <w:rsid w:val="00C12DD5"/>
    <w:rsid w:val="00C13831"/>
    <w:rsid w:val="00C17E3A"/>
    <w:rsid w:val="00C20B84"/>
    <w:rsid w:val="00C24402"/>
    <w:rsid w:val="00C310DF"/>
    <w:rsid w:val="00C323B0"/>
    <w:rsid w:val="00C33298"/>
    <w:rsid w:val="00C358D9"/>
    <w:rsid w:val="00C35DE3"/>
    <w:rsid w:val="00C37DAC"/>
    <w:rsid w:val="00C41E1F"/>
    <w:rsid w:val="00C51B14"/>
    <w:rsid w:val="00C57B5D"/>
    <w:rsid w:val="00C62325"/>
    <w:rsid w:val="00C70207"/>
    <w:rsid w:val="00C70759"/>
    <w:rsid w:val="00C70C05"/>
    <w:rsid w:val="00C7232B"/>
    <w:rsid w:val="00C7302F"/>
    <w:rsid w:val="00C76D07"/>
    <w:rsid w:val="00C8041F"/>
    <w:rsid w:val="00C83DBB"/>
    <w:rsid w:val="00C86DD7"/>
    <w:rsid w:val="00C96384"/>
    <w:rsid w:val="00C973D7"/>
    <w:rsid w:val="00CA01BA"/>
    <w:rsid w:val="00CA04D6"/>
    <w:rsid w:val="00CA4FE8"/>
    <w:rsid w:val="00CA61DB"/>
    <w:rsid w:val="00CA695D"/>
    <w:rsid w:val="00CA7B23"/>
    <w:rsid w:val="00CA7BCE"/>
    <w:rsid w:val="00CB1384"/>
    <w:rsid w:val="00CD091B"/>
    <w:rsid w:val="00CD26F1"/>
    <w:rsid w:val="00CD2906"/>
    <w:rsid w:val="00CD4B9C"/>
    <w:rsid w:val="00CD75EF"/>
    <w:rsid w:val="00CE292F"/>
    <w:rsid w:val="00CE35C3"/>
    <w:rsid w:val="00CE7790"/>
    <w:rsid w:val="00D000F8"/>
    <w:rsid w:val="00D06D11"/>
    <w:rsid w:val="00D107C5"/>
    <w:rsid w:val="00D114ED"/>
    <w:rsid w:val="00D11B3F"/>
    <w:rsid w:val="00D14FF6"/>
    <w:rsid w:val="00D16DFC"/>
    <w:rsid w:val="00D219E1"/>
    <w:rsid w:val="00D24B93"/>
    <w:rsid w:val="00D27D83"/>
    <w:rsid w:val="00D308EA"/>
    <w:rsid w:val="00D3313F"/>
    <w:rsid w:val="00D36EC0"/>
    <w:rsid w:val="00D41666"/>
    <w:rsid w:val="00D42AF8"/>
    <w:rsid w:val="00D437C7"/>
    <w:rsid w:val="00D46EEE"/>
    <w:rsid w:val="00D57B2E"/>
    <w:rsid w:val="00D57C94"/>
    <w:rsid w:val="00D57EAC"/>
    <w:rsid w:val="00D604EA"/>
    <w:rsid w:val="00D621D6"/>
    <w:rsid w:val="00D660D7"/>
    <w:rsid w:val="00D6706C"/>
    <w:rsid w:val="00D67AB6"/>
    <w:rsid w:val="00D74561"/>
    <w:rsid w:val="00D8039A"/>
    <w:rsid w:val="00D80AAF"/>
    <w:rsid w:val="00D81726"/>
    <w:rsid w:val="00D83F1E"/>
    <w:rsid w:val="00D91D3D"/>
    <w:rsid w:val="00D94B5C"/>
    <w:rsid w:val="00D97AE7"/>
    <w:rsid w:val="00DA0E40"/>
    <w:rsid w:val="00DA1A09"/>
    <w:rsid w:val="00DA522A"/>
    <w:rsid w:val="00DB422F"/>
    <w:rsid w:val="00DB443B"/>
    <w:rsid w:val="00DB6056"/>
    <w:rsid w:val="00DB7092"/>
    <w:rsid w:val="00DB7ADE"/>
    <w:rsid w:val="00DB7E5B"/>
    <w:rsid w:val="00DC3E75"/>
    <w:rsid w:val="00DC4E4A"/>
    <w:rsid w:val="00DC5137"/>
    <w:rsid w:val="00DD4D66"/>
    <w:rsid w:val="00DD68F3"/>
    <w:rsid w:val="00DE09D1"/>
    <w:rsid w:val="00DF5E4B"/>
    <w:rsid w:val="00E022F4"/>
    <w:rsid w:val="00E11B60"/>
    <w:rsid w:val="00E15A31"/>
    <w:rsid w:val="00E17382"/>
    <w:rsid w:val="00E23ACB"/>
    <w:rsid w:val="00E32516"/>
    <w:rsid w:val="00E32C42"/>
    <w:rsid w:val="00E3732B"/>
    <w:rsid w:val="00E47376"/>
    <w:rsid w:val="00E52DA8"/>
    <w:rsid w:val="00E54FBD"/>
    <w:rsid w:val="00E57DAD"/>
    <w:rsid w:val="00E700E8"/>
    <w:rsid w:val="00E70CC5"/>
    <w:rsid w:val="00E72E2F"/>
    <w:rsid w:val="00E72FE9"/>
    <w:rsid w:val="00E73290"/>
    <w:rsid w:val="00E74678"/>
    <w:rsid w:val="00E846D8"/>
    <w:rsid w:val="00E84DC6"/>
    <w:rsid w:val="00E93A45"/>
    <w:rsid w:val="00E93E58"/>
    <w:rsid w:val="00E94062"/>
    <w:rsid w:val="00E9494B"/>
    <w:rsid w:val="00EA0A2D"/>
    <w:rsid w:val="00EA793F"/>
    <w:rsid w:val="00EA7A4B"/>
    <w:rsid w:val="00EB5404"/>
    <w:rsid w:val="00EB5E96"/>
    <w:rsid w:val="00EB61CC"/>
    <w:rsid w:val="00EC1C03"/>
    <w:rsid w:val="00EC4406"/>
    <w:rsid w:val="00ED0791"/>
    <w:rsid w:val="00ED7254"/>
    <w:rsid w:val="00EE1721"/>
    <w:rsid w:val="00EE187F"/>
    <w:rsid w:val="00EF4B63"/>
    <w:rsid w:val="00F00B8E"/>
    <w:rsid w:val="00F12BBD"/>
    <w:rsid w:val="00F24CF4"/>
    <w:rsid w:val="00F268EE"/>
    <w:rsid w:val="00F269EA"/>
    <w:rsid w:val="00F31E3A"/>
    <w:rsid w:val="00F33D93"/>
    <w:rsid w:val="00F33DC9"/>
    <w:rsid w:val="00F4290C"/>
    <w:rsid w:val="00F42F58"/>
    <w:rsid w:val="00F45563"/>
    <w:rsid w:val="00F47286"/>
    <w:rsid w:val="00F5336C"/>
    <w:rsid w:val="00F5412B"/>
    <w:rsid w:val="00F5429F"/>
    <w:rsid w:val="00F617BE"/>
    <w:rsid w:val="00F66CAB"/>
    <w:rsid w:val="00F67075"/>
    <w:rsid w:val="00F83C1D"/>
    <w:rsid w:val="00F8577A"/>
    <w:rsid w:val="00F85CA9"/>
    <w:rsid w:val="00F909AE"/>
    <w:rsid w:val="00FA3113"/>
    <w:rsid w:val="00FA7156"/>
    <w:rsid w:val="00FB4ABC"/>
    <w:rsid w:val="00FB5652"/>
    <w:rsid w:val="00FB5CC4"/>
    <w:rsid w:val="00FB75ED"/>
    <w:rsid w:val="00FC3ADB"/>
    <w:rsid w:val="00FC5B64"/>
    <w:rsid w:val="00FC5E0F"/>
    <w:rsid w:val="00FD005A"/>
    <w:rsid w:val="00FD11D9"/>
    <w:rsid w:val="00FD1446"/>
    <w:rsid w:val="00FD1EC1"/>
    <w:rsid w:val="00FE3727"/>
    <w:rsid w:val="00FF0F95"/>
    <w:rsid w:val="00FF1A24"/>
    <w:rsid w:val="00FF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3602"/>
  <w15:chartTrackingRefBased/>
  <w15:docId w15:val="{ACC393AB-AC4D-4D72-BD7F-78C5ACE8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B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4B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B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B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B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B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B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B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B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B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4B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B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B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B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B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B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B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B2E"/>
    <w:rPr>
      <w:rFonts w:eastAsiaTheme="majorEastAsia" w:cstheme="majorBidi"/>
      <w:color w:val="272727" w:themeColor="text1" w:themeTint="D8"/>
    </w:rPr>
  </w:style>
  <w:style w:type="paragraph" w:styleId="Title">
    <w:name w:val="Title"/>
    <w:basedOn w:val="Normal"/>
    <w:next w:val="Normal"/>
    <w:link w:val="TitleChar"/>
    <w:uiPriority w:val="10"/>
    <w:qFormat/>
    <w:rsid w:val="00834B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B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B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B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B2E"/>
    <w:pPr>
      <w:spacing w:before="160"/>
      <w:jc w:val="center"/>
    </w:pPr>
    <w:rPr>
      <w:i/>
      <w:iCs/>
      <w:color w:val="404040" w:themeColor="text1" w:themeTint="BF"/>
    </w:rPr>
  </w:style>
  <w:style w:type="character" w:customStyle="1" w:styleId="QuoteChar">
    <w:name w:val="Quote Char"/>
    <w:basedOn w:val="DefaultParagraphFont"/>
    <w:link w:val="Quote"/>
    <w:uiPriority w:val="29"/>
    <w:rsid w:val="00834B2E"/>
    <w:rPr>
      <w:i/>
      <w:iCs/>
      <w:color w:val="404040" w:themeColor="text1" w:themeTint="BF"/>
    </w:rPr>
  </w:style>
  <w:style w:type="paragraph" w:styleId="ListParagraph">
    <w:name w:val="List Paragraph"/>
    <w:basedOn w:val="Normal"/>
    <w:uiPriority w:val="34"/>
    <w:qFormat/>
    <w:rsid w:val="00834B2E"/>
    <w:pPr>
      <w:ind w:left="720"/>
      <w:contextualSpacing/>
    </w:pPr>
  </w:style>
  <w:style w:type="character" w:styleId="IntenseEmphasis">
    <w:name w:val="Intense Emphasis"/>
    <w:basedOn w:val="DefaultParagraphFont"/>
    <w:uiPriority w:val="21"/>
    <w:qFormat/>
    <w:rsid w:val="00834B2E"/>
    <w:rPr>
      <w:i/>
      <w:iCs/>
      <w:color w:val="0F4761" w:themeColor="accent1" w:themeShade="BF"/>
    </w:rPr>
  </w:style>
  <w:style w:type="paragraph" w:styleId="IntenseQuote">
    <w:name w:val="Intense Quote"/>
    <w:basedOn w:val="Normal"/>
    <w:next w:val="Normal"/>
    <w:link w:val="IntenseQuoteChar"/>
    <w:uiPriority w:val="30"/>
    <w:qFormat/>
    <w:rsid w:val="00834B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B2E"/>
    <w:rPr>
      <w:i/>
      <w:iCs/>
      <w:color w:val="0F4761" w:themeColor="accent1" w:themeShade="BF"/>
    </w:rPr>
  </w:style>
  <w:style w:type="character" w:styleId="IntenseReference">
    <w:name w:val="Intense Reference"/>
    <w:basedOn w:val="DefaultParagraphFont"/>
    <w:uiPriority w:val="32"/>
    <w:qFormat/>
    <w:rsid w:val="00834B2E"/>
    <w:rPr>
      <w:b/>
      <w:bCs/>
      <w:smallCaps/>
      <w:color w:val="0F4761" w:themeColor="accent1" w:themeShade="BF"/>
      <w:spacing w:val="5"/>
    </w:rPr>
  </w:style>
  <w:style w:type="paragraph" w:customStyle="1" w:styleId="bullet">
    <w:name w:val="bullet"/>
    <w:link w:val="bulletChar"/>
    <w:rsid w:val="00834B2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834B2E"/>
    <w:rPr>
      <w:rFonts w:ascii="Times New Roman" w:eastAsia="Times New Roman" w:hAnsi="Times New Roman" w:cs="Times New Roman"/>
      <w:kern w:val="0"/>
      <w:szCs w:val="20"/>
      <w:lang w:eastAsia="en-GB"/>
      <w14:ligatures w14:val="none"/>
    </w:rPr>
  </w:style>
  <w:style w:type="paragraph" w:customStyle="1" w:styleId="Default">
    <w:name w:val="Default"/>
    <w:rsid w:val="00834B2E"/>
    <w:pPr>
      <w:autoSpaceDE w:val="0"/>
      <w:autoSpaceDN w:val="0"/>
      <w:adjustRightInd w:val="0"/>
      <w:spacing w:after="0" w:line="240" w:lineRule="auto"/>
    </w:pPr>
    <w:rPr>
      <w:rFonts w:ascii="Arial" w:eastAsia="Times New Roman" w:hAnsi="Arial" w:cs="Arial"/>
      <w:color w:val="000000"/>
      <w:kern w:val="0"/>
      <w14:ligatures w14:val="none"/>
    </w:rPr>
  </w:style>
  <w:style w:type="character" w:styleId="Hyperlink">
    <w:name w:val="Hyperlink"/>
    <w:basedOn w:val="DefaultParagraphFont"/>
    <w:uiPriority w:val="99"/>
    <w:unhideWhenUsed/>
    <w:rsid w:val="00F5336C"/>
    <w:rPr>
      <w:color w:val="467886" w:themeColor="hyperlink"/>
      <w:u w:val="single"/>
    </w:rPr>
  </w:style>
  <w:style w:type="character" w:styleId="UnresolvedMention">
    <w:name w:val="Unresolved Mention"/>
    <w:basedOn w:val="DefaultParagraphFont"/>
    <w:uiPriority w:val="99"/>
    <w:semiHidden/>
    <w:unhideWhenUsed/>
    <w:rsid w:val="00F5336C"/>
    <w:rPr>
      <w:color w:val="605E5C"/>
      <w:shd w:val="clear" w:color="auto" w:fill="E1DFDD"/>
    </w:rPr>
  </w:style>
  <w:style w:type="paragraph" w:styleId="Footer">
    <w:name w:val="footer"/>
    <w:basedOn w:val="Normal"/>
    <w:link w:val="FooterChar"/>
    <w:uiPriority w:val="99"/>
    <w:unhideWhenUsed/>
    <w:rsid w:val="00F53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36C"/>
  </w:style>
  <w:style w:type="character" w:styleId="FollowedHyperlink">
    <w:name w:val="FollowedHyperlink"/>
    <w:basedOn w:val="DefaultParagraphFont"/>
    <w:uiPriority w:val="99"/>
    <w:semiHidden/>
    <w:unhideWhenUsed/>
    <w:rsid w:val="001C2578"/>
    <w:rPr>
      <w:color w:val="96607D" w:themeColor="followedHyperlink"/>
      <w:u w:val="single"/>
    </w:rPr>
  </w:style>
  <w:style w:type="paragraph" w:styleId="Header">
    <w:name w:val="header"/>
    <w:basedOn w:val="Normal"/>
    <w:link w:val="HeaderChar"/>
    <w:uiPriority w:val="99"/>
    <w:unhideWhenUsed/>
    <w:rsid w:val="00314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046"/>
  </w:style>
  <w:style w:type="paragraph" w:styleId="TOCHeading">
    <w:name w:val="TOC Heading"/>
    <w:basedOn w:val="Heading1"/>
    <w:next w:val="Normal"/>
    <w:uiPriority w:val="39"/>
    <w:unhideWhenUsed/>
    <w:qFormat/>
    <w:rsid w:val="0031404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14046"/>
    <w:pPr>
      <w:spacing w:after="100"/>
      <w:ind w:left="240"/>
    </w:pPr>
  </w:style>
  <w:style w:type="paragraph" w:styleId="NoSpacing">
    <w:name w:val="No Spacing"/>
    <w:link w:val="NoSpacingChar"/>
    <w:uiPriority w:val="1"/>
    <w:qFormat/>
    <w:rsid w:val="0031404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404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arth.google.com/web/@51.60604905,-3.98626288,8.9589521a,364.59974636d,35y,235.38929876h,0t,0r/data=CgRCAggBQgIIAEoNCP___________wEQAA?hl=en-GB" TargetMode="External"/><Relationship Id="rId39" Type="http://schemas.openxmlformats.org/officeDocument/2006/relationships/hyperlink" Target="https://www.rics.org/content/dam/ricsglobal/documents/standards/Developing-a-construction-procurement-strategy.pdf" TargetMode="External"/><Relationship Id="rId21" Type="http://schemas.openxmlformats.org/officeDocument/2006/relationships/image" Target="media/image14.png"/><Relationship Id="rId34" Type="http://schemas.openxmlformats.org/officeDocument/2006/relationships/hyperlink" Target="https://www.usablebuildings.co.uk/UsableBuildings/Unprotected/EphemeralOccupancies.pdf" TargetMode="External"/><Relationship Id="rId42" Type="http://schemas.openxmlformats.org/officeDocument/2006/relationships/hyperlink" Target="https://www.tfl.gov.uk/cdn/static/cms/documents/clp-guidance-clocs.pdf" TargetMode="External"/><Relationship Id="rId47" Type="http://schemas.openxmlformats.org/officeDocument/2006/relationships/hyperlink" Target="https://www.unitedutilities.com/globalassets/documents/builders--developers-docs/s104-suds-guidance-document-swale.v3.pdf" TargetMode="External"/><Relationship Id="rId50" Type="http://schemas.openxmlformats.org/officeDocument/2006/relationships/hyperlink" Target="https://www.gov.wales/sites/default/files/publications/2019-06/statutory-national-standards-for-sustainable-drainage-systems.pdf"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arth.google.com/web/@51.60604905,-3.98626288,8.9589521a,364.59974636d,35y,235.38929876h,0t,0r/data=CgRCAggBQgIIAEoNCP___________wEQAA?hl=en-GB" TargetMode="External"/><Relationship Id="rId33" Type="http://schemas.openxmlformats.org/officeDocument/2006/relationships/hyperlink" Target="https://www.iso.org/standard/69370.html" TargetMode="External"/><Relationship Id="rId38" Type="http://schemas.openxmlformats.org/officeDocument/2006/relationships/hyperlink" Target="https://www.rics.org/content/dam/ricsglobal/documents/standards/whole_life_carbon_assessment_for_the_built_environment_1st_edition_rics.pdf" TargetMode="External"/><Relationship Id="rId46" Type="http://schemas.openxmlformats.org/officeDocument/2006/relationships/hyperlink" Target="https://assets.publishing.service.gov.uk/media/631222468fa8f5423fb0c7c0/20220901-MMC-Guidance-Note.pd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earth.google.com/web/@51.60604905,-3.98626288,8.9589521a,364.59974636d,35y,235.38929876h,0t,0r/data=CgRCAggBQgIIAEoNCP___________wEQAA?hl=en-GB" TargetMode="External"/><Relationship Id="rId41" Type="http://schemas.openxmlformats.org/officeDocument/2006/relationships/hyperlink" Target="https://www.swansea.gov.uk/greenwallinfo?lang=en" TargetMode="External"/><Relationship Id="rId54" Type="http://schemas.openxmlformats.org/officeDocument/2006/relationships/hyperlink" Target="https://www.ciria.org/CIRIA/Books/Free_publications/C753F.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th.google.com/web/@51.60604905,-3.98626288,8.9589521a,364.59974636d,35y,235.38929876h,0t,0r/data=CgRCAggBQgIIAEoNCP___________wEQAA?hl=en-GB" TargetMode="External"/><Relationship Id="rId32" Type="http://schemas.openxmlformats.org/officeDocument/2006/relationships/hyperlink" Target="https://books.hse.gov.uk/gempdf/L153.pdf" TargetMode="External"/><Relationship Id="rId37" Type="http://schemas.openxmlformats.org/officeDocument/2006/relationships/hyperlink" Target="https://passivhaus.uk/wp-content/uploads/2024/10/Avoiding-summer-overheating.pdf" TargetMode="External"/><Relationship Id="rId40" Type="http://schemas.openxmlformats.org/officeDocument/2006/relationships/hyperlink" Target="https://sbuhb.nhs.wales/hospitals/our-hospitals/singleton-hospital/" TargetMode="External"/><Relationship Id="rId45" Type="http://schemas.openxmlformats.org/officeDocument/2006/relationships/hyperlink" Target="https://assets.publishing.service.gov.uk/media/631222468fa8f5423fb0c7c0/20220901-MMC-Guidance-Note.pdf" TargetMode="External"/><Relationship Id="rId53" Type="http://schemas.openxmlformats.org/officeDocument/2006/relationships/hyperlink" Target="https://www.ciria.org/CIRIA/Books/Free_publications/C753F.aspx"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igimap.edina.ac.uk/roam/map/geology" TargetMode="External"/><Relationship Id="rId28" Type="http://schemas.openxmlformats.org/officeDocument/2006/relationships/hyperlink" Target="https://earth.google.com/web/@51.60604905,-3.98626288,8.9589521a,364.59974636d,35y,235.38929876h,0t,0r/data=CgRCAggBQgIIAEoNCP___________wEQAA?hl=en-GB" TargetMode="External"/><Relationship Id="rId36" Type="http://schemas.openxmlformats.org/officeDocument/2006/relationships/hyperlink" Target="https://www.passivhaustrust.org.uk/UserFiles/File/research%20papers/easi%20guide%20PH%20design/Passivhaus%20easi-guide_screen_portrait.pdf" TargetMode="External"/><Relationship Id="rId49" Type="http://schemas.openxmlformats.org/officeDocument/2006/relationships/hyperlink" Target="https://www.gov.wales/sites/default/files/publications/2019-06/statutory-national-standards-for-sustainable-drainage-systems.pdf" TargetMode="External"/><Relationship Id="rId57"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books.hse.gov.uk/gempdf/L153.pdf" TargetMode="External"/><Relationship Id="rId44" Type="http://schemas.openxmlformats.org/officeDocument/2006/relationships/hyperlink" Target="https://www.legislation.gov.uk/ukpga/2010/29/schedule/3" TargetMode="External"/><Relationship Id="rId52" Type="http://schemas.openxmlformats.org/officeDocument/2006/relationships/hyperlink" Target="https://www.ciria.org/CIRIA/Books/Free_publications/C753F.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ibsejournal.com/case-studies/case-study-manchesters-garden-of-eden/" TargetMode="External"/><Relationship Id="rId27" Type="http://schemas.openxmlformats.org/officeDocument/2006/relationships/hyperlink" Target="https://earth.google.com/web/@51.60604905,-3.98626288,8.9589521a,364.59974636d,35y,235.38929876h,0t,0r/data=CgRCAggBQgIIAEoNCP___________wEQAA?hl=en-GB" TargetMode="External"/><Relationship Id="rId30" Type="http://schemas.openxmlformats.org/officeDocument/2006/relationships/hyperlink" Target="https://www.evansbanks.com/wp-content/uploads/2022/02/HCE-1546-CVD-CAL-001-SW-Drainage-Calculations.pdf" TargetMode="External"/><Relationship Id="rId35" Type="http://schemas.openxmlformats.org/officeDocument/2006/relationships/hyperlink" Target="https://nora.nerc.ac.uk/id/eprint/7367/1/IH_124.pdf" TargetMode="External"/><Relationship Id="rId43" Type="http://schemas.openxmlformats.org/officeDocument/2006/relationships/hyperlink" Target="https://fehweb.ceh.ac.uk/" TargetMode="External"/><Relationship Id="rId48" Type="http://schemas.openxmlformats.org/officeDocument/2006/relationships/hyperlink" Target="https://www.unitedutilities.com/globalassets/documents/builders--developers-docs/s104-suds-guidance-document-swale.v3.pdf"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ciria.org/CIRIA/Books/Free_publications/C753F.asp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F9392-352F-43EC-9670-95611D7D4B43}">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contentBits="2" removed="0"/>
</clbl:labelList>
</file>

<file path=docProps/app.xml><?xml version="1.0" encoding="utf-8"?>
<Properties xmlns="http://schemas.openxmlformats.org/officeDocument/2006/extended-properties" xmlns:vt="http://schemas.openxmlformats.org/officeDocument/2006/docPropsVTypes">
  <Template>Normal</Template>
  <TotalTime>3900</TotalTime>
  <Pages>20</Pages>
  <Words>4452</Words>
  <Characters>26445</Characters>
  <Application>Microsoft Office Word</Application>
  <DocSecurity>0</DocSecurity>
  <Lines>629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proposal appraisal</dc:title>
  <dc:subject>ACBA5019 part 2</dc:subject>
  <dc:creator>Goodrum, Joseph (J)</dc:creator>
  <cp:keywords/>
  <dc:description/>
  <cp:lastModifiedBy>Goodrum, Joseph (J)</cp:lastModifiedBy>
  <cp:revision>658</cp:revision>
  <dcterms:created xsi:type="dcterms:W3CDTF">2026-05-13T18:16:00Z</dcterms:created>
  <dcterms:modified xsi:type="dcterms:W3CDTF">2026-06-09T11:46:00Z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59aa6f51,3aca640b,4b974310</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