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B3C74" w:rsidRDefault="00AB3C74"/>
    <w:tbl>
      <w:tblPr>
        <w:tblStyle w:val="TableGrid"/>
        <w:tblW w:w="0" w:type="auto"/>
        <w:jc w:val="center"/>
        <w:tblLook w:val="04A0" w:firstRow="1" w:lastRow="0" w:firstColumn="1" w:lastColumn="0" w:noHBand="0" w:noVBand="1"/>
      </w:tblPr>
      <w:tblGrid>
        <w:gridCol w:w="4315"/>
        <w:gridCol w:w="4315"/>
      </w:tblGrid>
      <w:tr w:rsidR="00AB3C74">
        <w:trPr>
          <w:jc w:val="center"/>
        </w:trPr>
        <w:tc>
          <w:tcPr>
            <w:tcW w:w="4320" w:type="dxa"/>
          </w:tcPr>
          <w:p w:rsidR="00AB3C74" w:rsidRDefault="00000000">
            <w:r>
              <w:t>Student Name</w:t>
            </w:r>
          </w:p>
        </w:tc>
        <w:tc>
          <w:tcPr>
            <w:tcW w:w="4320" w:type="dxa"/>
          </w:tcPr>
          <w:p w:rsidR="00AB3C74" w:rsidRPr="00FB6E80" w:rsidRDefault="00FB6E80">
            <w:pPr>
              <w:rPr>
                <w:b/>
              </w:rPr>
            </w:pPr>
            <w:r w:rsidRPr="00FB6E80">
              <w:rPr>
                <w:rFonts w:cstheme="minorHAnsi"/>
                <w:b/>
                <w:color w:val="000000" w:themeColor="text1"/>
                <w:spacing w:val="10"/>
              </w:rPr>
              <w:t>MD JUEL MIAH</w:t>
            </w:r>
          </w:p>
        </w:tc>
      </w:tr>
      <w:tr w:rsidR="00AB3C74">
        <w:trPr>
          <w:jc w:val="center"/>
        </w:trPr>
        <w:tc>
          <w:tcPr>
            <w:tcW w:w="4320" w:type="dxa"/>
          </w:tcPr>
          <w:p w:rsidR="00AB3C74" w:rsidRDefault="00000000">
            <w:r>
              <w:t>Student ID Number</w:t>
            </w:r>
          </w:p>
        </w:tc>
        <w:tc>
          <w:tcPr>
            <w:tcW w:w="4320" w:type="dxa"/>
          </w:tcPr>
          <w:p w:rsidR="00AB3C74" w:rsidRPr="00FB6E80" w:rsidRDefault="00FB6E80">
            <w:pPr>
              <w:rPr>
                <w:b/>
              </w:rPr>
            </w:pPr>
            <w:r>
              <w:rPr>
                <w:rFonts w:cstheme="minorHAnsi"/>
                <w:b/>
                <w:color w:val="000000" w:themeColor="text1"/>
                <w:spacing w:val="10"/>
              </w:rPr>
              <w:t>2522339</w:t>
            </w:r>
          </w:p>
        </w:tc>
      </w:tr>
      <w:tr w:rsidR="00AB3C74">
        <w:trPr>
          <w:jc w:val="center"/>
        </w:trPr>
        <w:tc>
          <w:tcPr>
            <w:tcW w:w="4320" w:type="dxa"/>
          </w:tcPr>
          <w:p w:rsidR="00AB3C74" w:rsidRDefault="00000000">
            <w:r>
              <w:t>Module Title</w:t>
            </w:r>
          </w:p>
        </w:tc>
        <w:tc>
          <w:tcPr>
            <w:tcW w:w="4320" w:type="dxa"/>
          </w:tcPr>
          <w:p w:rsidR="00AB3C74" w:rsidRPr="00FB6E80" w:rsidRDefault="00000000">
            <w:pPr>
              <w:rPr>
                <w:b/>
              </w:rPr>
            </w:pPr>
            <w:r w:rsidRPr="00FB6E80">
              <w:rPr>
                <w:b/>
              </w:rPr>
              <w:t>Financial Management</w:t>
            </w:r>
          </w:p>
        </w:tc>
      </w:tr>
      <w:tr w:rsidR="00AB3C74">
        <w:trPr>
          <w:jc w:val="center"/>
        </w:trPr>
        <w:tc>
          <w:tcPr>
            <w:tcW w:w="4320" w:type="dxa"/>
          </w:tcPr>
          <w:p w:rsidR="00AB3C74" w:rsidRDefault="00000000">
            <w:r>
              <w:t>Module Code</w:t>
            </w:r>
          </w:p>
        </w:tc>
        <w:tc>
          <w:tcPr>
            <w:tcW w:w="4320" w:type="dxa"/>
          </w:tcPr>
          <w:p w:rsidR="00AB3C74" w:rsidRPr="00FB6E80" w:rsidRDefault="00000000">
            <w:pPr>
              <w:rPr>
                <w:b/>
              </w:rPr>
            </w:pPr>
            <w:r w:rsidRPr="00FB6E80">
              <w:rPr>
                <w:b/>
              </w:rPr>
              <w:t>LCMB7002</w:t>
            </w:r>
          </w:p>
        </w:tc>
      </w:tr>
      <w:tr w:rsidR="00AB3C74">
        <w:trPr>
          <w:jc w:val="center"/>
        </w:trPr>
        <w:tc>
          <w:tcPr>
            <w:tcW w:w="4320" w:type="dxa"/>
          </w:tcPr>
          <w:p w:rsidR="00AB3C74" w:rsidRDefault="00000000">
            <w:r>
              <w:t>Lecturer’s Name</w:t>
            </w:r>
          </w:p>
        </w:tc>
        <w:tc>
          <w:tcPr>
            <w:tcW w:w="4320" w:type="dxa"/>
          </w:tcPr>
          <w:p w:rsidR="00AB3C74" w:rsidRPr="00FB6E80" w:rsidRDefault="00000000">
            <w:pPr>
              <w:rPr>
                <w:b/>
              </w:rPr>
            </w:pPr>
            <w:r w:rsidRPr="00FB6E80">
              <w:rPr>
                <w:b/>
              </w:rPr>
              <w:t>Patrick Yeboah (Birmingham)</w:t>
            </w:r>
          </w:p>
        </w:tc>
      </w:tr>
      <w:tr w:rsidR="00AB3C74">
        <w:trPr>
          <w:jc w:val="center"/>
        </w:trPr>
        <w:tc>
          <w:tcPr>
            <w:tcW w:w="4320" w:type="dxa"/>
          </w:tcPr>
          <w:p w:rsidR="00AB3C74" w:rsidRDefault="00000000">
            <w:r>
              <w:t>Assignment Title</w:t>
            </w:r>
          </w:p>
        </w:tc>
        <w:tc>
          <w:tcPr>
            <w:tcW w:w="4320" w:type="dxa"/>
          </w:tcPr>
          <w:p w:rsidR="00AB3C74" w:rsidRPr="00FB6E80" w:rsidRDefault="00000000">
            <w:pPr>
              <w:rPr>
                <w:b/>
              </w:rPr>
            </w:pPr>
            <w:r w:rsidRPr="00FB6E80">
              <w:rPr>
                <w:b/>
              </w:rPr>
              <w:t>Assessment component: Financial performance and management</w:t>
            </w:r>
          </w:p>
        </w:tc>
      </w:tr>
      <w:tr w:rsidR="00AB3C74">
        <w:trPr>
          <w:jc w:val="center"/>
        </w:trPr>
        <w:tc>
          <w:tcPr>
            <w:tcW w:w="4320" w:type="dxa"/>
          </w:tcPr>
          <w:p w:rsidR="00AB3C74" w:rsidRDefault="00000000">
            <w:r>
              <w:t>Submission Date</w:t>
            </w:r>
          </w:p>
        </w:tc>
        <w:tc>
          <w:tcPr>
            <w:tcW w:w="4320" w:type="dxa"/>
          </w:tcPr>
          <w:p w:rsidR="00AB3C74" w:rsidRPr="00FB6E80" w:rsidRDefault="0067224F">
            <w:pPr>
              <w:rPr>
                <w:b/>
              </w:rPr>
            </w:pPr>
            <w:r>
              <w:rPr>
                <w:b/>
              </w:rPr>
              <w:t>26</w:t>
            </w:r>
            <w:r w:rsidRPr="0067224F">
              <w:rPr>
                <w:b/>
                <w:vertAlign w:val="superscript"/>
              </w:rPr>
              <w:t>th</w:t>
            </w:r>
            <w:r>
              <w:rPr>
                <w:b/>
              </w:rPr>
              <w:t xml:space="preserve"> March, 2026</w:t>
            </w:r>
          </w:p>
        </w:tc>
      </w:tr>
      <w:tr w:rsidR="00AB3C74">
        <w:trPr>
          <w:jc w:val="center"/>
        </w:trPr>
        <w:tc>
          <w:tcPr>
            <w:tcW w:w="4320" w:type="dxa"/>
          </w:tcPr>
          <w:p w:rsidR="00AB3C74" w:rsidRDefault="00000000">
            <w:r>
              <w:t>Word Count (Actual)</w:t>
            </w:r>
          </w:p>
        </w:tc>
        <w:tc>
          <w:tcPr>
            <w:tcW w:w="4320" w:type="dxa"/>
          </w:tcPr>
          <w:p w:rsidR="00AB3C74" w:rsidRPr="00FB6E80" w:rsidRDefault="00AC5730">
            <w:pPr>
              <w:rPr>
                <w:b/>
              </w:rPr>
            </w:pPr>
            <w:r w:rsidRPr="00FB6E80">
              <w:rPr>
                <w:b/>
              </w:rPr>
              <w:t>5267</w:t>
            </w:r>
          </w:p>
        </w:tc>
      </w:tr>
    </w:tbl>
    <w:p w:rsidR="00AB3C74" w:rsidRDefault="00000000">
      <w:r>
        <w:br w:type="page"/>
      </w:r>
    </w:p>
    <w:sdt>
      <w:sdtPr>
        <w:rPr>
          <w:rFonts w:ascii="Arial" w:eastAsia="Arial" w:hAnsi="Arial" w:cstheme="minorBidi"/>
          <w:b w:val="0"/>
          <w:bCs w:val="0"/>
          <w:color w:val="auto"/>
          <w:sz w:val="24"/>
          <w:szCs w:val="22"/>
        </w:rPr>
        <w:id w:val="2024282429"/>
        <w:docPartObj>
          <w:docPartGallery w:val="Table of Contents"/>
          <w:docPartUnique/>
        </w:docPartObj>
      </w:sdtPr>
      <w:sdtEndPr>
        <w:rPr>
          <w:noProof/>
        </w:rPr>
      </w:sdtEndPr>
      <w:sdtContent>
        <w:p w:rsidR="00B84F6A" w:rsidRPr="00B84F6A" w:rsidRDefault="00B84F6A">
          <w:pPr>
            <w:pStyle w:val="TOCHeading"/>
            <w:rPr>
              <w:rFonts w:ascii="Arial" w:hAnsi="Arial" w:cs="Arial"/>
              <w:color w:val="000000" w:themeColor="text1"/>
              <w:sz w:val="32"/>
              <w:szCs w:val="32"/>
            </w:rPr>
          </w:pPr>
          <w:r w:rsidRPr="00B84F6A">
            <w:rPr>
              <w:rFonts w:ascii="Arial" w:hAnsi="Arial" w:cs="Arial"/>
              <w:color w:val="000000" w:themeColor="text1"/>
              <w:sz w:val="32"/>
              <w:szCs w:val="32"/>
            </w:rPr>
            <w:t>Table of Contents</w:t>
          </w:r>
        </w:p>
        <w:p w:rsidR="005159D2" w:rsidRDefault="00B84F6A">
          <w:pPr>
            <w:pStyle w:val="TOC1"/>
            <w:tabs>
              <w:tab w:val="right" w:leader="dot" w:pos="863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2315086" w:history="1">
            <w:r w:rsidR="005159D2" w:rsidRPr="003C2887">
              <w:rPr>
                <w:rStyle w:val="Hyperlink"/>
                <w:rFonts w:cs="Arial"/>
                <w:noProof/>
              </w:rPr>
              <w:t>Introduction</w:t>
            </w:r>
            <w:r w:rsidR="005159D2">
              <w:rPr>
                <w:noProof/>
                <w:webHidden/>
              </w:rPr>
              <w:tab/>
            </w:r>
            <w:r w:rsidR="005159D2">
              <w:rPr>
                <w:noProof/>
                <w:webHidden/>
              </w:rPr>
              <w:fldChar w:fldCharType="begin"/>
            </w:r>
            <w:r w:rsidR="005159D2">
              <w:rPr>
                <w:noProof/>
                <w:webHidden/>
              </w:rPr>
              <w:instrText xml:space="preserve"> PAGEREF _Toc222315086 \h </w:instrText>
            </w:r>
            <w:r w:rsidR="005159D2">
              <w:rPr>
                <w:noProof/>
                <w:webHidden/>
              </w:rPr>
            </w:r>
            <w:r w:rsidR="005159D2">
              <w:rPr>
                <w:noProof/>
                <w:webHidden/>
              </w:rPr>
              <w:fldChar w:fldCharType="separate"/>
            </w:r>
            <w:r w:rsidR="005159D2">
              <w:rPr>
                <w:noProof/>
                <w:webHidden/>
              </w:rPr>
              <w:t>5</w:t>
            </w:r>
            <w:r w:rsidR="005159D2">
              <w:rPr>
                <w:noProof/>
                <w:webHidden/>
              </w:rPr>
              <w:fldChar w:fldCharType="end"/>
            </w:r>
          </w:hyperlink>
        </w:p>
        <w:p w:rsidR="005159D2" w:rsidRDefault="005159D2">
          <w:pPr>
            <w:pStyle w:val="TOC1"/>
            <w:tabs>
              <w:tab w:val="right" w:leader="dot" w:pos="8630"/>
            </w:tabs>
            <w:rPr>
              <w:rFonts w:asciiTheme="minorHAnsi" w:eastAsiaTheme="minorEastAsia" w:hAnsiTheme="minorHAnsi"/>
              <w:noProof/>
              <w:kern w:val="2"/>
              <w:szCs w:val="24"/>
              <w14:ligatures w14:val="standardContextual"/>
            </w:rPr>
          </w:pPr>
          <w:hyperlink w:anchor="_Toc222315087" w:history="1">
            <w:r w:rsidRPr="003C2887">
              <w:rPr>
                <w:rStyle w:val="Hyperlink"/>
                <w:rFonts w:cs="Arial"/>
                <w:noProof/>
              </w:rPr>
              <w:t>Financial Health Check</w:t>
            </w:r>
            <w:r>
              <w:rPr>
                <w:noProof/>
                <w:webHidden/>
              </w:rPr>
              <w:tab/>
            </w:r>
            <w:r>
              <w:rPr>
                <w:noProof/>
                <w:webHidden/>
              </w:rPr>
              <w:fldChar w:fldCharType="begin"/>
            </w:r>
            <w:r>
              <w:rPr>
                <w:noProof/>
                <w:webHidden/>
              </w:rPr>
              <w:instrText xml:space="preserve"> PAGEREF _Toc222315087 \h </w:instrText>
            </w:r>
            <w:r>
              <w:rPr>
                <w:noProof/>
                <w:webHidden/>
              </w:rPr>
            </w:r>
            <w:r>
              <w:rPr>
                <w:noProof/>
                <w:webHidden/>
              </w:rPr>
              <w:fldChar w:fldCharType="separate"/>
            </w:r>
            <w:r>
              <w:rPr>
                <w:noProof/>
                <w:webHidden/>
              </w:rPr>
              <w:t>5</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88" w:history="1">
            <w:r w:rsidRPr="003C2887">
              <w:rPr>
                <w:rStyle w:val="Hyperlink"/>
                <w:rFonts w:cs="Arial"/>
                <w:noProof/>
              </w:rPr>
              <w:t>Overview of performance, cash generation and financial position</w:t>
            </w:r>
            <w:r>
              <w:rPr>
                <w:noProof/>
                <w:webHidden/>
              </w:rPr>
              <w:tab/>
            </w:r>
            <w:r>
              <w:rPr>
                <w:noProof/>
                <w:webHidden/>
              </w:rPr>
              <w:fldChar w:fldCharType="begin"/>
            </w:r>
            <w:r>
              <w:rPr>
                <w:noProof/>
                <w:webHidden/>
              </w:rPr>
              <w:instrText xml:space="preserve"> PAGEREF _Toc222315088 \h </w:instrText>
            </w:r>
            <w:r>
              <w:rPr>
                <w:noProof/>
                <w:webHidden/>
              </w:rPr>
            </w:r>
            <w:r>
              <w:rPr>
                <w:noProof/>
                <w:webHidden/>
              </w:rPr>
              <w:fldChar w:fldCharType="separate"/>
            </w:r>
            <w:r>
              <w:rPr>
                <w:noProof/>
                <w:webHidden/>
              </w:rPr>
              <w:t>5</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89" w:history="1">
            <w:r w:rsidRPr="003C2887">
              <w:rPr>
                <w:rStyle w:val="Hyperlink"/>
                <w:rFonts w:cs="Arial"/>
                <w:noProof/>
              </w:rPr>
              <w:t>Profitability and return dynamics</w:t>
            </w:r>
            <w:r>
              <w:rPr>
                <w:noProof/>
                <w:webHidden/>
              </w:rPr>
              <w:tab/>
            </w:r>
            <w:r>
              <w:rPr>
                <w:noProof/>
                <w:webHidden/>
              </w:rPr>
              <w:fldChar w:fldCharType="begin"/>
            </w:r>
            <w:r>
              <w:rPr>
                <w:noProof/>
                <w:webHidden/>
              </w:rPr>
              <w:instrText xml:space="preserve"> PAGEREF _Toc222315089 \h </w:instrText>
            </w:r>
            <w:r>
              <w:rPr>
                <w:noProof/>
                <w:webHidden/>
              </w:rPr>
            </w:r>
            <w:r>
              <w:rPr>
                <w:noProof/>
                <w:webHidden/>
              </w:rPr>
              <w:fldChar w:fldCharType="separate"/>
            </w:r>
            <w:r>
              <w:rPr>
                <w:noProof/>
                <w:webHidden/>
              </w:rPr>
              <w:t>7</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0" w:history="1">
            <w:r w:rsidRPr="003C2887">
              <w:rPr>
                <w:rStyle w:val="Hyperlink"/>
                <w:rFonts w:cs="Arial"/>
                <w:noProof/>
              </w:rPr>
              <w:t>Liquidity, leverage and cash flow resilience</w:t>
            </w:r>
            <w:r>
              <w:rPr>
                <w:noProof/>
                <w:webHidden/>
              </w:rPr>
              <w:tab/>
            </w:r>
            <w:r>
              <w:rPr>
                <w:noProof/>
                <w:webHidden/>
              </w:rPr>
              <w:fldChar w:fldCharType="begin"/>
            </w:r>
            <w:r>
              <w:rPr>
                <w:noProof/>
                <w:webHidden/>
              </w:rPr>
              <w:instrText xml:space="preserve"> PAGEREF _Toc222315090 \h </w:instrText>
            </w:r>
            <w:r>
              <w:rPr>
                <w:noProof/>
                <w:webHidden/>
              </w:rPr>
            </w:r>
            <w:r>
              <w:rPr>
                <w:noProof/>
                <w:webHidden/>
              </w:rPr>
              <w:fldChar w:fldCharType="separate"/>
            </w:r>
            <w:r>
              <w:rPr>
                <w:noProof/>
                <w:webHidden/>
              </w:rPr>
              <w:t>8</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1" w:history="1">
            <w:r w:rsidRPr="003C2887">
              <w:rPr>
                <w:rStyle w:val="Hyperlink"/>
                <w:rFonts w:cs="Arial"/>
                <w:noProof/>
              </w:rPr>
              <w:t>Altman Z-score and financial distress screening</w:t>
            </w:r>
            <w:r>
              <w:rPr>
                <w:noProof/>
                <w:webHidden/>
              </w:rPr>
              <w:tab/>
            </w:r>
            <w:r>
              <w:rPr>
                <w:noProof/>
                <w:webHidden/>
              </w:rPr>
              <w:fldChar w:fldCharType="begin"/>
            </w:r>
            <w:r>
              <w:rPr>
                <w:noProof/>
                <w:webHidden/>
              </w:rPr>
              <w:instrText xml:space="preserve"> PAGEREF _Toc222315091 \h </w:instrText>
            </w:r>
            <w:r>
              <w:rPr>
                <w:noProof/>
                <w:webHidden/>
              </w:rPr>
            </w:r>
            <w:r>
              <w:rPr>
                <w:noProof/>
                <w:webHidden/>
              </w:rPr>
              <w:fldChar w:fldCharType="separate"/>
            </w:r>
            <w:r>
              <w:rPr>
                <w:noProof/>
                <w:webHidden/>
              </w:rPr>
              <w:t>10</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2" w:history="1">
            <w:r w:rsidRPr="003C2887">
              <w:rPr>
                <w:rStyle w:val="Hyperlink"/>
                <w:rFonts w:cs="Arial"/>
                <w:noProof/>
              </w:rPr>
              <w:t>Synthesis: strengths, vulnerabilities and implications</w:t>
            </w:r>
            <w:r>
              <w:rPr>
                <w:noProof/>
                <w:webHidden/>
              </w:rPr>
              <w:tab/>
            </w:r>
            <w:r>
              <w:rPr>
                <w:noProof/>
                <w:webHidden/>
              </w:rPr>
              <w:fldChar w:fldCharType="begin"/>
            </w:r>
            <w:r>
              <w:rPr>
                <w:noProof/>
                <w:webHidden/>
              </w:rPr>
              <w:instrText xml:space="preserve"> PAGEREF _Toc222315092 \h </w:instrText>
            </w:r>
            <w:r>
              <w:rPr>
                <w:noProof/>
                <w:webHidden/>
              </w:rPr>
            </w:r>
            <w:r>
              <w:rPr>
                <w:noProof/>
                <w:webHidden/>
              </w:rPr>
              <w:fldChar w:fldCharType="separate"/>
            </w:r>
            <w:r>
              <w:rPr>
                <w:noProof/>
                <w:webHidden/>
              </w:rPr>
              <w:t>11</w:t>
            </w:r>
            <w:r>
              <w:rPr>
                <w:noProof/>
                <w:webHidden/>
              </w:rPr>
              <w:fldChar w:fldCharType="end"/>
            </w:r>
          </w:hyperlink>
        </w:p>
        <w:p w:rsidR="005159D2" w:rsidRDefault="005159D2">
          <w:pPr>
            <w:pStyle w:val="TOC1"/>
            <w:tabs>
              <w:tab w:val="right" w:leader="dot" w:pos="8630"/>
            </w:tabs>
            <w:rPr>
              <w:rFonts w:asciiTheme="minorHAnsi" w:eastAsiaTheme="minorEastAsia" w:hAnsiTheme="minorHAnsi"/>
              <w:noProof/>
              <w:kern w:val="2"/>
              <w:szCs w:val="24"/>
              <w14:ligatures w14:val="standardContextual"/>
            </w:rPr>
          </w:pPr>
          <w:hyperlink w:anchor="_Toc222315093" w:history="1">
            <w:r w:rsidRPr="003C2887">
              <w:rPr>
                <w:rStyle w:val="Hyperlink"/>
                <w:rFonts w:cs="Arial"/>
                <w:noProof/>
              </w:rPr>
              <w:t>Working Capital Management Analysis</w:t>
            </w:r>
            <w:r>
              <w:rPr>
                <w:noProof/>
                <w:webHidden/>
              </w:rPr>
              <w:tab/>
            </w:r>
            <w:r>
              <w:rPr>
                <w:noProof/>
                <w:webHidden/>
              </w:rPr>
              <w:fldChar w:fldCharType="begin"/>
            </w:r>
            <w:r>
              <w:rPr>
                <w:noProof/>
                <w:webHidden/>
              </w:rPr>
              <w:instrText xml:space="preserve"> PAGEREF _Toc222315093 \h </w:instrText>
            </w:r>
            <w:r>
              <w:rPr>
                <w:noProof/>
                <w:webHidden/>
              </w:rPr>
            </w:r>
            <w:r>
              <w:rPr>
                <w:noProof/>
                <w:webHidden/>
              </w:rPr>
              <w:fldChar w:fldCharType="separate"/>
            </w:r>
            <w:r>
              <w:rPr>
                <w:noProof/>
                <w:webHidden/>
              </w:rPr>
              <w:t>12</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4" w:history="1">
            <w:r w:rsidRPr="003C2887">
              <w:rPr>
                <w:rStyle w:val="Hyperlink"/>
                <w:rFonts w:cs="Arial"/>
                <w:noProof/>
              </w:rPr>
              <w:t>Cash operating cycle assessment</w:t>
            </w:r>
            <w:r>
              <w:rPr>
                <w:noProof/>
                <w:webHidden/>
              </w:rPr>
              <w:tab/>
            </w:r>
            <w:r>
              <w:rPr>
                <w:noProof/>
                <w:webHidden/>
              </w:rPr>
              <w:fldChar w:fldCharType="begin"/>
            </w:r>
            <w:r>
              <w:rPr>
                <w:noProof/>
                <w:webHidden/>
              </w:rPr>
              <w:instrText xml:space="preserve"> PAGEREF _Toc222315094 \h </w:instrText>
            </w:r>
            <w:r>
              <w:rPr>
                <w:noProof/>
                <w:webHidden/>
              </w:rPr>
            </w:r>
            <w:r>
              <w:rPr>
                <w:noProof/>
                <w:webHidden/>
              </w:rPr>
              <w:fldChar w:fldCharType="separate"/>
            </w:r>
            <w:r>
              <w:rPr>
                <w:noProof/>
                <w:webHidden/>
              </w:rPr>
              <w:t>12</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5" w:history="1">
            <w:r w:rsidRPr="003C2887">
              <w:rPr>
                <w:rStyle w:val="Hyperlink"/>
                <w:rFonts w:cs="Arial"/>
                <w:noProof/>
              </w:rPr>
              <w:t>Working capital reforms to improve liquidity</w:t>
            </w:r>
            <w:r>
              <w:rPr>
                <w:noProof/>
                <w:webHidden/>
              </w:rPr>
              <w:tab/>
            </w:r>
            <w:r>
              <w:rPr>
                <w:noProof/>
                <w:webHidden/>
              </w:rPr>
              <w:fldChar w:fldCharType="begin"/>
            </w:r>
            <w:r>
              <w:rPr>
                <w:noProof/>
                <w:webHidden/>
              </w:rPr>
              <w:instrText xml:space="preserve"> PAGEREF _Toc222315095 \h </w:instrText>
            </w:r>
            <w:r>
              <w:rPr>
                <w:noProof/>
                <w:webHidden/>
              </w:rPr>
            </w:r>
            <w:r>
              <w:rPr>
                <w:noProof/>
                <w:webHidden/>
              </w:rPr>
              <w:fldChar w:fldCharType="separate"/>
            </w:r>
            <w:r>
              <w:rPr>
                <w:noProof/>
                <w:webHidden/>
              </w:rPr>
              <w:t>14</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6" w:history="1">
            <w:r w:rsidRPr="003C2887">
              <w:rPr>
                <w:rStyle w:val="Hyperlink"/>
                <w:rFonts w:cs="Arial"/>
                <w:noProof/>
              </w:rPr>
              <w:t>Short-term versus long-term financing options</w:t>
            </w:r>
            <w:r>
              <w:rPr>
                <w:noProof/>
                <w:webHidden/>
              </w:rPr>
              <w:tab/>
            </w:r>
            <w:r>
              <w:rPr>
                <w:noProof/>
                <w:webHidden/>
              </w:rPr>
              <w:fldChar w:fldCharType="begin"/>
            </w:r>
            <w:r>
              <w:rPr>
                <w:noProof/>
                <w:webHidden/>
              </w:rPr>
              <w:instrText xml:space="preserve"> PAGEREF _Toc222315096 \h </w:instrText>
            </w:r>
            <w:r>
              <w:rPr>
                <w:noProof/>
                <w:webHidden/>
              </w:rPr>
            </w:r>
            <w:r>
              <w:rPr>
                <w:noProof/>
                <w:webHidden/>
              </w:rPr>
              <w:fldChar w:fldCharType="separate"/>
            </w:r>
            <w:r>
              <w:rPr>
                <w:noProof/>
                <w:webHidden/>
              </w:rPr>
              <w:t>15</w:t>
            </w:r>
            <w:r>
              <w:rPr>
                <w:noProof/>
                <w:webHidden/>
              </w:rPr>
              <w:fldChar w:fldCharType="end"/>
            </w:r>
          </w:hyperlink>
        </w:p>
        <w:p w:rsidR="005159D2" w:rsidRDefault="005159D2">
          <w:pPr>
            <w:pStyle w:val="TOC1"/>
            <w:tabs>
              <w:tab w:val="right" w:leader="dot" w:pos="8630"/>
            </w:tabs>
            <w:rPr>
              <w:rFonts w:asciiTheme="minorHAnsi" w:eastAsiaTheme="minorEastAsia" w:hAnsiTheme="minorHAnsi"/>
              <w:noProof/>
              <w:kern w:val="2"/>
              <w:szCs w:val="24"/>
              <w14:ligatures w14:val="standardContextual"/>
            </w:rPr>
          </w:pPr>
          <w:hyperlink w:anchor="_Toc222315097" w:history="1">
            <w:r w:rsidRPr="003C2887">
              <w:rPr>
                <w:rStyle w:val="Hyperlink"/>
                <w:rFonts w:cs="Arial"/>
                <w:noProof/>
              </w:rPr>
              <w:t>Strategic Financial Restructuring Plan</w:t>
            </w:r>
            <w:r>
              <w:rPr>
                <w:noProof/>
                <w:webHidden/>
              </w:rPr>
              <w:tab/>
            </w:r>
            <w:r>
              <w:rPr>
                <w:noProof/>
                <w:webHidden/>
              </w:rPr>
              <w:fldChar w:fldCharType="begin"/>
            </w:r>
            <w:r>
              <w:rPr>
                <w:noProof/>
                <w:webHidden/>
              </w:rPr>
              <w:instrText xml:space="preserve"> PAGEREF _Toc222315097 \h </w:instrText>
            </w:r>
            <w:r>
              <w:rPr>
                <w:noProof/>
                <w:webHidden/>
              </w:rPr>
            </w:r>
            <w:r>
              <w:rPr>
                <w:noProof/>
                <w:webHidden/>
              </w:rPr>
              <w:fldChar w:fldCharType="separate"/>
            </w:r>
            <w:r>
              <w:rPr>
                <w:noProof/>
                <w:webHidden/>
              </w:rPr>
              <w:t>16</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8" w:history="1">
            <w:r w:rsidRPr="003C2887">
              <w:rPr>
                <w:rStyle w:val="Hyperlink"/>
                <w:rFonts w:cs="Arial"/>
                <w:noProof/>
              </w:rPr>
              <w:t>Recommended financial restructuring options</w:t>
            </w:r>
            <w:r>
              <w:rPr>
                <w:noProof/>
                <w:webHidden/>
              </w:rPr>
              <w:tab/>
            </w:r>
            <w:r>
              <w:rPr>
                <w:noProof/>
                <w:webHidden/>
              </w:rPr>
              <w:fldChar w:fldCharType="begin"/>
            </w:r>
            <w:r>
              <w:rPr>
                <w:noProof/>
                <w:webHidden/>
              </w:rPr>
              <w:instrText xml:space="preserve"> PAGEREF _Toc222315098 \h </w:instrText>
            </w:r>
            <w:r>
              <w:rPr>
                <w:noProof/>
                <w:webHidden/>
              </w:rPr>
            </w:r>
            <w:r>
              <w:rPr>
                <w:noProof/>
                <w:webHidden/>
              </w:rPr>
              <w:fldChar w:fldCharType="separate"/>
            </w:r>
            <w:r>
              <w:rPr>
                <w:noProof/>
                <w:webHidden/>
              </w:rPr>
              <w:t>16</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099" w:history="1">
            <w:r w:rsidRPr="003C2887">
              <w:rPr>
                <w:rStyle w:val="Hyperlink"/>
                <w:rFonts w:cs="Arial"/>
                <w:noProof/>
              </w:rPr>
              <w:t>Impact on shareholder value, debt structure, and operational flexibility</w:t>
            </w:r>
            <w:r>
              <w:rPr>
                <w:noProof/>
                <w:webHidden/>
              </w:rPr>
              <w:tab/>
            </w:r>
            <w:r>
              <w:rPr>
                <w:noProof/>
                <w:webHidden/>
              </w:rPr>
              <w:fldChar w:fldCharType="begin"/>
            </w:r>
            <w:r>
              <w:rPr>
                <w:noProof/>
                <w:webHidden/>
              </w:rPr>
              <w:instrText xml:space="preserve"> PAGEREF _Toc222315099 \h </w:instrText>
            </w:r>
            <w:r>
              <w:rPr>
                <w:noProof/>
                <w:webHidden/>
              </w:rPr>
            </w:r>
            <w:r>
              <w:rPr>
                <w:noProof/>
                <w:webHidden/>
              </w:rPr>
              <w:fldChar w:fldCharType="separate"/>
            </w:r>
            <w:r>
              <w:rPr>
                <w:noProof/>
                <w:webHidden/>
              </w:rPr>
              <w:t>17</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100" w:history="1">
            <w:r w:rsidRPr="003C2887">
              <w:rPr>
                <w:rStyle w:val="Hyperlink"/>
                <w:rFonts w:cs="Arial"/>
                <w:noProof/>
              </w:rPr>
              <w:t>International and ethical considerations</w:t>
            </w:r>
            <w:r>
              <w:rPr>
                <w:noProof/>
                <w:webHidden/>
              </w:rPr>
              <w:tab/>
            </w:r>
            <w:r>
              <w:rPr>
                <w:noProof/>
                <w:webHidden/>
              </w:rPr>
              <w:fldChar w:fldCharType="begin"/>
            </w:r>
            <w:r>
              <w:rPr>
                <w:noProof/>
                <w:webHidden/>
              </w:rPr>
              <w:instrText xml:space="preserve"> PAGEREF _Toc222315100 \h </w:instrText>
            </w:r>
            <w:r>
              <w:rPr>
                <w:noProof/>
                <w:webHidden/>
              </w:rPr>
            </w:r>
            <w:r>
              <w:rPr>
                <w:noProof/>
                <w:webHidden/>
              </w:rPr>
              <w:fldChar w:fldCharType="separate"/>
            </w:r>
            <w:r>
              <w:rPr>
                <w:noProof/>
                <w:webHidden/>
              </w:rPr>
              <w:t>18</w:t>
            </w:r>
            <w:r>
              <w:rPr>
                <w:noProof/>
                <w:webHidden/>
              </w:rPr>
              <w:fldChar w:fldCharType="end"/>
            </w:r>
          </w:hyperlink>
        </w:p>
        <w:p w:rsidR="005159D2" w:rsidRDefault="005159D2">
          <w:pPr>
            <w:pStyle w:val="TOC1"/>
            <w:tabs>
              <w:tab w:val="right" w:leader="dot" w:pos="8630"/>
            </w:tabs>
            <w:rPr>
              <w:rFonts w:asciiTheme="minorHAnsi" w:eastAsiaTheme="minorEastAsia" w:hAnsiTheme="minorHAnsi"/>
              <w:noProof/>
              <w:kern w:val="2"/>
              <w:szCs w:val="24"/>
              <w14:ligatures w14:val="standardContextual"/>
            </w:rPr>
          </w:pPr>
          <w:hyperlink w:anchor="_Toc222315101" w:history="1">
            <w:r w:rsidRPr="003C2887">
              <w:rPr>
                <w:rStyle w:val="Hyperlink"/>
                <w:rFonts w:cs="Arial"/>
                <w:noProof/>
              </w:rPr>
              <w:t>Investment Appraisal and Capital Budgeting</w:t>
            </w:r>
            <w:r>
              <w:rPr>
                <w:noProof/>
                <w:webHidden/>
              </w:rPr>
              <w:tab/>
            </w:r>
            <w:r>
              <w:rPr>
                <w:noProof/>
                <w:webHidden/>
              </w:rPr>
              <w:fldChar w:fldCharType="begin"/>
            </w:r>
            <w:r>
              <w:rPr>
                <w:noProof/>
                <w:webHidden/>
              </w:rPr>
              <w:instrText xml:space="preserve"> PAGEREF _Toc222315101 \h </w:instrText>
            </w:r>
            <w:r>
              <w:rPr>
                <w:noProof/>
                <w:webHidden/>
              </w:rPr>
            </w:r>
            <w:r>
              <w:rPr>
                <w:noProof/>
                <w:webHidden/>
              </w:rPr>
              <w:fldChar w:fldCharType="separate"/>
            </w:r>
            <w:r>
              <w:rPr>
                <w:noProof/>
                <w:webHidden/>
              </w:rPr>
              <w:t>19</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102" w:history="1">
            <w:r w:rsidRPr="003C2887">
              <w:rPr>
                <w:rStyle w:val="Hyperlink"/>
                <w:rFonts w:cs="Arial"/>
                <w:noProof/>
              </w:rPr>
              <w:t>Recommendation</w:t>
            </w:r>
            <w:r>
              <w:rPr>
                <w:noProof/>
                <w:webHidden/>
              </w:rPr>
              <w:tab/>
            </w:r>
            <w:r>
              <w:rPr>
                <w:noProof/>
                <w:webHidden/>
              </w:rPr>
              <w:fldChar w:fldCharType="begin"/>
            </w:r>
            <w:r>
              <w:rPr>
                <w:noProof/>
                <w:webHidden/>
              </w:rPr>
              <w:instrText xml:space="preserve"> PAGEREF _Toc222315102 \h </w:instrText>
            </w:r>
            <w:r>
              <w:rPr>
                <w:noProof/>
                <w:webHidden/>
              </w:rPr>
            </w:r>
            <w:r>
              <w:rPr>
                <w:noProof/>
                <w:webHidden/>
              </w:rPr>
              <w:fldChar w:fldCharType="separate"/>
            </w:r>
            <w:r>
              <w:rPr>
                <w:noProof/>
                <w:webHidden/>
              </w:rPr>
              <w:t>21</w:t>
            </w:r>
            <w:r>
              <w:rPr>
                <w:noProof/>
                <w:webHidden/>
              </w:rPr>
              <w:fldChar w:fldCharType="end"/>
            </w:r>
          </w:hyperlink>
        </w:p>
        <w:p w:rsidR="005159D2" w:rsidRDefault="005159D2">
          <w:pPr>
            <w:pStyle w:val="TOC2"/>
            <w:tabs>
              <w:tab w:val="right" w:leader="dot" w:pos="8630"/>
            </w:tabs>
            <w:rPr>
              <w:rFonts w:asciiTheme="minorHAnsi" w:eastAsiaTheme="minorEastAsia" w:hAnsiTheme="minorHAnsi"/>
              <w:noProof/>
              <w:kern w:val="2"/>
              <w:szCs w:val="24"/>
              <w14:ligatures w14:val="standardContextual"/>
            </w:rPr>
          </w:pPr>
          <w:hyperlink w:anchor="_Toc222315103" w:history="1">
            <w:r w:rsidRPr="003C2887">
              <w:rPr>
                <w:rStyle w:val="Hyperlink"/>
                <w:rFonts w:cs="Arial"/>
                <w:noProof/>
              </w:rPr>
              <w:t>Capital rationing and project selection</w:t>
            </w:r>
            <w:r>
              <w:rPr>
                <w:noProof/>
                <w:webHidden/>
              </w:rPr>
              <w:tab/>
            </w:r>
            <w:r>
              <w:rPr>
                <w:noProof/>
                <w:webHidden/>
              </w:rPr>
              <w:fldChar w:fldCharType="begin"/>
            </w:r>
            <w:r>
              <w:rPr>
                <w:noProof/>
                <w:webHidden/>
              </w:rPr>
              <w:instrText xml:space="preserve"> PAGEREF _Toc222315103 \h </w:instrText>
            </w:r>
            <w:r>
              <w:rPr>
                <w:noProof/>
                <w:webHidden/>
              </w:rPr>
            </w:r>
            <w:r>
              <w:rPr>
                <w:noProof/>
                <w:webHidden/>
              </w:rPr>
              <w:fldChar w:fldCharType="separate"/>
            </w:r>
            <w:r>
              <w:rPr>
                <w:noProof/>
                <w:webHidden/>
              </w:rPr>
              <w:t>23</w:t>
            </w:r>
            <w:r>
              <w:rPr>
                <w:noProof/>
                <w:webHidden/>
              </w:rPr>
              <w:fldChar w:fldCharType="end"/>
            </w:r>
          </w:hyperlink>
        </w:p>
        <w:p w:rsidR="005159D2" w:rsidRDefault="005159D2">
          <w:pPr>
            <w:pStyle w:val="TOC1"/>
            <w:tabs>
              <w:tab w:val="right" w:leader="dot" w:pos="8630"/>
            </w:tabs>
            <w:rPr>
              <w:rFonts w:asciiTheme="minorHAnsi" w:eastAsiaTheme="minorEastAsia" w:hAnsiTheme="minorHAnsi"/>
              <w:noProof/>
              <w:kern w:val="2"/>
              <w:szCs w:val="24"/>
              <w14:ligatures w14:val="standardContextual"/>
            </w:rPr>
          </w:pPr>
          <w:hyperlink w:anchor="_Toc222315104" w:history="1">
            <w:r w:rsidRPr="003C2887">
              <w:rPr>
                <w:rStyle w:val="Hyperlink"/>
                <w:noProof/>
              </w:rPr>
              <w:t>Conclusion</w:t>
            </w:r>
            <w:r>
              <w:rPr>
                <w:noProof/>
                <w:webHidden/>
              </w:rPr>
              <w:tab/>
            </w:r>
            <w:r>
              <w:rPr>
                <w:noProof/>
                <w:webHidden/>
              </w:rPr>
              <w:fldChar w:fldCharType="begin"/>
            </w:r>
            <w:r>
              <w:rPr>
                <w:noProof/>
                <w:webHidden/>
              </w:rPr>
              <w:instrText xml:space="preserve"> PAGEREF _Toc222315104 \h </w:instrText>
            </w:r>
            <w:r>
              <w:rPr>
                <w:noProof/>
                <w:webHidden/>
              </w:rPr>
            </w:r>
            <w:r>
              <w:rPr>
                <w:noProof/>
                <w:webHidden/>
              </w:rPr>
              <w:fldChar w:fldCharType="separate"/>
            </w:r>
            <w:r>
              <w:rPr>
                <w:noProof/>
                <w:webHidden/>
              </w:rPr>
              <w:t>24</w:t>
            </w:r>
            <w:r>
              <w:rPr>
                <w:noProof/>
                <w:webHidden/>
              </w:rPr>
              <w:fldChar w:fldCharType="end"/>
            </w:r>
          </w:hyperlink>
        </w:p>
        <w:p w:rsidR="005159D2" w:rsidRDefault="005159D2">
          <w:pPr>
            <w:pStyle w:val="TOC1"/>
            <w:tabs>
              <w:tab w:val="right" w:leader="dot" w:pos="8630"/>
            </w:tabs>
            <w:rPr>
              <w:rFonts w:asciiTheme="minorHAnsi" w:eastAsiaTheme="minorEastAsia" w:hAnsiTheme="minorHAnsi"/>
              <w:noProof/>
              <w:kern w:val="2"/>
              <w:szCs w:val="24"/>
              <w14:ligatures w14:val="standardContextual"/>
            </w:rPr>
          </w:pPr>
          <w:hyperlink w:anchor="_Toc222315105" w:history="1">
            <w:r w:rsidRPr="003C2887">
              <w:rPr>
                <w:rStyle w:val="Hyperlink"/>
                <w:rFonts w:cs="Arial"/>
                <w:noProof/>
              </w:rPr>
              <w:t>References</w:t>
            </w:r>
            <w:r>
              <w:rPr>
                <w:noProof/>
                <w:webHidden/>
              </w:rPr>
              <w:tab/>
            </w:r>
            <w:r>
              <w:rPr>
                <w:noProof/>
                <w:webHidden/>
              </w:rPr>
              <w:fldChar w:fldCharType="begin"/>
            </w:r>
            <w:r>
              <w:rPr>
                <w:noProof/>
                <w:webHidden/>
              </w:rPr>
              <w:instrText xml:space="preserve"> PAGEREF _Toc222315105 \h </w:instrText>
            </w:r>
            <w:r>
              <w:rPr>
                <w:noProof/>
                <w:webHidden/>
              </w:rPr>
            </w:r>
            <w:r>
              <w:rPr>
                <w:noProof/>
                <w:webHidden/>
              </w:rPr>
              <w:fldChar w:fldCharType="separate"/>
            </w:r>
            <w:r>
              <w:rPr>
                <w:noProof/>
                <w:webHidden/>
              </w:rPr>
              <w:t>25</w:t>
            </w:r>
            <w:r>
              <w:rPr>
                <w:noProof/>
                <w:webHidden/>
              </w:rPr>
              <w:fldChar w:fldCharType="end"/>
            </w:r>
          </w:hyperlink>
        </w:p>
        <w:p w:rsidR="005159D2" w:rsidRDefault="005159D2">
          <w:pPr>
            <w:pStyle w:val="TOC1"/>
            <w:tabs>
              <w:tab w:val="right" w:leader="dot" w:pos="8630"/>
            </w:tabs>
            <w:rPr>
              <w:rFonts w:asciiTheme="minorHAnsi" w:eastAsiaTheme="minorEastAsia" w:hAnsiTheme="minorHAnsi"/>
              <w:noProof/>
              <w:kern w:val="2"/>
              <w:szCs w:val="24"/>
              <w14:ligatures w14:val="standardContextual"/>
            </w:rPr>
          </w:pPr>
          <w:hyperlink w:anchor="_Toc222315106" w:history="1">
            <w:r w:rsidRPr="003C2887">
              <w:rPr>
                <w:rStyle w:val="Hyperlink"/>
                <w:rFonts w:cs="Arial"/>
                <w:noProof/>
              </w:rPr>
              <w:t>Appendix</w:t>
            </w:r>
            <w:r>
              <w:rPr>
                <w:noProof/>
                <w:webHidden/>
              </w:rPr>
              <w:tab/>
            </w:r>
            <w:r>
              <w:rPr>
                <w:noProof/>
                <w:webHidden/>
              </w:rPr>
              <w:fldChar w:fldCharType="begin"/>
            </w:r>
            <w:r>
              <w:rPr>
                <w:noProof/>
                <w:webHidden/>
              </w:rPr>
              <w:instrText xml:space="preserve"> PAGEREF _Toc222315106 \h </w:instrText>
            </w:r>
            <w:r>
              <w:rPr>
                <w:noProof/>
                <w:webHidden/>
              </w:rPr>
            </w:r>
            <w:r>
              <w:rPr>
                <w:noProof/>
                <w:webHidden/>
              </w:rPr>
              <w:fldChar w:fldCharType="separate"/>
            </w:r>
            <w:r>
              <w:rPr>
                <w:noProof/>
                <w:webHidden/>
              </w:rPr>
              <w:t>29</w:t>
            </w:r>
            <w:r>
              <w:rPr>
                <w:noProof/>
                <w:webHidden/>
              </w:rPr>
              <w:fldChar w:fldCharType="end"/>
            </w:r>
          </w:hyperlink>
        </w:p>
        <w:p w:rsidR="00B84F6A" w:rsidRDefault="00B84F6A">
          <w:pPr>
            <w:rPr>
              <w:b/>
              <w:bCs/>
              <w:noProof/>
            </w:rPr>
          </w:pPr>
          <w:r>
            <w:rPr>
              <w:b/>
              <w:bCs/>
              <w:noProof/>
            </w:rPr>
            <w:fldChar w:fldCharType="end"/>
          </w:r>
        </w:p>
      </w:sdtContent>
    </w:sdt>
    <w:p w:rsidR="005159D2" w:rsidRDefault="005159D2">
      <w:pPr>
        <w:spacing w:after="200" w:line="276" w:lineRule="auto"/>
        <w:rPr>
          <w:b/>
          <w:bCs/>
          <w:color w:val="000000" w:themeColor="text1"/>
          <w:sz w:val="32"/>
          <w:szCs w:val="28"/>
        </w:rPr>
      </w:pPr>
      <w:r>
        <w:rPr>
          <w:b/>
          <w:bCs/>
          <w:color w:val="000000" w:themeColor="text1"/>
          <w:sz w:val="32"/>
          <w:szCs w:val="28"/>
        </w:rPr>
        <w:br w:type="page"/>
      </w:r>
    </w:p>
    <w:p w:rsidR="00B84F6A" w:rsidRPr="00B84F6A" w:rsidRDefault="00B84F6A">
      <w:pPr>
        <w:rPr>
          <w:b/>
          <w:bCs/>
          <w:color w:val="000000" w:themeColor="text1"/>
          <w:sz w:val="32"/>
          <w:szCs w:val="28"/>
        </w:rPr>
      </w:pPr>
      <w:r w:rsidRPr="00B84F6A">
        <w:rPr>
          <w:b/>
          <w:bCs/>
          <w:color w:val="000000" w:themeColor="text1"/>
          <w:sz w:val="32"/>
          <w:szCs w:val="28"/>
        </w:rPr>
        <w:lastRenderedPageBreak/>
        <w:t>List of Tables</w:t>
      </w:r>
    </w:p>
    <w:p w:rsidR="00B84F6A" w:rsidRDefault="00B84F6A">
      <w:pPr>
        <w:pStyle w:val="TableofFigures"/>
        <w:tabs>
          <w:tab w:val="right" w:leader="dot" w:pos="8630"/>
        </w:tabs>
        <w:rPr>
          <w:rFonts w:asciiTheme="minorHAnsi" w:eastAsiaTheme="minorEastAsia" w:hAnsiTheme="minorHAnsi"/>
          <w:noProof/>
          <w:kern w:val="2"/>
          <w:szCs w:val="24"/>
          <w14:ligatures w14:val="standardContextual"/>
        </w:rPr>
      </w:pPr>
      <w:r>
        <w:fldChar w:fldCharType="begin"/>
      </w:r>
      <w:r>
        <w:instrText xml:space="preserve"> TOC \h \z \c "Table" </w:instrText>
      </w:r>
      <w:r>
        <w:fldChar w:fldCharType="separate"/>
      </w:r>
      <w:hyperlink w:anchor="_Toc222314499" w:history="1">
        <w:r w:rsidRPr="00CF48F5">
          <w:rPr>
            <w:rStyle w:val="Hyperlink"/>
            <w:noProof/>
          </w:rPr>
          <w:t>Table 1:Selected financial ratios for Tesla, 2021–2025</w:t>
        </w:r>
        <w:r>
          <w:rPr>
            <w:noProof/>
            <w:webHidden/>
          </w:rPr>
          <w:tab/>
        </w:r>
        <w:r>
          <w:rPr>
            <w:noProof/>
            <w:webHidden/>
          </w:rPr>
          <w:fldChar w:fldCharType="begin"/>
        </w:r>
        <w:r>
          <w:rPr>
            <w:noProof/>
            <w:webHidden/>
          </w:rPr>
          <w:instrText xml:space="preserve"> PAGEREF _Toc222314499 \h </w:instrText>
        </w:r>
        <w:r>
          <w:rPr>
            <w:noProof/>
            <w:webHidden/>
          </w:rPr>
        </w:r>
        <w:r>
          <w:rPr>
            <w:noProof/>
            <w:webHidden/>
          </w:rPr>
          <w:fldChar w:fldCharType="separate"/>
        </w:r>
        <w:r>
          <w:rPr>
            <w:noProof/>
            <w:webHidden/>
          </w:rPr>
          <w:t>9</w:t>
        </w:r>
        <w:r>
          <w:rPr>
            <w:noProof/>
            <w:webHidden/>
          </w:rPr>
          <w:fldChar w:fldCharType="end"/>
        </w:r>
      </w:hyperlink>
    </w:p>
    <w:p w:rsidR="00B84F6A" w:rsidRDefault="00B84F6A">
      <w:pPr>
        <w:pStyle w:val="TableofFigures"/>
        <w:tabs>
          <w:tab w:val="right" w:leader="dot" w:pos="8630"/>
        </w:tabs>
        <w:rPr>
          <w:rFonts w:asciiTheme="minorHAnsi" w:eastAsiaTheme="minorEastAsia" w:hAnsiTheme="minorHAnsi"/>
          <w:noProof/>
          <w:kern w:val="2"/>
          <w:szCs w:val="24"/>
          <w14:ligatures w14:val="standardContextual"/>
        </w:rPr>
      </w:pPr>
      <w:hyperlink w:anchor="_Toc222314500" w:history="1">
        <w:r w:rsidRPr="00CF48F5">
          <w:rPr>
            <w:rStyle w:val="Hyperlink"/>
            <w:noProof/>
          </w:rPr>
          <w:t>Table 2:Cash operating cycle and cash conversion cycle</w:t>
        </w:r>
        <w:r>
          <w:rPr>
            <w:noProof/>
            <w:webHidden/>
          </w:rPr>
          <w:tab/>
        </w:r>
        <w:r>
          <w:rPr>
            <w:noProof/>
            <w:webHidden/>
          </w:rPr>
          <w:fldChar w:fldCharType="begin"/>
        </w:r>
        <w:r>
          <w:rPr>
            <w:noProof/>
            <w:webHidden/>
          </w:rPr>
          <w:instrText xml:space="preserve"> PAGEREF _Toc222314500 \h </w:instrText>
        </w:r>
        <w:r>
          <w:rPr>
            <w:noProof/>
            <w:webHidden/>
          </w:rPr>
        </w:r>
        <w:r>
          <w:rPr>
            <w:noProof/>
            <w:webHidden/>
          </w:rPr>
          <w:fldChar w:fldCharType="separate"/>
        </w:r>
        <w:r>
          <w:rPr>
            <w:noProof/>
            <w:webHidden/>
          </w:rPr>
          <w:t>13</w:t>
        </w:r>
        <w:r>
          <w:rPr>
            <w:noProof/>
            <w:webHidden/>
          </w:rPr>
          <w:fldChar w:fldCharType="end"/>
        </w:r>
      </w:hyperlink>
    </w:p>
    <w:p w:rsidR="00B84F6A" w:rsidRDefault="00B84F6A">
      <w:pPr>
        <w:pStyle w:val="TableofFigures"/>
        <w:tabs>
          <w:tab w:val="right" w:leader="dot" w:pos="8630"/>
        </w:tabs>
        <w:rPr>
          <w:rFonts w:asciiTheme="minorHAnsi" w:eastAsiaTheme="minorEastAsia" w:hAnsiTheme="minorHAnsi"/>
          <w:noProof/>
          <w:kern w:val="2"/>
          <w:szCs w:val="24"/>
          <w14:ligatures w14:val="standardContextual"/>
        </w:rPr>
      </w:pPr>
      <w:hyperlink w:anchor="_Toc222314501" w:history="1">
        <w:r w:rsidRPr="00CF48F5">
          <w:rPr>
            <w:rStyle w:val="Hyperlink"/>
            <w:noProof/>
          </w:rPr>
          <w:t>Table 3:summarizes the results</w:t>
        </w:r>
        <w:r>
          <w:rPr>
            <w:noProof/>
            <w:webHidden/>
          </w:rPr>
          <w:tab/>
        </w:r>
        <w:r>
          <w:rPr>
            <w:noProof/>
            <w:webHidden/>
          </w:rPr>
          <w:fldChar w:fldCharType="begin"/>
        </w:r>
        <w:r>
          <w:rPr>
            <w:noProof/>
            <w:webHidden/>
          </w:rPr>
          <w:instrText xml:space="preserve"> PAGEREF _Toc222314501 \h </w:instrText>
        </w:r>
        <w:r>
          <w:rPr>
            <w:noProof/>
            <w:webHidden/>
          </w:rPr>
        </w:r>
        <w:r>
          <w:rPr>
            <w:noProof/>
            <w:webHidden/>
          </w:rPr>
          <w:fldChar w:fldCharType="separate"/>
        </w:r>
        <w:r>
          <w:rPr>
            <w:noProof/>
            <w:webHidden/>
          </w:rPr>
          <w:t>21</w:t>
        </w:r>
        <w:r>
          <w:rPr>
            <w:noProof/>
            <w:webHidden/>
          </w:rPr>
          <w:fldChar w:fldCharType="end"/>
        </w:r>
      </w:hyperlink>
    </w:p>
    <w:p w:rsidR="00AB3C74" w:rsidRDefault="00B84F6A">
      <w:r>
        <w:fldChar w:fldCharType="end"/>
      </w:r>
      <w:r>
        <w:br w:type="page"/>
      </w:r>
    </w:p>
    <w:p w:rsidR="00AB3C74" w:rsidRPr="00B84F6A" w:rsidRDefault="00B84F6A">
      <w:pPr>
        <w:rPr>
          <w:b/>
          <w:bCs/>
          <w:color w:val="000000" w:themeColor="text1"/>
          <w:sz w:val="32"/>
          <w:szCs w:val="28"/>
        </w:rPr>
      </w:pPr>
      <w:r w:rsidRPr="00B84F6A">
        <w:rPr>
          <w:b/>
          <w:bCs/>
          <w:color w:val="000000" w:themeColor="text1"/>
          <w:sz w:val="32"/>
          <w:szCs w:val="28"/>
        </w:rPr>
        <w:lastRenderedPageBreak/>
        <w:t>List of Figures</w:t>
      </w:r>
    </w:p>
    <w:p w:rsidR="00B84F6A" w:rsidRDefault="00B84F6A">
      <w:pPr>
        <w:pStyle w:val="TableofFigures"/>
        <w:tabs>
          <w:tab w:val="right" w:leader="dot" w:pos="8630"/>
        </w:tabs>
        <w:rPr>
          <w:rFonts w:asciiTheme="minorHAnsi" w:eastAsiaTheme="minorEastAsia" w:hAnsiTheme="minorHAnsi"/>
          <w:noProof/>
          <w:kern w:val="2"/>
          <w:szCs w:val="24"/>
          <w14:ligatures w14:val="standardContextual"/>
        </w:rPr>
      </w:pPr>
      <w:r>
        <w:fldChar w:fldCharType="begin"/>
      </w:r>
      <w:r>
        <w:instrText xml:space="preserve"> TOC \h \z \c "Figure" </w:instrText>
      </w:r>
      <w:r>
        <w:fldChar w:fldCharType="separate"/>
      </w:r>
      <w:hyperlink w:anchor="_Toc222314552" w:history="1">
        <w:r w:rsidRPr="00B523D2">
          <w:rPr>
            <w:rStyle w:val="Hyperlink"/>
            <w:i/>
            <w:iCs/>
            <w:noProof/>
          </w:rPr>
          <w:t>Figure 1:Key consolidated financial statement items for Tesla, 2021–2025</w:t>
        </w:r>
        <w:r>
          <w:rPr>
            <w:noProof/>
            <w:webHidden/>
          </w:rPr>
          <w:tab/>
        </w:r>
        <w:r>
          <w:rPr>
            <w:noProof/>
            <w:webHidden/>
          </w:rPr>
          <w:fldChar w:fldCharType="begin"/>
        </w:r>
        <w:r>
          <w:rPr>
            <w:noProof/>
            <w:webHidden/>
          </w:rPr>
          <w:instrText xml:space="preserve"> PAGEREF _Toc222314552 \h </w:instrText>
        </w:r>
        <w:r>
          <w:rPr>
            <w:noProof/>
            <w:webHidden/>
          </w:rPr>
        </w:r>
        <w:r>
          <w:rPr>
            <w:noProof/>
            <w:webHidden/>
          </w:rPr>
          <w:fldChar w:fldCharType="separate"/>
        </w:r>
        <w:r>
          <w:rPr>
            <w:noProof/>
            <w:webHidden/>
          </w:rPr>
          <w:t>6</w:t>
        </w:r>
        <w:r>
          <w:rPr>
            <w:noProof/>
            <w:webHidden/>
          </w:rPr>
          <w:fldChar w:fldCharType="end"/>
        </w:r>
      </w:hyperlink>
    </w:p>
    <w:p w:rsidR="00B84F6A" w:rsidRPr="00B84F6A" w:rsidRDefault="00B84F6A">
      <w:pPr>
        <w:pStyle w:val="TableofFigures"/>
        <w:tabs>
          <w:tab w:val="right" w:leader="dot" w:pos="8630"/>
        </w:tabs>
        <w:rPr>
          <w:rFonts w:asciiTheme="minorHAnsi" w:eastAsiaTheme="minorEastAsia" w:hAnsiTheme="minorHAnsi"/>
          <w:i/>
          <w:iCs/>
          <w:noProof/>
          <w:kern w:val="2"/>
          <w:szCs w:val="24"/>
          <w14:ligatures w14:val="standardContextual"/>
        </w:rPr>
      </w:pPr>
      <w:hyperlink w:anchor="_Toc222314553" w:history="1">
        <w:r w:rsidRPr="00B84F6A">
          <w:rPr>
            <w:rStyle w:val="Hyperlink"/>
            <w:i/>
            <w:iCs/>
            <w:noProof/>
          </w:rPr>
          <w:t>Figure 2:Tesla sales, net income and operating cash flow (2021–2025)</w:t>
        </w:r>
        <w:r w:rsidRPr="00B84F6A">
          <w:rPr>
            <w:i/>
            <w:iCs/>
            <w:noProof/>
            <w:webHidden/>
          </w:rPr>
          <w:tab/>
        </w:r>
        <w:r w:rsidRPr="00B84F6A">
          <w:rPr>
            <w:i/>
            <w:iCs/>
            <w:noProof/>
            <w:webHidden/>
          </w:rPr>
          <w:fldChar w:fldCharType="begin"/>
        </w:r>
        <w:r w:rsidRPr="00B84F6A">
          <w:rPr>
            <w:i/>
            <w:iCs/>
            <w:noProof/>
            <w:webHidden/>
          </w:rPr>
          <w:instrText xml:space="preserve"> PAGEREF _Toc222314553 \h </w:instrText>
        </w:r>
        <w:r w:rsidRPr="00B84F6A">
          <w:rPr>
            <w:i/>
            <w:iCs/>
            <w:noProof/>
            <w:webHidden/>
          </w:rPr>
        </w:r>
        <w:r w:rsidRPr="00B84F6A">
          <w:rPr>
            <w:i/>
            <w:iCs/>
            <w:noProof/>
            <w:webHidden/>
          </w:rPr>
          <w:fldChar w:fldCharType="separate"/>
        </w:r>
        <w:r w:rsidRPr="00B84F6A">
          <w:rPr>
            <w:i/>
            <w:iCs/>
            <w:noProof/>
            <w:webHidden/>
          </w:rPr>
          <w:t>7</w:t>
        </w:r>
        <w:r w:rsidRPr="00B84F6A">
          <w:rPr>
            <w:i/>
            <w:iCs/>
            <w:noProof/>
            <w:webHidden/>
          </w:rPr>
          <w:fldChar w:fldCharType="end"/>
        </w:r>
      </w:hyperlink>
    </w:p>
    <w:p w:rsidR="00B84F6A" w:rsidRPr="00B84F6A" w:rsidRDefault="00B84F6A">
      <w:pPr>
        <w:pStyle w:val="TableofFigures"/>
        <w:tabs>
          <w:tab w:val="right" w:leader="dot" w:pos="8630"/>
        </w:tabs>
        <w:rPr>
          <w:rFonts w:asciiTheme="minorHAnsi" w:eastAsiaTheme="minorEastAsia" w:hAnsiTheme="minorHAnsi"/>
          <w:i/>
          <w:iCs/>
          <w:noProof/>
          <w:kern w:val="2"/>
          <w:szCs w:val="24"/>
          <w14:ligatures w14:val="standardContextual"/>
        </w:rPr>
      </w:pPr>
      <w:hyperlink w:anchor="_Toc222314554" w:history="1">
        <w:r w:rsidRPr="00B84F6A">
          <w:rPr>
            <w:rStyle w:val="Hyperlink"/>
            <w:i/>
            <w:iCs/>
            <w:noProof/>
          </w:rPr>
          <w:t>Figure 3:Selected financial ratios for Tesla, 2021–2025</w:t>
        </w:r>
        <w:r w:rsidRPr="00B84F6A">
          <w:rPr>
            <w:i/>
            <w:iCs/>
            <w:noProof/>
            <w:webHidden/>
          </w:rPr>
          <w:tab/>
        </w:r>
        <w:r w:rsidRPr="00B84F6A">
          <w:rPr>
            <w:i/>
            <w:iCs/>
            <w:noProof/>
            <w:webHidden/>
          </w:rPr>
          <w:fldChar w:fldCharType="begin"/>
        </w:r>
        <w:r w:rsidRPr="00B84F6A">
          <w:rPr>
            <w:i/>
            <w:iCs/>
            <w:noProof/>
            <w:webHidden/>
          </w:rPr>
          <w:instrText xml:space="preserve"> PAGEREF _Toc222314554 \h </w:instrText>
        </w:r>
        <w:r w:rsidRPr="00B84F6A">
          <w:rPr>
            <w:i/>
            <w:iCs/>
            <w:noProof/>
            <w:webHidden/>
          </w:rPr>
        </w:r>
        <w:r w:rsidRPr="00B84F6A">
          <w:rPr>
            <w:i/>
            <w:iCs/>
            <w:noProof/>
            <w:webHidden/>
          </w:rPr>
          <w:fldChar w:fldCharType="separate"/>
        </w:r>
        <w:r w:rsidRPr="00B84F6A">
          <w:rPr>
            <w:i/>
            <w:iCs/>
            <w:noProof/>
            <w:webHidden/>
          </w:rPr>
          <w:t>11</w:t>
        </w:r>
        <w:r w:rsidRPr="00B84F6A">
          <w:rPr>
            <w:i/>
            <w:iCs/>
            <w:noProof/>
            <w:webHidden/>
          </w:rPr>
          <w:fldChar w:fldCharType="end"/>
        </w:r>
      </w:hyperlink>
    </w:p>
    <w:p w:rsidR="00B84F6A" w:rsidRPr="00B84F6A" w:rsidRDefault="00B84F6A">
      <w:pPr>
        <w:pStyle w:val="TableofFigures"/>
        <w:tabs>
          <w:tab w:val="right" w:leader="dot" w:pos="8630"/>
        </w:tabs>
        <w:rPr>
          <w:rFonts w:asciiTheme="minorHAnsi" w:eastAsiaTheme="minorEastAsia" w:hAnsiTheme="minorHAnsi"/>
          <w:i/>
          <w:iCs/>
          <w:noProof/>
          <w:kern w:val="2"/>
          <w:szCs w:val="24"/>
          <w14:ligatures w14:val="standardContextual"/>
        </w:rPr>
      </w:pPr>
      <w:hyperlink w:anchor="_Toc222314555" w:history="1">
        <w:r w:rsidRPr="00B84F6A">
          <w:rPr>
            <w:rStyle w:val="Hyperlink"/>
            <w:i/>
            <w:iCs/>
            <w:noProof/>
          </w:rPr>
          <w:t>Figure 4:Working capital days</w:t>
        </w:r>
        <w:r w:rsidRPr="00B84F6A">
          <w:rPr>
            <w:i/>
            <w:iCs/>
            <w:noProof/>
            <w:webHidden/>
          </w:rPr>
          <w:tab/>
        </w:r>
        <w:r w:rsidRPr="00B84F6A">
          <w:rPr>
            <w:i/>
            <w:iCs/>
            <w:noProof/>
            <w:webHidden/>
          </w:rPr>
          <w:fldChar w:fldCharType="begin"/>
        </w:r>
        <w:r w:rsidRPr="00B84F6A">
          <w:rPr>
            <w:i/>
            <w:iCs/>
            <w:noProof/>
            <w:webHidden/>
          </w:rPr>
          <w:instrText xml:space="preserve"> PAGEREF _Toc222314555 \h </w:instrText>
        </w:r>
        <w:r w:rsidRPr="00B84F6A">
          <w:rPr>
            <w:i/>
            <w:iCs/>
            <w:noProof/>
            <w:webHidden/>
          </w:rPr>
        </w:r>
        <w:r w:rsidRPr="00B84F6A">
          <w:rPr>
            <w:i/>
            <w:iCs/>
            <w:noProof/>
            <w:webHidden/>
          </w:rPr>
          <w:fldChar w:fldCharType="separate"/>
        </w:r>
        <w:r w:rsidRPr="00B84F6A">
          <w:rPr>
            <w:i/>
            <w:iCs/>
            <w:noProof/>
            <w:webHidden/>
          </w:rPr>
          <w:t>14</w:t>
        </w:r>
        <w:r w:rsidRPr="00B84F6A">
          <w:rPr>
            <w:i/>
            <w:iCs/>
            <w:noProof/>
            <w:webHidden/>
          </w:rPr>
          <w:fldChar w:fldCharType="end"/>
        </w:r>
      </w:hyperlink>
    </w:p>
    <w:p w:rsidR="00B84F6A" w:rsidRDefault="00B84F6A">
      <w:r>
        <w:fldChar w:fldCharType="end"/>
      </w:r>
    </w:p>
    <w:p w:rsidR="00AB3C74" w:rsidRDefault="00000000">
      <w:r>
        <w:br w:type="page"/>
      </w:r>
    </w:p>
    <w:p w:rsidR="00111894" w:rsidRPr="00111894" w:rsidRDefault="00111894" w:rsidP="00111894">
      <w:pPr>
        <w:jc w:val="center"/>
        <w:rPr>
          <w:color w:val="000000" w:themeColor="text1"/>
          <w:sz w:val="36"/>
          <w:szCs w:val="36"/>
        </w:rPr>
      </w:pPr>
      <w:r w:rsidRPr="00111894">
        <w:rPr>
          <w:rFonts w:cs="Arial"/>
          <w:b/>
          <w:bCs/>
          <w:color w:val="000000" w:themeColor="text1"/>
          <w:sz w:val="36"/>
          <w:szCs w:val="36"/>
        </w:rPr>
        <w:lastRenderedPageBreak/>
        <w:t>“Strategic CFO Challenge</w:t>
      </w:r>
      <w:r w:rsidRPr="00111894">
        <w:rPr>
          <w:color w:val="000000" w:themeColor="text1"/>
          <w:sz w:val="36"/>
          <w:szCs w:val="36"/>
        </w:rPr>
        <w:t>”</w:t>
      </w:r>
    </w:p>
    <w:p w:rsidR="00AB3C74" w:rsidRPr="00111894" w:rsidRDefault="00000000" w:rsidP="00111894">
      <w:pPr>
        <w:pStyle w:val="Heading1"/>
        <w:rPr>
          <w:rFonts w:ascii="Arial" w:hAnsi="Arial" w:cs="Arial"/>
          <w:color w:val="000000" w:themeColor="text1"/>
          <w:sz w:val="32"/>
          <w:szCs w:val="32"/>
        </w:rPr>
      </w:pPr>
      <w:bookmarkStart w:id="0" w:name="_Toc222315086"/>
      <w:r w:rsidRPr="00111894">
        <w:rPr>
          <w:rFonts w:ascii="Arial" w:hAnsi="Arial" w:cs="Arial"/>
          <w:color w:val="000000" w:themeColor="text1"/>
          <w:sz w:val="32"/>
          <w:szCs w:val="32"/>
        </w:rPr>
        <w:t>Introduction</w:t>
      </w:r>
      <w:bookmarkEnd w:id="0"/>
    </w:p>
    <w:p w:rsidR="00111894" w:rsidRDefault="00111894" w:rsidP="00111894">
      <w:pPr>
        <w:jc w:val="both"/>
      </w:pPr>
      <w:r w:rsidRPr="00111894">
        <w:t>This report analyses the financial performance and management of Tesla, Inc. in the last five years (2021-2025) based on consolidated financial reports and systematic ratio analysis. These are aimed at evaluating financial health in general, reviewing working capital effectiveness, exploring strategic financial restructuring choices, and utilizing capital budgeting to suggested investments.</w:t>
      </w:r>
    </w:p>
    <w:p w:rsidR="00111894" w:rsidRDefault="00111894" w:rsidP="00111894">
      <w:pPr>
        <w:jc w:val="both"/>
      </w:pPr>
      <w:r w:rsidRPr="00111894">
        <w:t>The analysis is based on audited consolidated statements that are reported by Tesla in annual reports on Form 10-K of the years ended 31 December 2021-2025 (Tesla, Inc., 2022; Tesla, Inc., 2023; Tesla, Inc., 2024; Tesla, Inc., 2025; Tesla, Inc., 2026). The ratios are calculated on a period basis and are understood relative to the operating environment of the firm</w:t>
      </w:r>
      <w:r w:rsidR="00DC680A">
        <w:t>.</w:t>
      </w:r>
    </w:p>
    <w:p w:rsidR="00AB3C74" w:rsidRPr="00111894" w:rsidRDefault="00000000">
      <w:pPr>
        <w:pStyle w:val="Heading1"/>
        <w:rPr>
          <w:rFonts w:ascii="Arial" w:hAnsi="Arial" w:cs="Arial"/>
          <w:color w:val="000000" w:themeColor="text1"/>
          <w:sz w:val="32"/>
          <w:szCs w:val="32"/>
        </w:rPr>
      </w:pPr>
      <w:r w:rsidRPr="00111894">
        <w:rPr>
          <w:rFonts w:ascii="Arial" w:hAnsi="Arial" w:cs="Arial"/>
          <w:color w:val="000000" w:themeColor="text1"/>
          <w:sz w:val="32"/>
          <w:szCs w:val="32"/>
        </w:rPr>
        <w:t xml:space="preserve"> </w:t>
      </w:r>
      <w:bookmarkStart w:id="1" w:name="_Toc222315087"/>
      <w:r w:rsidRPr="00111894">
        <w:rPr>
          <w:rFonts w:ascii="Arial" w:hAnsi="Arial" w:cs="Arial"/>
          <w:color w:val="000000" w:themeColor="text1"/>
          <w:sz w:val="32"/>
          <w:szCs w:val="32"/>
        </w:rPr>
        <w:t>Financial Health Check</w:t>
      </w:r>
      <w:bookmarkEnd w:id="1"/>
    </w:p>
    <w:p w:rsidR="00AB3C74" w:rsidRPr="00111894" w:rsidRDefault="00000000">
      <w:pPr>
        <w:pStyle w:val="Heading2"/>
        <w:rPr>
          <w:rFonts w:ascii="Arial" w:hAnsi="Arial" w:cs="Arial"/>
          <w:color w:val="000000" w:themeColor="text1"/>
          <w:sz w:val="28"/>
          <w:szCs w:val="28"/>
        </w:rPr>
      </w:pPr>
      <w:bookmarkStart w:id="2" w:name="_Toc222315088"/>
      <w:r w:rsidRPr="00111894">
        <w:rPr>
          <w:rFonts w:ascii="Arial" w:hAnsi="Arial" w:cs="Arial"/>
          <w:color w:val="000000" w:themeColor="text1"/>
          <w:sz w:val="28"/>
          <w:szCs w:val="28"/>
        </w:rPr>
        <w:t>Overview of performance, cash generation and financial position</w:t>
      </w:r>
      <w:bookmarkEnd w:id="2"/>
    </w:p>
    <w:p w:rsidR="00111894" w:rsidRDefault="00111894" w:rsidP="00111894">
      <w:pPr>
        <w:jc w:val="both"/>
      </w:pPr>
      <w:r w:rsidRPr="00111894">
        <w:t xml:space="preserve">The summary of the major line items in the consolidated income statement, balance sheet and cash flow statement of Tesla is provided in </w:t>
      </w:r>
      <w:r>
        <w:t>figure 1</w:t>
      </w:r>
      <w:r w:rsidRPr="00111894">
        <w:t xml:space="preserve">. The net sales increased to 97.7bn in 2024 and then relaxed to 94.8bn in 2025 even though it was 53.8bn in 2021. This is an indication of good scale effects up to 2022-2024 and then slower growth was experienced as the industry competition grew and vehicle pricing became an increasingly important strategic point. </w:t>
      </w:r>
    </w:p>
    <w:p w:rsidR="00111894" w:rsidRDefault="00111894" w:rsidP="00111894">
      <w:pPr>
        <w:jc w:val="both"/>
      </w:pPr>
      <w:r w:rsidRPr="00111894">
        <w:t xml:space="preserve">The peak of the profitability came in 2022 when the operating income was 13.7bn and net income was 12.6bn, and then declined significantly in 2024-2025. The operating income dropped to $7.1bn and 4.4bn in 2024 and 2025 and net income dropped to $7.2bn and 3.9bn. The trend shows that volume expansion was insufficient to cushion margins after average selling prices, incentives and product mix had changed. </w:t>
      </w:r>
    </w:p>
    <w:p w:rsidR="00111894" w:rsidRDefault="00111894" w:rsidP="00111894">
      <w:pPr>
        <w:jc w:val="both"/>
      </w:pPr>
      <w:r w:rsidRPr="00111894">
        <w:lastRenderedPageBreak/>
        <w:t>Although the accounting profits were weak in the last two years, the operating cash flow is strong at 14.9bn and 14.7bn in 2024 and 2025 respectively. This deviation demonstrates the significance of cash conversion, non-cash items (especially depreciation and stock-based compensation) and working capitals in the development of liquidity, particularly in capital-intensive manufacturing (</w:t>
      </w:r>
      <w:proofErr w:type="spellStart"/>
      <w:r w:rsidRPr="00111894">
        <w:t>Atrill</w:t>
      </w:r>
      <w:proofErr w:type="spellEnd"/>
      <w:r w:rsidRPr="00111894">
        <w:t xml:space="preserve"> and McLaney, 2022).</w:t>
      </w:r>
    </w:p>
    <w:p w:rsidR="00111894" w:rsidRDefault="00111894" w:rsidP="00111894">
      <w:pPr>
        <w:jc w:val="both"/>
      </w:pPr>
      <w:r w:rsidRPr="00111894">
        <w:t xml:space="preserve"> There was an improvement in the strength of balance sheet over the period. The total assets increased to 137.8bn in 2025 compared to 62.1bn in 2021, and the shareholders equity increased to 82.1bn compared to 30.2bn. Whereas there was an increase in liabilities (of 30.5bn to 54.9bn), the increased equity base suggests better solvency levels and increased financial flexibility to deal with volatility and investment.</w:t>
      </w:r>
    </w:p>
    <w:p w:rsidR="00B84F6A" w:rsidRDefault="00111894" w:rsidP="00B84F6A">
      <w:pPr>
        <w:keepNext/>
      </w:pPr>
      <w:r w:rsidRPr="00111894">
        <w:rPr>
          <w:noProof/>
        </w:rPr>
        <w:drawing>
          <wp:inline distT="0" distB="0" distL="0" distR="0">
            <wp:extent cx="5484674" cy="2115128"/>
            <wp:effectExtent l="0" t="0" r="1905" b="0"/>
            <wp:docPr id="7775724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08148" cy="2124180"/>
                    </a:xfrm>
                    <a:prstGeom prst="rect">
                      <a:avLst/>
                    </a:prstGeom>
                    <a:noFill/>
                    <a:ln>
                      <a:noFill/>
                    </a:ln>
                  </pic:spPr>
                </pic:pic>
              </a:graphicData>
            </a:graphic>
          </wp:inline>
        </w:drawing>
      </w:r>
    </w:p>
    <w:p w:rsidR="00111894" w:rsidRPr="00B84F6A" w:rsidRDefault="00B84F6A" w:rsidP="00B84F6A">
      <w:pPr>
        <w:pStyle w:val="Caption"/>
        <w:jc w:val="center"/>
        <w:rPr>
          <w:b w:val="0"/>
          <w:bCs w:val="0"/>
          <w:i/>
          <w:iCs/>
          <w:color w:val="000000" w:themeColor="text1"/>
          <w:sz w:val="24"/>
          <w:szCs w:val="24"/>
        </w:rPr>
      </w:pPr>
      <w:bookmarkStart w:id="3" w:name="_Toc222314552"/>
      <w:r w:rsidRPr="00B84F6A">
        <w:rPr>
          <w:b w:val="0"/>
          <w:bCs w:val="0"/>
          <w:i/>
          <w:iCs/>
          <w:color w:val="000000" w:themeColor="text1"/>
          <w:sz w:val="24"/>
          <w:szCs w:val="24"/>
        </w:rPr>
        <w:t xml:space="preserve">Figure </w:t>
      </w:r>
      <w:r w:rsidRPr="00B84F6A">
        <w:rPr>
          <w:b w:val="0"/>
          <w:bCs w:val="0"/>
          <w:i/>
          <w:iCs/>
          <w:color w:val="000000" w:themeColor="text1"/>
          <w:sz w:val="24"/>
          <w:szCs w:val="24"/>
        </w:rPr>
        <w:fldChar w:fldCharType="begin"/>
      </w:r>
      <w:r w:rsidRPr="00B84F6A">
        <w:rPr>
          <w:b w:val="0"/>
          <w:bCs w:val="0"/>
          <w:i/>
          <w:iCs/>
          <w:color w:val="000000" w:themeColor="text1"/>
          <w:sz w:val="24"/>
          <w:szCs w:val="24"/>
        </w:rPr>
        <w:instrText xml:space="preserve"> SEQ Figure \* ARABIC </w:instrText>
      </w:r>
      <w:r w:rsidRPr="00B84F6A">
        <w:rPr>
          <w:b w:val="0"/>
          <w:bCs w:val="0"/>
          <w:i/>
          <w:iCs/>
          <w:color w:val="000000" w:themeColor="text1"/>
          <w:sz w:val="24"/>
          <w:szCs w:val="24"/>
        </w:rPr>
        <w:fldChar w:fldCharType="separate"/>
      </w:r>
      <w:r>
        <w:rPr>
          <w:b w:val="0"/>
          <w:bCs w:val="0"/>
          <w:i/>
          <w:iCs/>
          <w:noProof/>
          <w:color w:val="000000" w:themeColor="text1"/>
          <w:sz w:val="24"/>
          <w:szCs w:val="24"/>
        </w:rPr>
        <w:t>1</w:t>
      </w:r>
      <w:r w:rsidRPr="00B84F6A">
        <w:rPr>
          <w:b w:val="0"/>
          <w:bCs w:val="0"/>
          <w:i/>
          <w:iCs/>
          <w:color w:val="000000" w:themeColor="text1"/>
          <w:sz w:val="24"/>
          <w:szCs w:val="24"/>
        </w:rPr>
        <w:fldChar w:fldCharType="end"/>
      </w:r>
      <w:r w:rsidRPr="00B84F6A">
        <w:rPr>
          <w:b w:val="0"/>
          <w:bCs w:val="0"/>
          <w:i/>
          <w:iCs/>
          <w:color w:val="000000" w:themeColor="text1"/>
          <w:sz w:val="24"/>
          <w:szCs w:val="24"/>
        </w:rPr>
        <w:t>:Key consolidated financial statement items for Tesla, 2021–2025</w:t>
      </w:r>
      <w:bookmarkEnd w:id="3"/>
    </w:p>
    <w:p w:rsidR="00B84F6A" w:rsidRDefault="00000000" w:rsidP="00B84F6A">
      <w:pPr>
        <w:keepNext/>
      </w:pPr>
      <w:r>
        <w:rPr>
          <w:noProof/>
        </w:rPr>
        <w:lastRenderedPageBreak/>
        <w:drawing>
          <wp:inline distT="0" distB="0" distL="0" distR="0">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ynopsis.png"/>
                    <pic:cNvPicPr/>
                  </pic:nvPicPr>
                  <pic:blipFill>
                    <a:blip r:embed="rId9"/>
                    <a:stretch>
                      <a:fillRect/>
                    </a:stretch>
                  </pic:blipFill>
                  <pic:spPr>
                    <a:xfrm>
                      <a:off x="0" y="0"/>
                      <a:ext cx="5943600" cy="4457700"/>
                    </a:xfrm>
                    <a:prstGeom prst="rect">
                      <a:avLst/>
                    </a:prstGeom>
                  </pic:spPr>
                </pic:pic>
              </a:graphicData>
            </a:graphic>
          </wp:inline>
        </w:drawing>
      </w:r>
    </w:p>
    <w:p w:rsidR="00AB3C74" w:rsidRPr="00B84F6A" w:rsidRDefault="00B84F6A" w:rsidP="00B84F6A">
      <w:pPr>
        <w:pStyle w:val="Caption"/>
        <w:jc w:val="center"/>
        <w:rPr>
          <w:b w:val="0"/>
          <w:bCs w:val="0"/>
          <w:i/>
          <w:iCs/>
          <w:color w:val="000000" w:themeColor="text1"/>
          <w:sz w:val="22"/>
          <w:szCs w:val="22"/>
        </w:rPr>
      </w:pPr>
      <w:bookmarkStart w:id="4" w:name="_Toc222314553"/>
      <w:r w:rsidRPr="00B84F6A">
        <w:rPr>
          <w:b w:val="0"/>
          <w:bCs w:val="0"/>
          <w:i/>
          <w:iCs/>
          <w:color w:val="000000" w:themeColor="text1"/>
          <w:sz w:val="24"/>
          <w:szCs w:val="24"/>
        </w:rPr>
        <w:t>Figure</w:t>
      </w:r>
      <w:r w:rsidRPr="00B84F6A">
        <w:rPr>
          <w:b w:val="0"/>
          <w:bCs w:val="0"/>
          <w:i/>
          <w:iCs/>
          <w:color w:val="000000" w:themeColor="text1"/>
          <w:sz w:val="22"/>
          <w:szCs w:val="22"/>
        </w:rPr>
        <w:t xml:space="preserve"> </w:t>
      </w:r>
      <w:r w:rsidRPr="00B84F6A">
        <w:rPr>
          <w:b w:val="0"/>
          <w:bCs w:val="0"/>
          <w:i/>
          <w:iCs/>
          <w:color w:val="000000" w:themeColor="text1"/>
          <w:sz w:val="22"/>
          <w:szCs w:val="22"/>
        </w:rPr>
        <w:fldChar w:fldCharType="begin"/>
      </w:r>
      <w:r w:rsidRPr="00B84F6A">
        <w:rPr>
          <w:b w:val="0"/>
          <w:bCs w:val="0"/>
          <w:i/>
          <w:iCs/>
          <w:color w:val="000000" w:themeColor="text1"/>
          <w:sz w:val="22"/>
          <w:szCs w:val="22"/>
        </w:rPr>
        <w:instrText xml:space="preserve"> SEQ Figure \* ARABIC </w:instrText>
      </w:r>
      <w:r w:rsidRPr="00B84F6A">
        <w:rPr>
          <w:b w:val="0"/>
          <w:bCs w:val="0"/>
          <w:i/>
          <w:iCs/>
          <w:color w:val="000000" w:themeColor="text1"/>
          <w:sz w:val="22"/>
          <w:szCs w:val="22"/>
        </w:rPr>
        <w:fldChar w:fldCharType="separate"/>
      </w:r>
      <w:r>
        <w:rPr>
          <w:b w:val="0"/>
          <w:bCs w:val="0"/>
          <w:i/>
          <w:iCs/>
          <w:noProof/>
          <w:color w:val="000000" w:themeColor="text1"/>
          <w:sz w:val="22"/>
          <w:szCs w:val="22"/>
        </w:rPr>
        <w:t>2</w:t>
      </w:r>
      <w:r w:rsidRPr="00B84F6A">
        <w:rPr>
          <w:b w:val="0"/>
          <w:bCs w:val="0"/>
          <w:i/>
          <w:iCs/>
          <w:color w:val="000000" w:themeColor="text1"/>
          <w:sz w:val="22"/>
          <w:szCs w:val="22"/>
        </w:rPr>
        <w:fldChar w:fldCharType="end"/>
      </w:r>
      <w:r w:rsidRPr="00B84F6A">
        <w:rPr>
          <w:b w:val="0"/>
          <w:bCs w:val="0"/>
          <w:i/>
          <w:iCs/>
          <w:color w:val="000000" w:themeColor="text1"/>
          <w:sz w:val="22"/>
          <w:szCs w:val="22"/>
        </w:rPr>
        <w:t>:Tesla sales, net income and operating cash flow (2021–2025)</w:t>
      </w:r>
      <w:bookmarkEnd w:id="4"/>
    </w:p>
    <w:p w:rsidR="00AB3C74" w:rsidRPr="00B84F6A" w:rsidRDefault="00000000" w:rsidP="00B84F6A">
      <w:pPr>
        <w:jc w:val="center"/>
        <w:rPr>
          <w:i/>
          <w:iCs/>
          <w:sz w:val="20"/>
          <w:szCs w:val="18"/>
        </w:rPr>
      </w:pPr>
      <w:r w:rsidRPr="00B84F6A">
        <w:rPr>
          <w:i/>
          <w:iCs/>
          <w:sz w:val="20"/>
          <w:szCs w:val="18"/>
        </w:rPr>
        <w:t>Source: Author calculations using Tesla consolidated financial statements (Tesla, Inc., 2022; Tesla, Inc., 2023; Tesla, Inc., 2024; Tesla, Inc., 2025; Tesla, Inc., 2026).</w:t>
      </w:r>
    </w:p>
    <w:p w:rsidR="00AB3C74" w:rsidRPr="00111894" w:rsidRDefault="00000000">
      <w:pPr>
        <w:pStyle w:val="Heading2"/>
        <w:rPr>
          <w:rFonts w:ascii="Arial" w:hAnsi="Arial" w:cs="Arial"/>
          <w:color w:val="000000" w:themeColor="text1"/>
          <w:sz w:val="28"/>
          <w:szCs w:val="28"/>
        </w:rPr>
      </w:pPr>
      <w:r w:rsidRPr="00111894">
        <w:rPr>
          <w:rFonts w:ascii="Arial" w:hAnsi="Arial" w:cs="Arial"/>
          <w:color w:val="000000" w:themeColor="text1"/>
          <w:sz w:val="28"/>
          <w:szCs w:val="28"/>
        </w:rPr>
        <w:t xml:space="preserve"> </w:t>
      </w:r>
      <w:bookmarkStart w:id="5" w:name="_Toc222315089"/>
      <w:r w:rsidRPr="00111894">
        <w:rPr>
          <w:rFonts w:ascii="Arial" w:hAnsi="Arial" w:cs="Arial"/>
          <w:color w:val="000000" w:themeColor="text1"/>
          <w:sz w:val="28"/>
          <w:szCs w:val="28"/>
        </w:rPr>
        <w:t>Profitability and return dynamics</w:t>
      </w:r>
      <w:bookmarkEnd w:id="5"/>
    </w:p>
    <w:p w:rsidR="00111894" w:rsidRDefault="00111894" w:rsidP="00111894">
      <w:pPr>
        <w:jc w:val="both"/>
      </w:pPr>
      <w:r w:rsidRPr="00111894">
        <w:t xml:space="preserve">Table </w:t>
      </w:r>
      <w:r w:rsidR="00B84F6A">
        <w:t>1</w:t>
      </w:r>
      <w:r w:rsidRPr="00111894">
        <w:t xml:space="preserve"> indicates that the profitability ratios narrowed down after 2022. Gross margin remained approximately 25.3-25.6 percent in 2021- 2022 but dropped to approximately 18.2 percent in 2023 and stabilized at approximately 17.9-18.0 percent in 2024- 2025. Such a prolonged decrease is indicative of the fact that such price manipulations, adjustments</w:t>
      </w:r>
      <w:r w:rsidR="00DC680A">
        <w:t xml:space="preserve"> </w:t>
      </w:r>
      <w:r w:rsidRPr="00111894">
        <w:t>and scale efficiencies in the cost of production.</w:t>
      </w:r>
    </w:p>
    <w:p w:rsidR="00111894" w:rsidRDefault="00111894" w:rsidP="00111894">
      <w:pPr>
        <w:jc w:val="both"/>
      </w:pPr>
      <w:r w:rsidRPr="00111894">
        <w:t xml:space="preserve">Operating margin decreased at a stiffer rate than the gross margin, which dropped to 16.8 percent in 2022, 9.2 percent in 2023, 7.2 percent in 2024 and 4.6 percent in 2025. This shows that the operating costs had increased in relative terms and </w:t>
      </w:r>
      <w:r w:rsidRPr="00111894">
        <w:lastRenderedPageBreak/>
        <w:t>that the fixed-cost absorption was weakened and the prices and contribution margins were tightening. Practically, with contracting margins, the same amount of R&amp;D and commercial expenditure needed to sustain product development and delivery capability becomes a bigger portion of revenue.</w:t>
      </w:r>
    </w:p>
    <w:p w:rsidR="00111894" w:rsidRDefault="00111894" w:rsidP="00111894">
      <w:pPr>
        <w:jc w:val="both"/>
      </w:pPr>
      <w:r w:rsidRPr="00111894">
        <w:t xml:space="preserve"> Net margin had a similar trend and decreased to 15.5% in 2022, 7.3% in 2024, and 4.1% in 2025. The net margin in 2023 was abnormally high compared to operating margin, which is also in line with a sizable tax-related impact and non-operating items in that year. This explains why operating income is usually a more stable measure of underlying performance than net income, especially when the effects of tax are erratic (Ross et al., 2022). </w:t>
      </w:r>
    </w:p>
    <w:p w:rsidR="00111894" w:rsidRDefault="00111894" w:rsidP="00111894">
      <w:pPr>
        <w:jc w:val="both"/>
      </w:pPr>
      <w:r w:rsidRPr="00111894">
        <w:t>Return on assets (ROA) and the return on equity (ROE) also worsened. In 2022, ROA decreased to 15.3 and 2024 and 2025 dropped to 5.9 and 2.8. ROE had fallen by 28.2 in 2022 to 9.8 in 2024 and 4.7 in 2025. What it means is that Tesla has a larger asset base that is generating less profit per dollar of assets and equity which is a strategic issue to any manufacturer in the context of which the ability to generate attractive returns on incremental capital is a key element in creating long-term value (Soliman, 2008).</w:t>
      </w:r>
    </w:p>
    <w:p w:rsidR="00AB3C74" w:rsidRDefault="00000000">
      <w:pPr>
        <w:pStyle w:val="Heading2"/>
      </w:pPr>
      <w:bookmarkStart w:id="6" w:name="_Toc222315090"/>
      <w:r w:rsidRPr="006978DC">
        <w:rPr>
          <w:rFonts w:ascii="Arial" w:hAnsi="Arial" w:cs="Arial"/>
          <w:color w:val="000000" w:themeColor="text1"/>
          <w:sz w:val="28"/>
          <w:szCs w:val="28"/>
        </w:rPr>
        <w:t>Liquidity, leverage and cash flow resilience</w:t>
      </w:r>
      <w:bookmarkEnd w:id="6"/>
    </w:p>
    <w:p w:rsidR="00111894" w:rsidRDefault="00111894" w:rsidP="006978DC">
      <w:pPr>
        <w:jc w:val="both"/>
      </w:pPr>
      <w:r w:rsidRPr="00111894">
        <w:t>The five-year evaluation of liquidity using the traditional ratios showed an increase. The current ratio worsened in 2025, going up to 2.16, whereas the quick ratio improved, going up to 1.77. These indicators suggest that Tesla represented high current asset cushions as compared to current liabilities, which enhanced short-term stability as profitability became weakened. The presence of large liquid buffers can lessen financing, and make investment persistence in the disturbing demand cycles (Opler et al., 1999).</w:t>
      </w:r>
    </w:p>
    <w:p w:rsidR="00111894" w:rsidRDefault="00111894" w:rsidP="006978DC">
      <w:pPr>
        <w:jc w:val="both"/>
      </w:pPr>
      <w:r w:rsidRPr="00111894">
        <w:t xml:space="preserve"> Nevertheless, the current asset composition is able to affect liquidity ratios. Term deposit balances and other short-term investments will increase current and quick ratios but not as readily deployable as cash. Hence, the measures based on cash flow and cash ratio are significant supplementary evidence. The cash ratio of Tesla </w:t>
      </w:r>
      <w:r w:rsidRPr="00111894">
        <w:lastRenderedPageBreak/>
        <w:t xml:space="preserve">dropped to approximately 0.52 in 2025 compared to 0.89 in 2021 which indicates that the cash and near-cash flow did not increase in direct proportion to the current liabilities. </w:t>
      </w:r>
    </w:p>
    <w:p w:rsidR="006978DC" w:rsidRDefault="00111894" w:rsidP="006978DC">
      <w:pPr>
        <w:jc w:val="both"/>
      </w:pPr>
      <w:r w:rsidRPr="00111894">
        <w:t>The ability to generate cash was also a source of strength, but there was a decline in cash efficiency relative to the peak years. Cash flow to sales ratio decreased to 13.7 in 2023 after 21.4 in 2021 and went back to 15.3 in 2024 and 15.6 in 2025. The recovery demonstrates the capacity of the firm to generate cash despite the narrowing margins, but the fact that the cash conversion is lower than in 2021 reflects that the firm has less operating headroom.</w:t>
      </w:r>
    </w:p>
    <w:p w:rsidR="00111894" w:rsidRDefault="00111894" w:rsidP="006978DC">
      <w:pPr>
        <w:jc w:val="both"/>
      </w:pPr>
      <w:r w:rsidRPr="00111894">
        <w:t xml:space="preserve"> The solvency indicators are moderate leverage and increasing capital structure resiliency. The debt-to-equity ratio decreased to approximately 0.66-0.67 in 2024-2025 compared to 1.01 in 2021 and the debt ratio went down to approximately 0.40. This means that an increasing proportion of assets was financed by equity. Cash flow to debt ratio was relatively robust in the past but deteriorated to 0.27 in 2025 which means that there will be decreased coverage capacity in case operating cash flow decreases further or liabilities increase significantly.</w:t>
      </w:r>
    </w:p>
    <w:p w:rsidR="00B84F6A" w:rsidRPr="00B84F6A" w:rsidRDefault="00B84F6A" w:rsidP="00B84F6A">
      <w:pPr>
        <w:pStyle w:val="Caption"/>
        <w:keepNext/>
        <w:rPr>
          <w:b w:val="0"/>
          <w:bCs w:val="0"/>
          <w:color w:val="000000" w:themeColor="text1"/>
          <w:sz w:val="24"/>
          <w:szCs w:val="24"/>
        </w:rPr>
      </w:pPr>
      <w:bookmarkStart w:id="7" w:name="_Toc222314499"/>
      <w:r w:rsidRPr="00B84F6A">
        <w:rPr>
          <w:b w:val="0"/>
          <w:bCs w:val="0"/>
          <w:color w:val="000000" w:themeColor="text1"/>
          <w:sz w:val="24"/>
          <w:szCs w:val="24"/>
        </w:rPr>
        <w:t xml:space="preserve">Table </w:t>
      </w:r>
      <w:r w:rsidRPr="00B84F6A">
        <w:rPr>
          <w:b w:val="0"/>
          <w:bCs w:val="0"/>
          <w:color w:val="000000" w:themeColor="text1"/>
          <w:sz w:val="24"/>
          <w:szCs w:val="24"/>
        </w:rPr>
        <w:fldChar w:fldCharType="begin"/>
      </w:r>
      <w:r w:rsidRPr="00B84F6A">
        <w:rPr>
          <w:b w:val="0"/>
          <w:bCs w:val="0"/>
          <w:color w:val="000000" w:themeColor="text1"/>
          <w:sz w:val="24"/>
          <w:szCs w:val="24"/>
        </w:rPr>
        <w:instrText xml:space="preserve"> SEQ Table \* ARABIC </w:instrText>
      </w:r>
      <w:r w:rsidRPr="00B84F6A">
        <w:rPr>
          <w:b w:val="0"/>
          <w:bCs w:val="0"/>
          <w:color w:val="000000" w:themeColor="text1"/>
          <w:sz w:val="24"/>
          <w:szCs w:val="24"/>
        </w:rPr>
        <w:fldChar w:fldCharType="separate"/>
      </w:r>
      <w:r>
        <w:rPr>
          <w:b w:val="0"/>
          <w:bCs w:val="0"/>
          <w:noProof/>
          <w:color w:val="000000" w:themeColor="text1"/>
          <w:sz w:val="24"/>
          <w:szCs w:val="24"/>
        </w:rPr>
        <w:t>1</w:t>
      </w:r>
      <w:r w:rsidRPr="00B84F6A">
        <w:rPr>
          <w:b w:val="0"/>
          <w:bCs w:val="0"/>
          <w:color w:val="000000" w:themeColor="text1"/>
          <w:sz w:val="24"/>
          <w:szCs w:val="24"/>
        </w:rPr>
        <w:fldChar w:fldCharType="end"/>
      </w:r>
      <w:r w:rsidRPr="00B84F6A">
        <w:rPr>
          <w:b w:val="0"/>
          <w:bCs w:val="0"/>
          <w:color w:val="000000" w:themeColor="text1"/>
          <w:sz w:val="24"/>
          <w:szCs w:val="24"/>
        </w:rPr>
        <w:t>:Selected financial ratios for Tesla, 2021–2025</w:t>
      </w:r>
      <w:bookmarkEnd w:id="7"/>
    </w:p>
    <w:tbl>
      <w:tblPr>
        <w:tblStyle w:val="TableGrid"/>
        <w:tblW w:w="0" w:type="auto"/>
        <w:jc w:val="center"/>
        <w:tblLook w:val="04A0" w:firstRow="1" w:lastRow="0" w:firstColumn="1" w:lastColumn="0" w:noHBand="0" w:noVBand="1"/>
      </w:tblPr>
      <w:tblGrid>
        <w:gridCol w:w="1457"/>
        <w:gridCol w:w="1435"/>
        <w:gridCol w:w="1434"/>
        <w:gridCol w:w="1434"/>
        <w:gridCol w:w="1435"/>
        <w:gridCol w:w="1435"/>
      </w:tblGrid>
      <w:tr w:rsidR="00AB3C74">
        <w:trPr>
          <w:jc w:val="center"/>
        </w:trPr>
        <w:tc>
          <w:tcPr>
            <w:tcW w:w="1440" w:type="dxa"/>
          </w:tcPr>
          <w:p w:rsidR="00AB3C74" w:rsidRPr="00DC680A" w:rsidRDefault="00000000">
            <w:pPr>
              <w:rPr>
                <w:b/>
                <w:bCs/>
              </w:rPr>
            </w:pPr>
            <w:r w:rsidRPr="00DC680A">
              <w:rPr>
                <w:b/>
                <w:bCs/>
              </w:rPr>
              <w:t>Item</w:t>
            </w:r>
          </w:p>
        </w:tc>
        <w:tc>
          <w:tcPr>
            <w:tcW w:w="1440" w:type="dxa"/>
          </w:tcPr>
          <w:p w:rsidR="00AB3C74" w:rsidRPr="00DC680A" w:rsidRDefault="00000000">
            <w:pPr>
              <w:rPr>
                <w:b/>
                <w:bCs/>
              </w:rPr>
            </w:pPr>
            <w:r w:rsidRPr="00DC680A">
              <w:rPr>
                <w:b/>
                <w:bCs/>
              </w:rPr>
              <w:t>2021</w:t>
            </w:r>
          </w:p>
        </w:tc>
        <w:tc>
          <w:tcPr>
            <w:tcW w:w="1440" w:type="dxa"/>
          </w:tcPr>
          <w:p w:rsidR="00AB3C74" w:rsidRPr="00DC680A" w:rsidRDefault="00000000">
            <w:pPr>
              <w:rPr>
                <w:b/>
                <w:bCs/>
              </w:rPr>
            </w:pPr>
            <w:r w:rsidRPr="00DC680A">
              <w:rPr>
                <w:b/>
                <w:bCs/>
              </w:rPr>
              <w:t>2022</w:t>
            </w:r>
          </w:p>
        </w:tc>
        <w:tc>
          <w:tcPr>
            <w:tcW w:w="1440" w:type="dxa"/>
          </w:tcPr>
          <w:p w:rsidR="00AB3C74" w:rsidRPr="00DC680A" w:rsidRDefault="00000000">
            <w:pPr>
              <w:rPr>
                <w:b/>
                <w:bCs/>
              </w:rPr>
            </w:pPr>
            <w:r w:rsidRPr="00DC680A">
              <w:rPr>
                <w:b/>
                <w:bCs/>
              </w:rPr>
              <w:t>2023</w:t>
            </w:r>
          </w:p>
        </w:tc>
        <w:tc>
          <w:tcPr>
            <w:tcW w:w="1440" w:type="dxa"/>
          </w:tcPr>
          <w:p w:rsidR="00AB3C74" w:rsidRPr="00DC680A" w:rsidRDefault="00000000">
            <w:pPr>
              <w:rPr>
                <w:b/>
                <w:bCs/>
              </w:rPr>
            </w:pPr>
            <w:r w:rsidRPr="00DC680A">
              <w:rPr>
                <w:b/>
                <w:bCs/>
              </w:rPr>
              <w:t>2024</w:t>
            </w:r>
          </w:p>
        </w:tc>
        <w:tc>
          <w:tcPr>
            <w:tcW w:w="1440" w:type="dxa"/>
          </w:tcPr>
          <w:p w:rsidR="00AB3C74" w:rsidRPr="00DC680A" w:rsidRDefault="00000000">
            <w:pPr>
              <w:rPr>
                <w:b/>
                <w:bCs/>
              </w:rPr>
            </w:pPr>
            <w:r w:rsidRPr="00DC680A">
              <w:rPr>
                <w:b/>
                <w:bCs/>
              </w:rPr>
              <w:t>2025</w:t>
            </w:r>
          </w:p>
        </w:tc>
      </w:tr>
      <w:tr w:rsidR="00AB3C74">
        <w:trPr>
          <w:jc w:val="center"/>
        </w:trPr>
        <w:tc>
          <w:tcPr>
            <w:tcW w:w="1440" w:type="dxa"/>
          </w:tcPr>
          <w:p w:rsidR="00AB3C74" w:rsidRDefault="00000000">
            <w:r>
              <w:t>Gross margin</w:t>
            </w:r>
          </w:p>
        </w:tc>
        <w:tc>
          <w:tcPr>
            <w:tcW w:w="1440" w:type="dxa"/>
          </w:tcPr>
          <w:p w:rsidR="00AB3C74" w:rsidRDefault="00000000">
            <w:r>
              <w:t>0.253</w:t>
            </w:r>
          </w:p>
        </w:tc>
        <w:tc>
          <w:tcPr>
            <w:tcW w:w="1440" w:type="dxa"/>
          </w:tcPr>
          <w:p w:rsidR="00AB3C74" w:rsidRDefault="00000000">
            <w:r>
              <w:t>0.256</w:t>
            </w:r>
          </w:p>
        </w:tc>
        <w:tc>
          <w:tcPr>
            <w:tcW w:w="1440" w:type="dxa"/>
          </w:tcPr>
          <w:p w:rsidR="00AB3C74" w:rsidRDefault="00000000">
            <w:r>
              <w:t>0.182</w:t>
            </w:r>
          </w:p>
        </w:tc>
        <w:tc>
          <w:tcPr>
            <w:tcW w:w="1440" w:type="dxa"/>
          </w:tcPr>
          <w:p w:rsidR="00AB3C74" w:rsidRDefault="00000000">
            <w:r>
              <w:t>0.179</w:t>
            </w:r>
          </w:p>
        </w:tc>
        <w:tc>
          <w:tcPr>
            <w:tcW w:w="1440" w:type="dxa"/>
          </w:tcPr>
          <w:p w:rsidR="00AB3C74" w:rsidRDefault="00000000">
            <w:r>
              <w:t>0.180</w:t>
            </w:r>
          </w:p>
        </w:tc>
      </w:tr>
      <w:tr w:rsidR="00AB3C74">
        <w:trPr>
          <w:jc w:val="center"/>
        </w:trPr>
        <w:tc>
          <w:tcPr>
            <w:tcW w:w="1440" w:type="dxa"/>
          </w:tcPr>
          <w:p w:rsidR="00AB3C74" w:rsidRDefault="00000000">
            <w:r>
              <w:t>Operating margin</w:t>
            </w:r>
          </w:p>
        </w:tc>
        <w:tc>
          <w:tcPr>
            <w:tcW w:w="1440" w:type="dxa"/>
          </w:tcPr>
          <w:p w:rsidR="00AB3C74" w:rsidRDefault="00000000">
            <w:r>
              <w:t>0.121</w:t>
            </w:r>
          </w:p>
        </w:tc>
        <w:tc>
          <w:tcPr>
            <w:tcW w:w="1440" w:type="dxa"/>
          </w:tcPr>
          <w:p w:rsidR="00AB3C74" w:rsidRDefault="00000000">
            <w:r>
              <w:t>0.168</w:t>
            </w:r>
          </w:p>
        </w:tc>
        <w:tc>
          <w:tcPr>
            <w:tcW w:w="1440" w:type="dxa"/>
          </w:tcPr>
          <w:p w:rsidR="00AB3C74" w:rsidRDefault="00000000">
            <w:r>
              <w:t>0.092</w:t>
            </w:r>
          </w:p>
        </w:tc>
        <w:tc>
          <w:tcPr>
            <w:tcW w:w="1440" w:type="dxa"/>
          </w:tcPr>
          <w:p w:rsidR="00AB3C74" w:rsidRDefault="00000000">
            <w:r>
              <w:t>0.072</w:t>
            </w:r>
          </w:p>
        </w:tc>
        <w:tc>
          <w:tcPr>
            <w:tcW w:w="1440" w:type="dxa"/>
          </w:tcPr>
          <w:p w:rsidR="00AB3C74" w:rsidRDefault="00000000">
            <w:r>
              <w:t>0.046</w:t>
            </w:r>
          </w:p>
        </w:tc>
      </w:tr>
      <w:tr w:rsidR="00AB3C74">
        <w:trPr>
          <w:jc w:val="center"/>
        </w:trPr>
        <w:tc>
          <w:tcPr>
            <w:tcW w:w="1440" w:type="dxa"/>
          </w:tcPr>
          <w:p w:rsidR="00AB3C74" w:rsidRDefault="00000000">
            <w:r>
              <w:t>Net margin</w:t>
            </w:r>
          </w:p>
        </w:tc>
        <w:tc>
          <w:tcPr>
            <w:tcW w:w="1440" w:type="dxa"/>
          </w:tcPr>
          <w:p w:rsidR="00AB3C74" w:rsidRDefault="00000000">
            <w:r>
              <w:t>0.105</w:t>
            </w:r>
          </w:p>
        </w:tc>
        <w:tc>
          <w:tcPr>
            <w:tcW w:w="1440" w:type="dxa"/>
          </w:tcPr>
          <w:p w:rsidR="00AB3C74" w:rsidRDefault="00000000">
            <w:r>
              <w:t>0.155</w:t>
            </w:r>
          </w:p>
        </w:tc>
        <w:tc>
          <w:tcPr>
            <w:tcW w:w="1440" w:type="dxa"/>
          </w:tcPr>
          <w:p w:rsidR="00AB3C74" w:rsidRDefault="00000000">
            <w:r>
              <w:t>0.155</w:t>
            </w:r>
          </w:p>
        </w:tc>
        <w:tc>
          <w:tcPr>
            <w:tcW w:w="1440" w:type="dxa"/>
          </w:tcPr>
          <w:p w:rsidR="00AB3C74" w:rsidRDefault="00000000">
            <w:r>
              <w:t>0.073</w:t>
            </w:r>
          </w:p>
        </w:tc>
        <w:tc>
          <w:tcPr>
            <w:tcW w:w="1440" w:type="dxa"/>
          </w:tcPr>
          <w:p w:rsidR="00AB3C74" w:rsidRDefault="00000000">
            <w:r>
              <w:t>0.041</w:t>
            </w:r>
          </w:p>
        </w:tc>
      </w:tr>
      <w:tr w:rsidR="00AB3C74">
        <w:trPr>
          <w:jc w:val="center"/>
        </w:trPr>
        <w:tc>
          <w:tcPr>
            <w:tcW w:w="1440" w:type="dxa"/>
          </w:tcPr>
          <w:p w:rsidR="00AB3C74" w:rsidRDefault="00000000">
            <w:r>
              <w:t>ROA</w:t>
            </w:r>
          </w:p>
        </w:tc>
        <w:tc>
          <w:tcPr>
            <w:tcW w:w="1440" w:type="dxa"/>
          </w:tcPr>
          <w:p w:rsidR="00AB3C74" w:rsidRDefault="00000000">
            <w:r>
              <w:t>0.091</w:t>
            </w:r>
          </w:p>
        </w:tc>
        <w:tc>
          <w:tcPr>
            <w:tcW w:w="1440" w:type="dxa"/>
          </w:tcPr>
          <w:p w:rsidR="00AB3C74" w:rsidRDefault="00000000">
            <w:r>
              <w:t>0.153</w:t>
            </w:r>
          </w:p>
        </w:tc>
        <w:tc>
          <w:tcPr>
            <w:tcW w:w="1440" w:type="dxa"/>
          </w:tcPr>
          <w:p w:rsidR="00AB3C74" w:rsidRDefault="00000000">
            <w:r>
              <w:t>0.140</w:t>
            </w:r>
          </w:p>
        </w:tc>
        <w:tc>
          <w:tcPr>
            <w:tcW w:w="1440" w:type="dxa"/>
          </w:tcPr>
          <w:p w:rsidR="00AB3C74" w:rsidRDefault="00000000">
            <w:r>
              <w:t>0.059</w:t>
            </w:r>
          </w:p>
        </w:tc>
        <w:tc>
          <w:tcPr>
            <w:tcW w:w="1440" w:type="dxa"/>
          </w:tcPr>
          <w:p w:rsidR="00AB3C74" w:rsidRDefault="00000000">
            <w:r>
              <w:t>0.028</w:t>
            </w:r>
          </w:p>
        </w:tc>
      </w:tr>
      <w:tr w:rsidR="00AB3C74">
        <w:trPr>
          <w:jc w:val="center"/>
        </w:trPr>
        <w:tc>
          <w:tcPr>
            <w:tcW w:w="1440" w:type="dxa"/>
          </w:tcPr>
          <w:p w:rsidR="00AB3C74" w:rsidRDefault="00000000">
            <w:r>
              <w:t>ROE</w:t>
            </w:r>
          </w:p>
        </w:tc>
        <w:tc>
          <w:tcPr>
            <w:tcW w:w="1440" w:type="dxa"/>
          </w:tcPr>
          <w:p w:rsidR="00AB3C74" w:rsidRDefault="00000000">
            <w:r>
              <w:t>0.187</w:t>
            </w:r>
          </w:p>
        </w:tc>
        <w:tc>
          <w:tcPr>
            <w:tcW w:w="1440" w:type="dxa"/>
          </w:tcPr>
          <w:p w:rsidR="00AB3C74" w:rsidRDefault="00000000">
            <w:r>
              <w:t>0.282</w:t>
            </w:r>
          </w:p>
        </w:tc>
        <w:tc>
          <w:tcPr>
            <w:tcW w:w="1440" w:type="dxa"/>
          </w:tcPr>
          <w:p w:rsidR="00AB3C74" w:rsidRDefault="00000000">
            <w:r>
              <w:t>0.239</w:t>
            </w:r>
          </w:p>
        </w:tc>
        <w:tc>
          <w:tcPr>
            <w:tcW w:w="1440" w:type="dxa"/>
          </w:tcPr>
          <w:p w:rsidR="00AB3C74" w:rsidRDefault="00000000">
            <w:r>
              <w:t>0.098</w:t>
            </w:r>
          </w:p>
        </w:tc>
        <w:tc>
          <w:tcPr>
            <w:tcW w:w="1440" w:type="dxa"/>
          </w:tcPr>
          <w:p w:rsidR="00AB3C74" w:rsidRDefault="00000000">
            <w:r>
              <w:t>0.047</w:t>
            </w:r>
          </w:p>
        </w:tc>
      </w:tr>
      <w:tr w:rsidR="00AB3C74">
        <w:trPr>
          <w:jc w:val="center"/>
        </w:trPr>
        <w:tc>
          <w:tcPr>
            <w:tcW w:w="1440" w:type="dxa"/>
          </w:tcPr>
          <w:p w:rsidR="00AB3C74" w:rsidRDefault="00000000">
            <w:r>
              <w:t>Current ratio</w:t>
            </w:r>
          </w:p>
        </w:tc>
        <w:tc>
          <w:tcPr>
            <w:tcW w:w="1440" w:type="dxa"/>
          </w:tcPr>
          <w:p w:rsidR="00AB3C74" w:rsidRDefault="00000000">
            <w:r>
              <w:t>1.375</w:t>
            </w:r>
          </w:p>
        </w:tc>
        <w:tc>
          <w:tcPr>
            <w:tcW w:w="1440" w:type="dxa"/>
          </w:tcPr>
          <w:p w:rsidR="00AB3C74" w:rsidRDefault="00000000">
            <w:r>
              <w:t>1.532</w:t>
            </w:r>
          </w:p>
        </w:tc>
        <w:tc>
          <w:tcPr>
            <w:tcW w:w="1440" w:type="dxa"/>
          </w:tcPr>
          <w:p w:rsidR="00AB3C74" w:rsidRDefault="00000000">
            <w:r>
              <w:t>1.726</w:t>
            </w:r>
          </w:p>
        </w:tc>
        <w:tc>
          <w:tcPr>
            <w:tcW w:w="1440" w:type="dxa"/>
          </w:tcPr>
          <w:p w:rsidR="00AB3C74" w:rsidRDefault="00000000">
            <w:r>
              <w:t>2.025</w:t>
            </w:r>
          </w:p>
        </w:tc>
        <w:tc>
          <w:tcPr>
            <w:tcW w:w="1440" w:type="dxa"/>
          </w:tcPr>
          <w:p w:rsidR="00AB3C74" w:rsidRDefault="00000000">
            <w:r>
              <w:t>2.164</w:t>
            </w:r>
          </w:p>
        </w:tc>
      </w:tr>
      <w:tr w:rsidR="00AB3C74">
        <w:trPr>
          <w:jc w:val="center"/>
        </w:trPr>
        <w:tc>
          <w:tcPr>
            <w:tcW w:w="1440" w:type="dxa"/>
          </w:tcPr>
          <w:p w:rsidR="00AB3C74" w:rsidRDefault="00000000">
            <w:r>
              <w:lastRenderedPageBreak/>
              <w:t>Quick ratio</w:t>
            </w:r>
          </w:p>
        </w:tc>
        <w:tc>
          <w:tcPr>
            <w:tcW w:w="1440" w:type="dxa"/>
          </w:tcPr>
          <w:p w:rsidR="00AB3C74" w:rsidRDefault="00000000">
            <w:r>
              <w:t>1.083</w:t>
            </w:r>
          </w:p>
        </w:tc>
        <w:tc>
          <w:tcPr>
            <w:tcW w:w="1440" w:type="dxa"/>
          </w:tcPr>
          <w:p w:rsidR="00AB3C74" w:rsidRDefault="00000000">
            <w:r>
              <w:t>1.051</w:t>
            </w:r>
          </w:p>
        </w:tc>
        <w:tc>
          <w:tcPr>
            <w:tcW w:w="1440" w:type="dxa"/>
          </w:tcPr>
          <w:p w:rsidR="00AB3C74" w:rsidRDefault="00000000">
            <w:r>
              <w:t>1.252</w:t>
            </w:r>
          </w:p>
        </w:tc>
        <w:tc>
          <w:tcPr>
            <w:tcW w:w="1440" w:type="dxa"/>
          </w:tcPr>
          <w:p w:rsidR="00AB3C74" w:rsidRDefault="00000000">
            <w:r>
              <w:t>1.608</w:t>
            </w:r>
          </w:p>
        </w:tc>
        <w:tc>
          <w:tcPr>
            <w:tcW w:w="1440" w:type="dxa"/>
          </w:tcPr>
          <w:p w:rsidR="00AB3C74" w:rsidRDefault="00000000">
            <w:r>
              <w:t>1.774</w:t>
            </w:r>
          </w:p>
        </w:tc>
      </w:tr>
      <w:tr w:rsidR="00AB3C74">
        <w:trPr>
          <w:jc w:val="center"/>
        </w:trPr>
        <w:tc>
          <w:tcPr>
            <w:tcW w:w="1440" w:type="dxa"/>
          </w:tcPr>
          <w:p w:rsidR="00AB3C74" w:rsidRDefault="00000000">
            <w:r>
              <w:t>Debt/Equity</w:t>
            </w:r>
          </w:p>
        </w:tc>
        <w:tc>
          <w:tcPr>
            <w:tcW w:w="1440" w:type="dxa"/>
          </w:tcPr>
          <w:p w:rsidR="00AB3C74" w:rsidRDefault="00000000">
            <w:r>
              <w:t>1.012</w:t>
            </w:r>
          </w:p>
        </w:tc>
        <w:tc>
          <w:tcPr>
            <w:tcW w:w="1440" w:type="dxa"/>
          </w:tcPr>
          <w:p w:rsidR="00AB3C74" w:rsidRDefault="00000000">
            <w:r>
              <w:t>0.815</w:t>
            </w:r>
          </w:p>
        </w:tc>
        <w:tc>
          <w:tcPr>
            <w:tcW w:w="1440" w:type="dxa"/>
          </w:tcPr>
          <w:p w:rsidR="00AB3C74" w:rsidRDefault="00000000">
            <w:r>
              <w:t>0.687</w:t>
            </w:r>
          </w:p>
        </w:tc>
        <w:tc>
          <w:tcPr>
            <w:tcW w:w="1440" w:type="dxa"/>
          </w:tcPr>
          <w:p w:rsidR="00AB3C74" w:rsidRDefault="00000000">
            <w:r>
              <w:t>0.664</w:t>
            </w:r>
          </w:p>
        </w:tc>
        <w:tc>
          <w:tcPr>
            <w:tcW w:w="1440" w:type="dxa"/>
          </w:tcPr>
          <w:p w:rsidR="00AB3C74" w:rsidRDefault="00000000">
            <w:r>
              <w:t>0.669</w:t>
            </w:r>
          </w:p>
        </w:tc>
      </w:tr>
      <w:tr w:rsidR="00AB3C74">
        <w:trPr>
          <w:jc w:val="center"/>
        </w:trPr>
        <w:tc>
          <w:tcPr>
            <w:tcW w:w="1440" w:type="dxa"/>
          </w:tcPr>
          <w:p w:rsidR="00AB3C74" w:rsidRDefault="00000000">
            <w:r>
              <w:t>OCF/Sales</w:t>
            </w:r>
          </w:p>
        </w:tc>
        <w:tc>
          <w:tcPr>
            <w:tcW w:w="1440" w:type="dxa"/>
          </w:tcPr>
          <w:p w:rsidR="00AB3C74" w:rsidRDefault="00000000">
            <w:r>
              <w:t>0.214</w:t>
            </w:r>
          </w:p>
        </w:tc>
        <w:tc>
          <w:tcPr>
            <w:tcW w:w="1440" w:type="dxa"/>
          </w:tcPr>
          <w:p w:rsidR="00AB3C74" w:rsidRDefault="00000000">
            <w:r>
              <w:t>0.181</w:t>
            </w:r>
          </w:p>
        </w:tc>
        <w:tc>
          <w:tcPr>
            <w:tcW w:w="1440" w:type="dxa"/>
          </w:tcPr>
          <w:p w:rsidR="00AB3C74" w:rsidRDefault="00000000">
            <w:r>
              <w:t>0.137</w:t>
            </w:r>
          </w:p>
        </w:tc>
        <w:tc>
          <w:tcPr>
            <w:tcW w:w="1440" w:type="dxa"/>
          </w:tcPr>
          <w:p w:rsidR="00AB3C74" w:rsidRDefault="00000000">
            <w:r>
              <w:t>0.153</w:t>
            </w:r>
          </w:p>
        </w:tc>
        <w:tc>
          <w:tcPr>
            <w:tcW w:w="1440" w:type="dxa"/>
          </w:tcPr>
          <w:p w:rsidR="00AB3C74" w:rsidRDefault="00000000">
            <w:r>
              <w:t>0.156</w:t>
            </w:r>
          </w:p>
        </w:tc>
      </w:tr>
      <w:tr w:rsidR="00AB3C74">
        <w:trPr>
          <w:jc w:val="center"/>
        </w:trPr>
        <w:tc>
          <w:tcPr>
            <w:tcW w:w="1440" w:type="dxa"/>
          </w:tcPr>
          <w:p w:rsidR="00AB3C74" w:rsidRDefault="00000000">
            <w:r>
              <w:t>Altman Z-score</w:t>
            </w:r>
          </w:p>
        </w:tc>
        <w:tc>
          <w:tcPr>
            <w:tcW w:w="1440" w:type="dxa"/>
          </w:tcPr>
          <w:p w:rsidR="00AB3C74" w:rsidRDefault="00000000">
            <w:r>
              <w:t>2.541</w:t>
            </w:r>
          </w:p>
        </w:tc>
        <w:tc>
          <w:tcPr>
            <w:tcW w:w="1440" w:type="dxa"/>
          </w:tcPr>
          <w:p w:rsidR="00AB3C74" w:rsidRDefault="00000000">
            <w:r>
              <w:t>4.045</w:t>
            </w:r>
          </w:p>
        </w:tc>
        <w:tc>
          <w:tcPr>
            <w:tcW w:w="1440" w:type="dxa"/>
          </w:tcPr>
          <w:p w:rsidR="00AB3C74" w:rsidRDefault="00000000">
            <w:r>
              <w:t>4.226</w:t>
            </w:r>
          </w:p>
        </w:tc>
        <w:tc>
          <w:tcPr>
            <w:tcW w:w="1440" w:type="dxa"/>
          </w:tcPr>
          <w:p w:rsidR="00AB3C74" w:rsidRDefault="00000000">
            <w:r>
              <w:t>4.499</w:t>
            </w:r>
          </w:p>
        </w:tc>
        <w:tc>
          <w:tcPr>
            <w:tcW w:w="1440" w:type="dxa"/>
          </w:tcPr>
          <w:p w:rsidR="00AB3C74" w:rsidRDefault="00000000">
            <w:r>
              <w:t>4.463</w:t>
            </w:r>
          </w:p>
        </w:tc>
      </w:tr>
      <w:tr w:rsidR="00AB3C74">
        <w:trPr>
          <w:jc w:val="center"/>
        </w:trPr>
        <w:tc>
          <w:tcPr>
            <w:tcW w:w="1440" w:type="dxa"/>
          </w:tcPr>
          <w:p w:rsidR="00AB3C74" w:rsidRDefault="00000000">
            <w:r>
              <w:t>CCC (days)</w:t>
            </w:r>
          </w:p>
        </w:tc>
        <w:tc>
          <w:tcPr>
            <w:tcW w:w="1440" w:type="dxa"/>
          </w:tcPr>
          <w:p w:rsidR="00AB3C74" w:rsidRDefault="00000000">
            <w:r>
              <w:t>-25.762</w:t>
            </w:r>
          </w:p>
        </w:tc>
        <w:tc>
          <w:tcPr>
            <w:tcW w:w="1440" w:type="dxa"/>
          </w:tcPr>
          <w:p w:rsidR="00AB3C74" w:rsidRDefault="00000000">
            <w:r>
              <w:t>-1.323</w:t>
            </w:r>
          </w:p>
        </w:tc>
        <w:tc>
          <w:tcPr>
            <w:tcW w:w="1440" w:type="dxa"/>
          </w:tcPr>
          <w:p w:rsidR="00AB3C74" w:rsidRDefault="00000000">
            <w:r>
              <w:t>9.517</w:t>
            </w:r>
          </w:p>
        </w:tc>
        <w:tc>
          <w:tcPr>
            <w:tcW w:w="1440" w:type="dxa"/>
          </w:tcPr>
          <w:p w:rsidR="00AB3C74" w:rsidRDefault="00000000">
            <w:r>
              <w:t>14.428</w:t>
            </w:r>
          </w:p>
        </w:tc>
        <w:tc>
          <w:tcPr>
            <w:tcW w:w="1440" w:type="dxa"/>
          </w:tcPr>
          <w:p w:rsidR="00AB3C74" w:rsidRDefault="00000000">
            <w:r>
              <w:t>13.017</w:t>
            </w:r>
          </w:p>
        </w:tc>
      </w:tr>
    </w:tbl>
    <w:p w:rsidR="00AB3C74" w:rsidRPr="006978DC" w:rsidRDefault="00000000">
      <w:pPr>
        <w:pStyle w:val="Heading2"/>
        <w:rPr>
          <w:rFonts w:ascii="Arial" w:hAnsi="Arial" w:cs="Arial"/>
        </w:rPr>
      </w:pPr>
      <w:bookmarkStart w:id="8" w:name="_Toc222315091"/>
      <w:r w:rsidRPr="006978DC">
        <w:rPr>
          <w:rFonts w:ascii="Arial" w:hAnsi="Arial" w:cs="Arial"/>
          <w:color w:val="000000" w:themeColor="text1"/>
          <w:sz w:val="28"/>
          <w:szCs w:val="28"/>
        </w:rPr>
        <w:t>Altman Z-score and financial distress screening</w:t>
      </w:r>
      <w:bookmarkEnd w:id="8"/>
    </w:p>
    <w:p w:rsidR="006978DC" w:rsidRDefault="006978DC" w:rsidP="006978DC">
      <w:pPr>
        <w:jc w:val="both"/>
      </w:pPr>
      <w:r w:rsidRPr="006978DC">
        <w:t>The screening indicator of financial distress risk is the Altman Z-score model. The score is an amalgamation of working capital, retained earnings, operating earnings and leverage. Even though the initial model was created on the basis of manufacturing companies in another period of time, it can be used as a high-level diagnostic, though it should be interpreted carefully and combined with other indicators of finances (Altman, 1968). Z-score is to be viewed as a pointer screen, and not as a certain forecast; other accounting-based distress models, like logit and probit models, have also been popular in the literature (Ohlson, 1980; Zmijewski, 1984).</w:t>
      </w:r>
    </w:p>
    <w:p w:rsidR="006978DC" w:rsidRDefault="006978DC" w:rsidP="006978DC">
      <w:pPr>
        <w:jc w:val="both"/>
      </w:pPr>
      <w:r w:rsidRPr="006978DC">
        <w:t xml:space="preserve"> The Z-score of Tesla increased by 2.54 in 2021 to over 4.0 in 2022 and 4.46 in 2025. The values are in line with low near-term distress risk as they indicate enhanced liquidity buffers, higher retained earnings, and decreased dependence on leverage compared to equity. Notably, the robustness of the Z-score differs with the diminishing profitability in 2024-2025, which supports the idea that the imminent risk profile of Tesla is more influenced by the sustainability of returns than by the solvency factor. </w:t>
      </w:r>
    </w:p>
    <w:p w:rsidR="00AB3C74" w:rsidRDefault="006978DC" w:rsidP="00B84F6A">
      <w:pPr>
        <w:jc w:val="both"/>
      </w:pPr>
      <w:r w:rsidRPr="006978DC">
        <w:t xml:space="preserve">Figure </w:t>
      </w:r>
      <w:r>
        <w:t>3</w:t>
      </w:r>
      <w:r w:rsidRPr="006978DC">
        <w:t xml:space="preserve"> visualizes the trend. The increase between 2021 and 2022 coincides with a good year of profits and a balance sheet that is growing. The comparatively constant value of 4.2-4.5 in 2023-2025 is an indication that the base of equity and working capital position were favorable despite the narrowing of the margins. To </w:t>
      </w:r>
      <w:r w:rsidRPr="006978DC">
        <w:lastRenderedPageBreak/>
        <w:t xml:space="preserve">the management, this implies that their high Z-scores are not only required but also needed to ensure long-term value; they have to be restored back to operating performance. </w:t>
      </w:r>
    </w:p>
    <w:p w:rsidR="00B84F6A" w:rsidRDefault="00000000" w:rsidP="00B84F6A">
      <w:pPr>
        <w:keepNext/>
      </w:pPr>
      <w:r>
        <w:rPr>
          <w:noProof/>
        </w:rPr>
        <w:drawing>
          <wp:inline distT="0" distB="0" distL="0" distR="0">
            <wp:extent cx="5486400" cy="411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tman_z.png"/>
                    <pic:cNvPicPr/>
                  </pic:nvPicPr>
                  <pic:blipFill>
                    <a:blip r:embed="rId10"/>
                    <a:stretch>
                      <a:fillRect/>
                    </a:stretch>
                  </pic:blipFill>
                  <pic:spPr>
                    <a:xfrm>
                      <a:off x="0" y="0"/>
                      <a:ext cx="5486400" cy="4114800"/>
                    </a:xfrm>
                    <a:prstGeom prst="rect">
                      <a:avLst/>
                    </a:prstGeom>
                  </pic:spPr>
                </pic:pic>
              </a:graphicData>
            </a:graphic>
          </wp:inline>
        </w:drawing>
      </w:r>
    </w:p>
    <w:p w:rsidR="00AB3C74" w:rsidRPr="00B84F6A" w:rsidRDefault="00B84F6A" w:rsidP="00B84F6A">
      <w:pPr>
        <w:pStyle w:val="Caption"/>
        <w:jc w:val="center"/>
        <w:rPr>
          <w:b w:val="0"/>
          <w:bCs w:val="0"/>
          <w:i/>
          <w:iCs/>
          <w:color w:val="000000" w:themeColor="text1"/>
          <w:sz w:val="24"/>
          <w:szCs w:val="24"/>
        </w:rPr>
      </w:pPr>
      <w:bookmarkStart w:id="9" w:name="_Toc222314554"/>
      <w:r w:rsidRPr="00B84F6A">
        <w:rPr>
          <w:b w:val="0"/>
          <w:bCs w:val="0"/>
          <w:i/>
          <w:iCs/>
          <w:color w:val="000000" w:themeColor="text1"/>
          <w:sz w:val="24"/>
          <w:szCs w:val="24"/>
        </w:rPr>
        <w:t xml:space="preserve">Figure </w:t>
      </w:r>
      <w:r w:rsidRPr="00B84F6A">
        <w:rPr>
          <w:b w:val="0"/>
          <w:bCs w:val="0"/>
          <w:i/>
          <w:iCs/>
          <w:color w:val="000000" w:themeColor="text1"/>
          <w:sz w:val="24"/>
          <w:szCs w:val="24"/>
        </w:rPr>
        <w:fldChar w:fldCharType="begin"/>
      </w:r>
      <w:r w:rsidRPr="00B84F6A">
        <w:rPr>
          <w:b w:val="0"/>
          <w:bCs w:val="0"/>
          <w:i/>
          <w:iCs/>
          <w:color w:val="000000" w:themeColor="text1"/>
          <w:sz w:val="24"/>
          <w:szCs w:val="24"/>
        </w:rPr>
        <w:instrText xml:space="preserve"> SEQ Figure \* ARABIC </w:instrText>
      </w:r>
      <w:r w:rsidRPr="00B84F6A">
        <w:rPr>
          <w:b w:val="0"/>
          <w:bCs w:val="0"/>
          <w:i/>
          <w:iCs/>
          <w:color w:val="000000" w:themeColor="text1"/>
          <w:sz w:val="24"/>
          <w:szCs w:val="24"/>
        </w:rPr>
        <w:fldChar w:fldCharType="separate"/>
      </w:r>
      <w:r>
        <w:rPr>
          <w:b w:val="0"/>
          <w:bCs w:val="0"/>
          <w:i/>
          <w:iCs/>
          <w:noProof/>
          <w:color w:val="000000" w:themeColor="text1"/>
          <w:sz w:val="24"/>
          <w:szCs w:val="24"/>
        </w:rPr>
        <w:t>3</w:t>
      </w:r>
      <w:r w:rsidRPr="00B84F6A">
        <w:rPr>
          <w:b w:val="0"/>
          <w:bCs w:val="0"/>
          <w:i/>
          <w:iCs/>
          <w:color w:val="000000" w:themeColor="text1"/>
          <w:sz w:val="24"/>
          <w:szCs w:val="24"/>
        </w:rPr>
        <w:fldChar w:fldCharType="end"/>
      </w:r>
      <w:r w:rsidRPr="00B84F6A">
        <w:rPr>
          <w:b w:val="0"/>
          <w:bCs w:val="0"/>
          <w:i/>
          <w:iCs/>
          <w:color w:val="000000" w:themeColor="text1"/>
          <w:sz w:val="24"/>
          <w:szCs w:val="24"/>
        </w:rPr>
        <w:t>:Selected financial ratios for Tesla, 2021–2025</w:t>
      </w:r>
      <w:bookmarkEnd w:id="9"/>
    </w:p>
    <w:p w:rsidR="00AB3C74" w:rsidRPr="00B84F6A" w:rsidRDefault="00000000" w:rsidP="00B84F6A">
      <w:pPr>
        <w:jc w:val="center"/>
        <w:rPr>
          <w:i/>
          <w:iCs/>
          <w:sz w:val="22"/>
          <w:szCs w:val="20"/>
        </w:rPr>
      </w:pPr>
      <w:r w:rsidRPr="00B84F6A">
        <w:rPr>
          <w:i/>
          <w:iCs/>
          <w:sz w:val="22"/>
          <w:szCs w:val="20"/>
        </w:rPr>
        <w:t>Source: Author calculations using Tesla ratio analysis model and consolidated statements (Tesla, Inc., 2022; Tesla, Inc., 2023; Tesla, Inc., 2024; Tesla, Inc., 2025; Tesla, Inc., 2026).</w:t>
      </w:r>
    </w:p>
    <w:p w:rsidR="00AB3C74" w:rsidRPr="006978DC" w:rsidRDefault="00000000">
      <w:pPr>
        <w:pStyle w:val="Heading2"/>
        <w:rPr>
          <w:rFonts w:ascii="Arial" w:hAnsi="Arial" w:cs="Arial"/>
          <w:color w:val="000000" w:themeColor="text1"/>
          <w:sz w:val="28"/>
          <w:szCs w:val="28"/>
        </w:rPr>
      </w:pPr>
      <w:bookmarkStart w:id="10" w:name="_Toc222315092"/>
      <w:r w:rsidRPr="006978DC">
        <w:rPr>
          <w:rFonts w:ascii="Arial" w:hAnsi="Arial" w:cs="Arial"/>
          <w:color w:val="000000" w:themeColor="text1"/>
          <w:sz w:val="28"/>
          <w:szCs w:val="28"/>
        </w:rPr>
        <w:t>Synthesis: strengths, vulnerabilities and implications</w:t>
      </w:r>
      <w:bookmarkEnd w:id="10"/>
    </w:p>
    <w:p w:rsidR="006978DC" w:rsidRDefault="006978DC" w:rsidP="006978DC">
      <w:pPr>
        <w:jc w:val="both"/>
      </w:pPr>
      <w:r w:rsidRPr="006978DC">
        <w:t xml:space="preserve">The five-year financial health cheque produces three strengths. First, the scale and cash generation are high: net sales increased nearly by two times between 2021 and 2024 and operating cash flow remained more than $13bn between 2022 and 2025. Second, the balance sheet strength increased significantly due to the increase in the equity of the shareholders and the reduction in leverage ratios. Third, distress screening was also enhanced: the Altman Z-score increased to </w:t>
      </w:r>
      <w:r w:rsidRPr="006978DC">
        <w:lastRenderedPageBreak/>
        <w:t xml:space="preserve">above 4.0 in 2022 rather than 2.54 in 2021, which shows that the near-term solvency risk is low (Altman, 1968). </w:t>
      </w:r>
    </w:p>
    <w:p w:rsidR="006978DC" w:rsidRDefault="006978DC" w:rsidP="006978DC">
      <w:pPr>
        <w:jc w:val="both"/>
      </w:pPr>
      <w:r w:rsidRPr="006978DC">
        <w:t>Meanwhile, there are three weaknesses that should be actively managed. The compression of the margin seems here to be here to stay: operating margin dropped to 4.6% in 2025, which decreases profit buffers and exposes it to demand shocks. The intensity of asset is increasing: total assets have been growing with a steep increase in 2025 with ROA declining to 2.8 percent, suggesting poor asset productivity and increased barrier to new investment. Lastly, the working capital efficiency deteriorated: the cash conversion cycle shifted to -25.8 days in 2021 and to 13.0 days in 2025, which means that there is a greater amount of cash tied up in operations.</w:t>
      </w:r>
    </w:p>
    <w:p w:rsidR="006978DC" w:rsidRDefault="006978DC" w:rsidP="006978DC">
      <w:pPr>
        <w:jc w:val="both"/>
      </w:pPr>
      <w:r w:rsidRPr="006978DC">
        <w:t xml:space="preserve"> In general, the financial health of Tesla can be described as having high liquidity and solvency buffers and declining profitability and returns. Protecting cash generation, and rebuilding operating leverage by disciplined cost control, product and pricing strategy, and tight working capital management, and maintaining flexibility to make long-term critical investments are the strategic priorities (Ross et al., 2022; </w:t>
      </w:r>
      <w:proofErr w:type="spellStart"/>
      <w:r w:rsidRPr="006978DC">
        <w:t>Atrill</w:t>
      </w:r>
      <w:proofErr w:type="spellEnd"/>
      <w:r w:rsidRPr="006978DC">
        <w:t xml:space="preserve"> and McLaney, 2022).</w:t>
      </w:r>
    </w:p>
    <w:p w:rsidR="00AB3C74" w:rsidRPr="005159D2" w:rsidRDefault="00000000" w:rsidP="005159D2">
      <w:pPr>
        <w:pStyle w:val="Heading1"/>
        <w:rPr>
          <w:rFonts w:ascii="Arial" w:hAnsi="Arial" w:cs="Arial"/>
          <w:color w:val="000000" w:themeColor="text1"/>
          <w:szCs w:val="24"/>
        </w:rPr>
      </w:pPr>
      <w:bookmarkStart w:id="11" w:name="_Toc222315093"/>
      <w:r w:rsidRPr="005159D2">
        <w:rPr>
          <w:rFonts w:ascii="Arial" w:hAnsi="Arial" w:cs="Arial"/>
          <w:color w:val="000000" w:themeColor="text1"/>
          <w:sz w:val="32"/>
          <w:szCs w:val="32"/>
        </w:rPr>
        <w:t>Working Capital Management Analysis</w:t>
      </w:r>
      <w:bookmarkEnd w:id="11"/>
    </w:p>
    <w:p w:rsidR="006978DC" w:rsidRDefault="006978DC" w:rsidP="006978DC">
      <w:pPr>
        <w:pStyle w:val="Heading2"/>
        <w:rPr>
          <w:rFonts w:ascii="Arial" w:hAnsi="Arial" w:cs="Arial"/>
          <w:color w:val="000000" w:themeColor="text1"/>
          <w:sz w:val="28"/>
          <w:szCs w:val="28"/>
        </w:rPr>
      </w:pPr>
      <w:bookmarkStart w:id="12" w:name="_Toc222315094"/>
      <w:r w:rsidRPr="006978DC">
        <w:rPr>
          <w:rFonts w:ascii="Arial" w:hAnsi="Arial" w:cs="Arial"/>
          <w:color w:val="000000" w:themeColor="text1"/>
          <w:sz w:val="28"/>
          <w:szCs w:val="28"/>
        </w:rPr>
        <w:t>Cash operating cycle assessment</w:t>
      </w:r>
      <w:bookmarkEnd w:id="12"/>
      <w:r w:rsidRPr="006978DC">
        <w:rPr>
          <w:rFonts w:ascii="Arial" w:hAnsi="Arial" w:cs="Arial"/>
          <w:color w:val="000000" w:themeColor="text1"/>
          <w:sz w:val="28"/>
          <w:szCs w:val="28"/>
        </w:rPr>
        <w:t xml:space="preserve"> </w:t>
      </w:r>
    </w:p>
    <w:p w:rsidR="006978DC" w:rsidRPr="006978DC" w:rsidRDefault="006978DC" w:rsidP="006978DC">
      <w:pPr>
        <w:jc w:val="both"/>
      </w:pPr>
      <w:r w:rsidRPr="006978DC">
        <w:t>Cash conversion Cycle (CCC) = inventory days + receivable days</w:t>
      </w:r>
      <w:r>
        <w:t xml:space="preserve"> - </w:t>
      </w:r>
      <w:r w:rsidRPr="006978DC">
        <w:t>payable days. A small CCC is generally more liquidity enhancing and may aid profitability by cutting down the amount of money held up in operations (Deloof, 2003).</w:t>
      </w:r>
    </w:p>
    <w:p w:rsidR="00B84F6A" w:rsidRPr="00B84F6A" w:rsidRDefault="00B84F6A" w:rsidP="00B84F6A">
      <w:pPr>
        <w:pStyle w:val="Caption"/>
        <w:keepNext/>
        <w:rPr>
          <w:b w:val="0"/>
          <w:bCs w:val="0"/>
          <w:color w:val="000000" w:themeColor="text1"/>
          <w:sz w:val="24"/>
          <w:szCs w:val="24"/>
        </w:rPr>
      </w:pPr>
      <w:bookmarkStart w:id="13" w:name="_Toc222314500"/>
      <w:r w:rsidRPr="00B84F6A">
        <w:rPr>
          <w:b w:val="0"/>
          <w:bCs w:val="0"/>
          <w:color w:val="000000" w:themeColor="text1"/>
          <w:sz w:val="24"/>
          <w:szCs w:val="24"/>
        </w:rPr>
        <w:t xml:space="preserve">Table </w:t>
      </w:r>
      <w:r w:rsidRPr="00B84F6A">
        <w:rPr>
          <w:b w:val="0"/>
          <w:bCs w:val="0"/>
          <w:color w:val="000000" w:themeColor="text1"/>
          <w:sz w:val="24"/>
          <w:szCs w:val="24"/>
        </w:rPr>
        <w:fldChar w:fldCharType="begin"/>
      </w:r>
      <w:r w:rsidRPr="00B84F6A">
        <w:rPr>
          <w:b w:val="0"/>
          <w:bCs w:val="0"/>
          <w:color w:val="000000" w:themeColor="text1"/>
          <w:sz w:val="24"/>
          <w:szCs w:val="24"/>
        </w:rPr>
        <w:instrText xml:space="preserve"> SEQ Table \* ARABIC </w:instrText>
      </w:r>
      <w:r w:rsidRPr="00B84F6A">
        <w:rPr>
          <w:b w:val="0"/>
          <w:bCs w:val="0"/>
          <w:color w:val="000000" w:themeColor="text1"/>
          <w:sz w:val="24"/>
          <w:szCs w:val="24"/>
        </w:rPr>
        <w:fldChar w:fldCharType="separate"/>
      </w:r>
      <w:r>
        <w:rPr>
          <w:b w:val="0"/>
          <w:bCs w:val="0"/>
          <w:noProof/>
          <w:color w:val="000000" w:themeColor="text1"/>
          <w:sz w:val="24"/>
          <w:szCs w:val="24"/>
        </w:rPr>
        <w:t>2</w:t>
      </w:r>
      <w:r w:rsidRPr="00B84F6A">
        <w:rPr>
          <w:b w:val="0"/>
          <w:bCs w:val="0"/>
          <w:color w:val="000000" w:themeColor="text1"/>
          <w:sz w:val="24"/>
          <w:szCs w:val="24"/>
        </w:rPr>
        <w:fldChar w:fldCharType="end"/>
      </w:r>
      <w:r w:rsidRPr="00B84F6A">
        <w:rPr>
          <w:b w:val="0"/>
          <w:bCs w:val="0"/>
          <w:color w:val="000000" w:themeColor="text1"/>
          <w:sz w:val="24"/>
          <w:szCs w:val="24"/>
        </w:rPr>
        <w:t>:Cash operating cycle and cash conversion cycle</w:t>
      </w:r>
      <w:bookmarkEnd w:id="13"/>
    </w:p>
    <w:tbl>
      <w:tblPr>
        <w:tblStyle w:val="TableGrid"/>
        <w:tblW w:w="0" w:type="auto"/>
        <w:jc w:val="center"/>
        <w:tblLook w:val="04A0" w:firstRow="1" w:lastRow="0" w:firstColumn="1" w:lastColumn="0" w:noHBand="0" w:noVBand="1"/>
      </w:tblPr>
      <w:tblGrid>
        <w:gridCol w:w="1440"/>
        <w:gridCol w:w="1438"/>
        <w:gridCol w:w="1438"/>
        <w:gridCol w:w="1438"/>
        <w:gridCol w:w="1438"/>
        <w:gridCol w:w="1438"/>
      </w:tblGrid>
      <w:tr w:rsidR="00AB3C74">
        <w:trPr>
          <w:jc w:val="center"/>
        </w:trPr>
        <w:tc>
          <w:tcPr>
            <w:tcW w:w="1440" w:type="dxa"/>
          </w:tcPr>
          <w:p w:rsidR="00AB3C74" w:rsidRPr="00B84F6A" w:rsidRDefault="00000000">
            <w:pPr>
              <w:rPr>
                <w:b/>
                <w:bCs/>
              </w:rPr>
            </w:pPr>
            <w:r w:rsidRPr="00B84F6A">
              <w:rPr>
                <w:b/>
                <w:bCs/>
              </w:rPr>
              <w:t>Item</w:t>
            </w:r>
          </w:p>
        </w:tc>
        <w:tc>
          <w:tcPr>
            <w:tcW w:w="1440" w:type="dxa"/>
          </w:tcPr>
          <w:p w:rsidR="00AB3C74" w:rsidRPr="00B84F6A" w:rsidRDefault="00000000">
            <w:pPr>
              <w:rPr>
                <w:b/>
                <w:bCs/>
              </w:rPr>
            </w:pPr>
            <w:r w:rsidRPr="00B84F6A">
              <w:rPr>
                <w:b/>
                <w:bCs/>
              </w:rPr>
              <w:t>2021</w:t>
            </w:r>
          </w:p>
        </w:tc>
        <w:tc>
          <w:tcPr>
            <w:tcW w:w="1440" w:type="dxa"/>
          </w:tcPr>
          <w:p w:rsidR="00AB3C74" w:rsidRPr="00B84F6A" w:rsidRDefault="00000000">
            <w:pPr>
              <w:rPr>
                <w:b/>
                <w:bCs/>
              </w:rPr>
            </w:pPr>
            <w:r w:rsidRPr="00B84F6A">
              <w:rPr>
                <w:b/>
                <w:bCs/>
              </w:rPr>
              <w:t>2022</w:t>
            </w:r>
          </w:p>
        </w:tc>
        <w:tc>
          <w:tcPr>
            <w:tcW w:w="1440" w:type="dxa"/>
          </w:tcPr>
          <w:p w:rsidR="00AB3C74" w:rsidRPr="00B84F6A" w:rsidRDefault="00000000">
            <w:pPr>
              <w:rPr>
                <w:b/>
                <w:bCs/>
              </w:rPr>
            </w:pPr>
            <w:r w:rsidRPr="00B84F6A">
              <w:rPr>
                <w:b/>
                <w:bCs/>
              </w:rPr>
              <w:t>2023</w:t>
            </w:r>
          </w:p>
        </w:tc>
        <w:tc>
          <w:tcPr>
            <w:tcW w:w="1440" w:type="dxa"/>
          </w:tcPr>
          <w:p w:rsidR="00AB3C74" w:rsidRPr="00B84F6A" w:rsidRDefault="00000000">
            <w:pPr>
              <w:rPr>
                <w:b/>
                <w:bCs/>
              </w:rPr>
            </w:pPr>
            <w:r w:rsidRPr="00B84F6A">
              <w:rPr>
                <w:b/>
                <w:bCs/>
              </w:rPr>
              <w:t>2024</w:t>
            </w:r>
          </w:p>
        </w:tc>
        <w:tc>
          <w:tcPr>
            <w:tcW w:w="1440" w:type="dxa"/>
          </w:tcPr>
          <w:p w:rsidR="00AB3C74" w:rsidRPr="00B84F6A" w:rsidRDefault="00000000">
            <w:pPr>
              <w:rPr>
                <w:b/>
                <w:bCs/>
              </w:rPr>
            </w:pPr>
            <w:r w:rsidRPr="00B84F6A">
              <w:rPr>
                <w:b/>
                <w:bCs/>
              </w:rPr>
              <w:t>2025</w:t>
            </w:r>
          </w:p>
        </w:tc>
      </w:tr>
      <w:tr w:rsidR="00AB3C74">
        <w:trPr>
          <w:jc w:val="center"/>
        </w:trPr>
        <w:tc>
          <w:tcPr>
            <w:tcW w:w="1440" w:type="dxa"/>
          </w:tcPr>
          <w:p w:rsidR="00AB3C74" w:rsidRDefault="00000000">
            <w:r>
              <w:t>Inventory days</w:t>
            </w:r>
          </w:p>
        </w:tc>
        <w:tc>
          <w:tcPr>
            <w:tcW w:w="1440" w:type="dxa"/>
          </w:tcPr>
          <w:p w:rsidR="00AB3C74" w:rsidRDefault="00000000">
            <w:r>
              <w:t>52.25</w:t>
            </w:r>
          </w:p>
        </w:tc>
        <w:tc>
          <w:tcPr>
            <w:tcW w:w="1440" w:type="dxa"/>
          </w:tcPr>
          <w:p w:rsidR="00AB3C74" w:rsidRDefault="00000000">
            <w:r>
              <w:t>77.32</w:t>
            </w:r>
          </w:p>
        </w:tc>
        <w:tc>
          <w:tcPr>
            <w:tcW w:w="1440" w:type="dxa"/>
          </w:tcPr>
          <w:p w:rsidR="00AB3C74" w:rsidRDefault="00000000">
            <w:r>
              <w:t>62.87</w:t>
            </w:r>
          </w:p>
        </w:tc>
        <w:tc>
          <w:tcPr>
            <w:tcW w:w="1440" w:type="dxa"/>
          </w:tcPr>
          <w:p w:rsidR="00AB3C74" w:rsidRDefault="00000000">
            <w:r>
              <w:t>54.66</w:t>
            </w:r>
          </w:p>
        </w:tc>
        <w:tc>
          <w:tcPr>
            <w:tcW w:w="1440" w:type="dxa"/>
          </w:tcPr>
          <w:p w:rsidR="00AB3C74" w:rsidRDefault="00000000">
            <w:r>
              <w:t>58.19</w:t>
            </w:r>
          </w:p>
        </w:tc>
      </w:tr>
      <w:tr w:rsidR="00AB3C74">
        <w:trPr>
          <w:jc w:val="center"/>
        </w:trPr>
        <w:tc>
          <w:tcPr>
            <w:tcW w:w="1440" w:type="dxa"/>
          </w:tcPr>
          <w:p w:rsidR="00AB3C74" w:rsidRDefault="00000000">
            <w:r>
              <w:lastRenderedPageBreak/>
              <w:t>Receivable days</w:t>
            </w:r>
          </w:p>
        </w:tc>
        <w:tc>
          <w:tcPr>
            <w:tcW w:w="1440" w:type="dxa"/>
          </w:tcPr>
          <w:p w:rsidR="00AB3C74" w:rsidRDefault="00000000">
            <w:r>
              <w:t>12.97</w:t>
            </w:r>
          </w:p>
        </w:tc>
        <w:tc>
          <w:tcPr>
            <w:tcW w:w="1440" w:type="dxa"/>
          </w:tcPr>
          <w:p w:rsidR="00AB3C74" w:rsidRDefault="00000000">
            <w:r>
              <w:t>13.23</w:t>
            </w:r>
          </w:p>
        </w:tc>
        <w:tc>
          <w:tcPr>
            <w:tcW w:w="1440" w:type="dxa"/>
          </w:tcPr>
          <w:p w:rsidR="00AB3C74" w:rsidRDefault="00000000">
            <w:r>
              <w:t>13.23</w:t>
            </w:r>
          </w:p>
        </w:tc>
        <w:tc>
          <w:tcPr>
            <w:tcW w:w="1440" w:type="dxa"/>
          </w:tcPr>
          <w:p w:rsidR="00AB3C74" w:rsidRDefault="00000000">
            <w:r>
              <w:t>16.51</w:t>
            </w:r>
          </w:p>
        </w:tc>
        <w:tc>
          <w:tcPr>
            <w:tcW w:w="1440" w:type="dxa"/>
          </w:tcPr>
          <w:p w:rsidR="00AB3C74" w:rsidRDefault="00000000">
            <w:r>
              <w:t>17.61</w:t>
            </w:r>
          </w:p>
        </w:tc>
      </w:tr>
      <w:tr w:rsidR="00AB3C74">
        <w:trPr>
          <w:jc w:val="center"/>
        </w:trPr>
        <w:tc>
          <w:tcPr>
            <w:tcW w:w="1440" w:type="dxa"/>
          </w:tcPr>
          <w:p w:rsidR="00AB3C74" w:rsidRDefault="00000000">
            <w:r>
              <w:t>Payable days</w:t>
            </w:r>
          </w:p>
        </w:tc>
        <w:tc>
          <w:tcPr>
            <w:tcW w:w="1440" w:type="dxa"/>
          </w:tcPr>
          <w:p w:rsidR="00AB3C74" w:rsidRDefault="00000000">
            <w:r>
              <w:t>90.98</w:t>
            </w:r>
          </w:p>
        </w:tc>
        <w:tc>
          <w:tcPr>
            <w:tcW w:w="1440" w:type="dxa"/>
          </w:tcPr>
          <w:p w:rsidR="00AB3C74" w:rsidRDefault="00000000">
            <w:r>
              <w:t>91.87</w:t>
            </w:r>
          </w:p>
        </w:tc>
        <w:tc>
          <w:tcPr>
            <w:tcW w:w="1440" w:type="dxa"/>
          </w:tcPr>
          <w:p w:rsidR="00AB3C74" w:rsidRDefault="00000000">
            <w:r>
              <w:t>66.58</w:t>
            </w:r>
          </w:p>
        </w:tc>
        <w:tc>
          <w:tcPr>
            <w:tcW w:w="1440" w:type="dxa"/>
          </w:tcPr>
          <w:p w:rsidR="00AB3C74" w:rsidRDefault="00000000">
            <w:r>
              <w:t>56.74</w:t>
            </w:r>
          </w:p>
        </w:tc>
        <w:tc>
          <w:tcPr>
            <w:tcW w:w="1440" w:type="dxa"/>
          </w:tcPr>
          <w:p w:rsidR="00AB3C74" w:rsidRDefault="00000000">
            <w:r>
              <w:t>62.78</w:t>
            </w:r>
          </w:p>
        </w:tc>
      </w:tr>
      <w:tr w:rsidR="00AB3C74">
        <w:trPr>
          <w:jc w:val="center"/>
        </w:trPr>
        <w:tc>
          <w:tcPr>
            <w:tcW w:w="1440" w:type="dxa"/>
          </w:tcPr>
          <w:p w:rsidR="00AB3C74" w:rsidRDefault="00000000">
            <w:r>
              <w:t>Cash conversion cycle (days)</w:t>
            </w:r>
          </w:p>
        </w:tc>
        <w:tc>
          <w:tcPr>
            <w:tcW w:w="1440" w:type="dxa"/>
          </w:tcPr>
          <w:p w:rsidR="00AB3C74" w:rsidRDefault="00000000">
            <w:r>
              <w:t>-25.76</w:t>
            </w:r>
          </w:p>
        </w:tc>
        <w:tc>
          <w:tcPr>
            <w:tcW w:w="1440" w:type="dxa"/>
          </w:tcPr>
          <w:p w:rsidR="00AB3C74" w:rsidRDefault="00000000">
            <w:r>
              <w:t>-1.32</w:t>
            </w:r>
          </w:p>
        </w:tc>
        <w:tc>
          <w:tcPr>
            <w:tcW w:w="1440" w:type="dxa"/>
          </w:tcPr>
          <w:p w:rsidR="00AB3C74" w:rsidRDefault="00000000">
            <w:r>
              <w:t>9.52</w:t>
            </w:r>
          </w:p>
        </w:tc>
        <w:tc>
          <w:tcPr>
            <w:tcW w:w="1440" w:type="dxa"/>
          </w:tcPr>
          <w:p w:rsidR="00AB3C74" w:rsidRDefault="00000000">
            <w:r>
              <w:t>14.43</w:t>
            </w:r>
          </w:p>
        </w:tc>
        <w:tc>
          <w:tcPr>
            <w:tcW w:w="1440" w:type="dxa"/>
          </w:tcPr>
          <w:p w:rsidR="00AB3C74" w:rsidRDefault="00000000">
            <w:r>
              <w:t>13.02</w:t>
            </w:r>
          </w:p>
        </w:tc>
      </w:tr>
    </w:tbl>
    <w:p w:rsidR="00B84F6A" w:rsidRDefault="00B84F6A" w:rsidP="006978DC">
      <w:pPr>
        <w:jc w:val="both"/>
        <w:rPr>
          <w:i/>
        </w:rPr>
      </w:pPr>
    </w:p>
    <w:p w:rsidR="0087161C" w:rsidRDefault="006978DC" w:rsidP="006978DC">
      <w:pPr>
        <w:jc w:val="both"/>
      </w:pPr>
      <w:r w:rsidRPr="006978DC">
        <w:t xml:space="preserve">The CCC of Tesla changed to -25.8 days (2021) to -1.3 days (2022) and became positive in 2023-2025, where it ended at 13.0 days in 2025. The operating cycle in 2021 was successfully supplier-financed, but in the subsequent years Tesla had to inject cash into the business to recover after approximately two weeks. This change decreases the liquidity headroom and makes the company susceptible to changes in profitability. </w:t>
      </w:r>
    </w:p>
    <w:p w:rsidR="0087161C" w:rsidRDefault="006978DC" w:rsidP="006978DC">
      <w:pPr>
        <w:jc w:val="both"/>
      </w:pPr>
      <w:r w:rsidRPr="006978DC">
        <w:t xml:space="preserve">Payables are the main driver. In 2021-2022, payable days had fallen to 66.6 days, prior to growing to 62.8 days in 2024 and 2025 respectively. Reduced payable times </w:t>
      </w:r>
      <w:r w:rsidR="0087161C" w:rsidRPr="006978DC">
        <w:t>minimize</w:t>
      </w:r>
      <w:r w:rsidRPr="006978DC">
        <w:t xml:space="preserve"> trade-credit financing and might compel more usage of internal cash or outside facilities (</w:t>
      </w:r>
      <w:proofErr w:type="spellStart"/>
      <w:r w:rsidRPr="006978DC">
        <w:t>Atrill</w:t>
      </w:r>
      <w:proofErr w:type="spellEnd"/>
      <w:r w:rsidRPr="006978DC">
        <w:t xml:space="preserve"> and McLaney, 2022). </w:t>
      </w:r>
    </w:p>
    <w:p w:rsidR="0087161C" w:rsidRDefault="006978DC" w:rsidP="006978DC">
      <w:pPr>
        <w:jc w:val="both"/>
      </w:pPr>
      <w:r w:rsidRPr="006978DC">
        <w:t>This is economically significant since a loss of financing the suppliers must either be substituted by either increased cash balances, increased short-term borrowing, or less investment. In cases where the operating margins are narrow, the replacement capacity is weakened. Thus, the shift towards a positive CCC must be viewed in the context of the overall performance of Tesla: working capital discipline gains greater significance when profit-based buffers are lower.</w:t>
      </w:r>
    </w:p>
    <w:p w:rsidR="00AB3C74" w:rsidRDefault="006978DC" w:rsidP="006978DC">
      <w:pPr>
        <w:jc w:val="both"/>
      </w:pPr>
      <w:r w:rsidRPr="006978DC">
        <w:t xml:space="preserve">Inventory days were at the highest of 77.3 days in 2022 and then it improved to 62.9 days in 2023 and was at 55-58 days in 2024-2025. Receivable days were minimal and slightly increased compared to 13.0 days (2021) to 17.6 days (2025), which is a sign of slower collections. There is evidence that links longer inventory </w:t>
      </w:r>
      <w:r w:rsidRPr="006978DC">
        <w:lastRenderedPageBreak/>
        <w:t>and receivable turnover with the reduction in profitability by increasing financing requirements and operational slack (Deloof, 2003; Lazaridis and Tryfonidis, 2006). Results of the previous empirical studies generally indicate that lower cash conversion cycles and disciplined working capital investment is correlated with increased profitability, but only to an economically relevant optimum (Garcia-Teruel and Martinez-Solano, 2007; Banos-Caballero et al., 2014).</w:t>
      </w:r>
    </w:p>
    <w:p w:rsidR="00B84F6A" w:rsidRDefault="00000000" w:rsidP="00B84F6A">
      <w:pPr>
        <w:keepNext/>
      </w:pPr>
      <w:r>
        <w:rPr>
          <w:noProof/>
        </w:rPr>
        <w:drawing>
          <wp:inline distT="0" distB="0" distL="0" distR="0">
            <wp:extent cx="5668955" cy="205740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c_days.png"/>
                    <pic:cNvPicPr/>
                  </pic:nvPicPr>
                  <pic:blipFill>
                    <a:blip r:embed="rId11"/>
                    <a:stretch>
                      <a:fillRect/>
                    </a:stretch>
                  </pic:blipFill>
                  <pic:spPr>
                    <a:xfrm>
                      <a:off x="0" y="0"/>
                      <a:ext cx="5677588" cy="2060533"/>
                    </a:xfrm>
                    <a:prstGeom prst="rect">
                      <a:avLst/>
                    </a:prstGeom>
                  </pic:spPr>
                </pic:pic>
              </a:graphicData>
            </a:graphic>
          </wp:inline>
        </w:drawing>
      </w:r>
    </w:p>
    <w:p w:rsidR="00AB3C74" w:rsidRPr="00B84F6A" w:rsidRDefault="00B84F6A" w:rsidP="00B84F6A">
      <w:pPr>
        <w:pStyle w:val="Caption"/>
        <w:jc w:val="center"/>
        <w:rPr>
          <w:b w:val="0"/>
          <w:bCs w:val="0"/>
          <w:color w:val="000000" w:themeColor="text1"/>
          <w:sz w:val="24"/>
          <w:szCs w:val="24"/>
        </w:rPr>
      </w:pPr>
      <w:bookmarkStart w:id="14" w:name="_Toc222314555"/>
      <w:r w:rsidRPr="00B84F6A">
        <w:rPr>
          <w:b w:val="0"/>
          <w:bCs w:val="0"/>
          <w:color w:val="000000" w:themeColor="text1"/>
          <w:sz w:val="24"/>
          <w:szCs w:val="24"/>
        </w:rPr>
        <w:t xml:space="preserve">Figure </w:t>
      </w:r>
      <w:r w:rsidRPr="00B84F6A">
        <w:rPr>
          <w:b w:val="0"/>
          <w:bCs w:val="0"/>
          <w:color w:val="000000" w:themeColor="text1"/>
          <w:sz w:val="24"/>
          <w:szCs w:val="24"/>
        </w:rPr>
        <w:fldChar w:fldCharType="begin"/>
      </w:r>
      <w:r w:rsidRPr="00B84F6A">
        <w:rPr>
          <w:b w:val="0"/>
          <w:bCs w:val="0"/>
          <w:color w:val="000000" w:themeColor="text1"/>
          <w:sz w:val="24"/>
          <w:szCs w:val="24"/>
        </w:rPr>
        <w:instrText xml:space="preserve"> SEQ Figure \* ARABIC </w:instrText>
      </w:r>
      <w:r w:rsidRPr="00B84F6A">
        <w:rPr>
          <w:b w:val="0"/>
          <w:bCs w:val="0"/>
          <w:color w:val="000000" w:themeColor="text1"/>
          <w:sz w:val="24"/>
          <w:szCs w:val="24"/>
        </w:rPr>
        <w:fldChar w:fldCharType="separate"/>
      </w:r>
      <w:r w:rsidRPr="00B84F6A">
        <w:rPr>
          <w:b w:val="0"/>
          <w:bCs w:val="0"/>
          <w:noProof/>
          <w:color w:val="000000" w:themeColor="text1"/>
          <w:sz w:val="24"/>
          <w:szCs w:val="24"/>
        </w:rPr>
        <w:t>4</w:t>
      </w:r>
      <w:r w:rsidRPr="00B84F6A">
        <w:rPr>
          <w:b w:val="0"/>
          <w:bCs w:val="0"/>
          <w:color w:val="000000" w:themeColor="text1"/>
          <w:sz w:val="24"/>
          <w:szCs w:val="24"/>
        </w:rPr>
        <w:fldChar w:fldCharType="end"/>
      </w:r>
      <w:r w:rsidRPr="00B84F6A">
        <w:rPr>
          <w:b w:val="0"/>
          <w:bCs w:val="0"/>
          <w:color w:val="000000" w:themeColor="text1"/>
          <w:sz w:val="24"/>
          <w:szCs w:val="24"/>
        </w:rPr>
        <w:t>:Working capital days</w:t>
      </w:r>
      <w:bookmarkEnd w:id="14"/>
    </w:p>
    <w:p w:rsidR="00AB3C74" w:rsidRPr="00B84F6A" w:rsidRDefault="00000000" w:rsidP="00B84F6A">
      <w:pPr>
        <w:jc w:val="center"/>
        <w:rPr>
          <w:i/>
          <w:iCs/>
          <w:sz w:val="22"/>
          <w:szCs w:val="20"/>
        </w:rPr>
      </w:pPr>
      <w:r w:rsidRPr="00B84F6A">
        <w:rPr>
          <w:i/>
          <w:iCs/>
          <w:sz w:val="22"/>
          <w:szCs w:val="20"/>
        </w:rPr>
        <w:t>Source: Author calculations using ratio analysis model (Tesla, Inc., 2022; Tesla, Inc., 2023; Tesla, Inc., 2024; Tesla, Inc., 2025; Tesla, Inc., 2026).</w:t>
      </w:r>
    </w:p>
    <w:p w:rsidR="00AB3C74" w:rsidRPr="009839B9" w:rsidRDefault="00000000">
      <w:pPr>
        <w:pStyle w:val="Heading2"/>
        <w:rPr>
          <w:rFonts w:ascii="Arial" w:hAnsi="Arial" w:cs="Arial"/>
          <w:color w:val="000000" w:themeColor="text1"/>
          <w:sz w:val="28"/>
          <w:szCs w:val="28"/>
        </w:rPr>
      </w:pPr>
      <w:bookmarkStart w:id="15" w:name="_Toc222315095"/>
      <w:r w:rsidRPr="009839B9">
        <w:rPr>
          <w:rFonts w:ascii="Arial" w:hAnsi="Arial" w:cs="Arial"/>
          <w:color w:val="000000" w:themeColor="text1"/>
          <w:sz w:val="28"/>
          <w:szCs w:val="28"/>
        </w:rPr>
        <w:t>Working capital reforms to improve liquidity</w:t>
      </w:r>
      <w:bookmarkEnd w:id="15"/>
    </w:p>
    <w:p w:rsidR="009839B9" w:rsidRDefault="009839B9" w:rsidP="00FB1477">
      <w:pPr>
        <w:jc w:val="both"/>
      </w:pPr>
      <w:r w:rsidRPr="009839B9">
        <w:t xml:space="preserve">Tesla should reduce the cycle without compromising on supply resiliency or customer relationships with CCC now positive. Improvements in inventory control and systematic management of payables must be of priority in reforms and should be backed up with specific receivables control measures. </w:t>
      </w:r>
    </w:p>
    <w:p w:rsidR="009839B9" w:rsidRDefault="009839B9" w:rsidP="00FB1477">
      <w:pPr>
        <w:jc w:val="both"/>
      </w:pPr>
      <w:r>
        <w:t>R</w:t>
      </w:r>
      <w:r w:rsidRPr="009839B9">
        <w:t xml:space="preserve">efine sales and operation planning to prevent the accumulation of finished-goods at the times of demand fluctuations, and divide stock goals by urgency and lead-time. To lower wide safety-stock policy, there is a greater need to have visibility of supplier lead-times and logistics performance. According to PwC, disruption tends to drive companies toward increased inventories, and that the visibility and agility are the key to lowering working capital once again (PwC, 2022). </w:t>
      </w:r>
    </w:p>
    <w:p w:rsidR="009839B9" w:rsidRDefault="009839B9" w:rsidP="00FB1477">
      <w:pPr>
        <w:jc w:val="both"/>
      </w:pPr>
      <w:r w:rsidRPr="009839B9">
        <w:lastRenderedPageBreak/>
        <w:t xml:space="preserve">Since the current receivable days are already low, the objective is stability and reversing of the trend and not tightening aggressively. To determine concentration risk, a workable KPI is to track overdue receivables as a ratio of total receivables rather than average days. </w:t>
      </w:r>
    </w:p>
    <w:p w:rsidR="009839B9" w:rsidRDefault="00FB1477" w:rsidP="00FB1477">
      <w:pPr>
        <w:jc w:val="both"/>
      </w:pPr>
      <w:r>
        <w:t>T</w:t>
      </w:r>
      <w:r w:rsidR="009839B9" w:rsidRPr="009839B9">
        <w:t xml:space="preserve">he most evident liquidity drag is the decrease in the payable days. Where possible Tesla should renegotiate terms based on supplier segmentation and volume commitments, but should not cause harm to smaller suppliers. Supply chain finance would enable Tesla to stretch its payable days and enable its suppliers to receive earlier payment at a financier, enhancing CCC without pushing stress further down the chain (PwC, 2022). This trend is in line with the supply chain finance mechanisms in which suppler financing terms are enhanced with buyer credit quality without significantly deteriorating the liquidity stance of the buyer (Gelsomino et al., 2016). </w:t>
      </w:r>
    </w:p>
    <w:p w:rsidR="00AB3C74" w:rsidRPr="00FB1477" w:rsidRDefault="00000000">
      <w:pPr>
        <w:pStyle w:val="Heading2"/>
        <w:rPr>
          <w:rFonts w:ascii="Arial" w:hAnsi="Arial" w:cs="Arial"/>
          <w:color w:val="000000" w:themeColor="text1"/>
          <w:sz w:val="28"/>
          <w:szCs w:val="28"/>
        </w:rPr>
      </w:pPr>
      <w:bookmarkStart w:id="16" w:name="_Toc222315096"/>
      <w:r w:rsidRPr="00FB1477">
        <w:rPr>
          <w:rFonts w:ascii="Arial" w:hAnsi="Arial" w:cs="Arial"/>
          <w:color w:val="000000" w:themeColor="text1"/>
          <w:sz w:val="28"/>
          <w:szCs w:val="28"/>
        </w:rPr>
        <w:t>Short-term versus long-term financing options</w:t>
      </w:r>
      <w:bookmarkEnd w:id="16"/>
    </w:p>
    <w:p w:rsidR="00FB1477" w:rsidRDefault="00FB1477" w:rsidP="00FB1477">
      <w:pPr>
        <w:jc w:val="both"/>
      </w:pPr>
      <w:r w:rsidRPr="00FB1477">
        <w:t>The improvement in working capital is not quick and thus the financing must be in the same maturity. Short-term facilities provide better fit in the case of temporary swings; long-term capital helps to minimize rollover risk in more long-lasting needs (</w:t>
      </w:r>
      <w:proofErr w:type="spellStart"/>
      <w:r w:rsidRPr="00FB1477">
        <w:t>Atrill</w:t>
      </w:r>
      <w:proofErr w:type="spellEnd"/>
      <w:r w:rsidRPr="00FB1477">
        <w:t xml:space="preserve"> and McLaney, 2022). </w:t>
      </w:r>
    </w:p>
    <w:p w:rsidR="00FB1477" w:rsidRDefault="00FB1477" w:rsidP="00FB1477">
      <w:pPr>
        <w:jc w:val="both"/>
      </w:pPr>
      <w:r w:rsidRPr="00FB1477">
        <w:t>Short term financing (revolving credit, overdrafts and commercial paper) gives flexibility though Tesla is vulnerable to refinancing and interest rate risk. Stability comes with long-term financing (term loans or bonds) but may be more expensive and less flexible due to covenants. The preferred approach is a moderate policy to ensure committed short-term facilities as a buffer of liquidity, and to use the funding of any structurally good operating cycle in part with longer-dated capital to ensure resiliency during margin compression. On the whole, Tesla experienced a change of the operating cycle either to the supplier-funded or cash-investing between 2021 and 2025. Prevention of inventory accumulations, the reestablishment of supplier-financing benefits, which is ethically correct (including supply chain finance) and the stabilization of collections (with maturity-matched financing) should strengthen liquidity (Deloof, 2003; Lazaridis and Tryfonidis, 2006).</w:t>
      </w:r>
    </w:p>
    <w:p w:rsidR="00AB3C74" w:rsidRDefault="00000000" w:rsidP="00FB1477">
      <w:pPr>
        <w:pStyle w:val="Heading1"/>
      </w:pPr>
      <w:bookmarkStart w:id="17" w:name="_Toc222315097"/>
      <w:r w:rsidRPr="00FB1477">
        <w:rPr>
          <w:rFonts w:ascii="Arial" w:hAnsi="Arial" w:cs="Arial"/>
          <w:color w:val="000000" w:themeColor="text1"/>
          <w:sz w:val="32"/>
          <w:szCs w:val="32"/>
        </w:rPr>
        <w:lastRenderedPageBreak/>
        <w:t>Strategic Financial Restructuring Plan</w:t>
      </w:r>
      <w:bookmarkEnd w:id="17"/>
    </w:p>
    <w:p w:rsidR="00AB3C74" w:rsidRPr="00C41B93" w:rsidRDefault="00000000">
      <w:pPr>
        <w:pStyle w:val="Heading2"/>
        <w:rPr>
          <w:rFonts w:ascii="Arial" w:hAnsi="Arial" w:cs="Arial"/>
          <w:color w:val="000000" w:themeColor="text1"/>
          <w:sz w:val="28"/>
          <w:szCs w:val="28"/>
        </w:rPr>
      </w:pPr>
      <w:bookmarkStart w:id="18" w:name="_Toc222315098"/>
      <w:r w:rsidRPr="00C41B93">
        <w:rPr>
          <w:rFonts w:ascii="Arial" w:hAnsi="Arial" w:cs="Arial"/>
          <w:color w:val="000000" w:themeColor="text1"/>
          <w:sz w:val="28"/>
          <w:szCs w:val="28"/>
        </w:rPr>
        <w:t>Recommended financial restructuring options</w:t>
      </w:r>
      <w:bookmarkEnd w:id="18"/>
    </w:p>
    <w:p w:rsidR="00C41B93" w:rsidRDefault="00C41B93" w:rsidP="00C41B93">
      <w:pPr>
        <w:jc w:val="both"/>
      </w:pPr>
      <w:r w:rsidRPr="00C41B93">
        <w:t xml:space="preserve">The financial restructuring of Tesla is due to the drop in the profit margin, the price competition in the EV market, and the need to ensure long-term liquidity and solvency. Financial restructuring is a process that includes adjusting the asset base, capital structure, and financing method of a company that aims to minimize financial limits and enhance operational efficiency (Damodaran, 2015). Even though Tesla is not in a dire need of financial help, it is necessary to restructure itself proactively to enhance the efficiency of its capital and regain the trust of shareholders. Three significant restructuring alternatives are suggested: selective divestiture, strategic alliances and better funding discipline. </w:t>
      </w:r>
    </w:p>
    <w:p w:rsidR="00C41B93" w:rsidRDefault="00C41B93" w:rsidP="00C41B93">
      <w:pPr>
        <w:jc w:val="both"/>
      </w:pPr>
      <w:r w:rsidRPr="00C41B93">
        <w:t xml:space="preserve">First, rationalization of portfolio and selective divestiture must be sought after to unlock cash and enhance investment capital returns. The best use of divestiture is to sell assets that are performing poorly and reinvest the money in better-paying areas (Hitt, Ireland and </w:t>
      </w:r>
      <w:proofErr w:type="spellStart"/>
      <w:r w:rsidRPr="00C41B93">
        <w:t>Hoskisson</w:t>
      </w:r>
      <w:proofErr w:type="spellEnd"/>
      <w:r w:rsidRPr="00C41B93">
        <w:t>, 2020). Tesla needs to screen divestiture candidates based on objective screening criteria like strategic relevance, cash flow potential, and opportunity cost of invested capital. The cash flow should be used in a systematic sequence: reinforcement of liquidity cushions, repayment of costly debts, and re-investment in the areas of innovation that offer high returns like battery technology and automation.</w:t>
      </w:r>
    </w:p>
    <w:p w:rsidR="00C41B93" w:rsidRDefault="00C41B93" w:rsidP="00C41B93">
      <w:pPr>
        <w:jc w:val="both"/>
      </w:pPr>
      <w:r w:rsidRPr="00C41B93">
        <w:t xml:space="preserve"> Second, Tesla ought to increase strategic alliances and joint ventures to lessen the intensity of capital and implementation risk. Joint ventures enable companies to share the capital expenditure needs, local expertise, and speed up entry into the market (Gaughan, 2017). In the case of Tesla, the partnerships will be especially effective when it comes to the investments that are infrastructure-heavy and the process of localization in the unpredictable regulatory conditions. Governance, KPIs, and exit options should be well established in partnership contracts in order to have strategic control and financial accountability. </w:t>
      </w:r>
    </w:p>
    <w:p w:rsidR="00AB3C74" w:rsidRDefault="00C41B93" w:rsidP="00C41B93">
      <w:pPr>
        <w:jc w:val="both"/>
      </w:pPr>
      <w:r w:rsidRPr="00C41B93">
        <w:lastRenderedPageBreak/>
        <w:t>Third, Tesla needs to enhance investment plan and capital distribution discipline. The maturity of debt must be correlated with the life cycles of assets to minimize the refinancing risk (Ross et al., 2022). The extra debt must be devoted to value-generating projects only, as over leverage adds to distress expenses (Brealey, Myers and Allen, 2020). The risk-adjusted hurdle rates, post-audits, and scenario analysis are the methods Tesla should use to employ stricter investment controls. Good governance decreases the incentive of overinvestment and enhances the value of the shareholder in the long term (Jensen, 1986).</w:t>
      </w:r>
    </w:p>
    <w:p w:rsidR="00AB3C74" w:rsidRPr="00C41B93" w:rsidRDefault="00000000">
      <w:pPr>
        <w:pStyle w:val="Heading2"/>
        <w:rPr>
          <w:rFonts w:ascii="Arial" w:hAnsi="Arial" w:cs="Arial"/>
          <w:color w:val="000000" w:themeColor="text1"/>
          <w:sz w:val="28"/>
          <w:szCs w:val="28"/>
        </w:rPr>
      </w:pPr>
      <w:bookmarkStart w:id="19" w:name="_Toc222315099"/>
      <w:r w:rsidRPr="00C41B93">
        <w:rPr>
          <w:rFonts w:ascii="Arial" w:hAnsi="Arial" w:cs="Arial"/>
          <w:color w:val="000000" w:themeColor="text1"/>
          <w:sz w:val="28"/>
          <w:szCs w:val="28"/>
        </w:rPr>
        <w:t>Impact on shareholder value, debt structure, and operational flexibility</w:t>
      </w:r>
      <w:bookmarkEnd w:id="19"/>
    </w:p>
    <w:p w:rsidR="001C083D" w:rsidRDefault="001C083D" w:rsidP="001C083D">
      <w:pPr>
        <w:jc w:val="both"/>
      </w:pPr>
      <w:r w:rsidRPr="001C083D">
        <w:t>Reorganization of finances will affect the shareholder value, the debt structure and the flexibility of operations in Tesla, which are key in determining financial sustainability in the long run. Because Tesla is a company with a very capital-intensive and competitive environment, the restructuring should enhance profitability and strategic resilience. The primary benefits that shareholder value is likely to experience are an enhanced generation of free cash flow and a decreased risk exposure.</w:t>
      </w:r>
    </w:p>
    <w:p w:rsidR="001C083D" w:rsidRDefault="001C083D" w:rsidP="001C083D">
      <w:pPr>
        <w:jc w:val="both"/>
      </w:pPr>
      <w:r w:rsidRPr="001C083D">
        <w:t xml:space="preserve"> Rationalization of the portfolio and divestiture may enhance the ratio of the invested capital by getting rid of the non-performing assets and lowering the burden of fixed costs. Proceeds of divestiture also enhance liquidity, which minimizes financial uncertainty and boosts investors’ confidence. The studies indicate that selling non-core assets may frequently increase profitability and the overall performance of the corporation, as it enables the management to concentrate on core business (Hitt, Ireland and </w:t>
      </w:r>
      <w:proofErr w:type="spellStart"/>
      <w:r w:rsidRPr="001C083D">
        <w:t>Hoskisson</w:t>
      </w:r>
      <w:proofErr w:type="spellEnd"/>
      <w:r w:rsidRPr="001C083D">
        <w:t xml:space="preserve">, 2020). Also, the joint venture and partnerships lower the sum of money needed to spend on capital expenditure and distribute the risk of downside, enhancing the risk-adjusted returns (Gaughan, 2017). Increased capital allocation discipline also helps in enhancing shareholder value as it eliminates projects that are value-destructive and enhances the quality of investments. Jensen (1986) emphasizes the fact that </w:t>
      </w:r>
      <w:r w:rsidRPr="001C083D">
        <w:lastRenderedPageBreak/>
        <w:t xml:space="preserve">good governance will decrease the agency issues and will ensure inefficient reinvestment of free cash flow. </w:t>
      </w:r>
    </w:p>
    <w:p w:rsidR="001C083D" w:rsidRDefault="001C083D" w:rsidP="001C083D">
      <w:pPr>
        <w:jc w:val="both"/>
      </w:pPr>
      <w:r w:rsidRPr="001C083D">
        <w:t xml:space="preserve">When it comes to debt structure, Tesla needs to focus on debt optimization and not on aggressive deleveraging because the company is not highly leveraged. The restructuring must aim at having a balanced funding mix and retain access to a variety of financing sources including bond markets, revolving credit as well as leasing. The maturity of debts should be consistent with the long-term life cycles of assets in order to minimize rollover risk (Ross et al., 2022). Operational flexibility and the absence of restrictive triggers which can compel the sale of assets in recessions should also be defended by covenant design. </w:t>
      </w:r>
    </w:p>
    <w:p w:rsidR="00AB3C74" w:rsidRDefault="001C083D" w:rsidP="001C083D">
      <w:pPr>
        <w:jc w:val="both"/>
      </w:pPr>
      <w:r w:rsidRPr="001C083D">
        <w:t>Lastly, restructuring enhances flexibility in the operations by lowering irrevocable commitments and raising liquidity headroom. Divestitures help to minimize fixed commitments whereas partnerships enable Tesla to expand abroad without committing too much capital. High liquidity also allows Tesla to react well to any price wars, supply chain disruptions and technological change and still retain long-term investment in R&amp;D.</w:t>
      </w:r>
    </w:p>
    <w:p w:rsidR="00AB3C74" w:rsidRPr="001C083D" w:rsidRDefault="00000000">
      <w:pPr>
        <w:pStyle w:val="Heading2"/>
        <w:rPr>
          <w:rFonts w:ascii="Arial" w:hAnsi="Arial" w:cs="Arial"/>
          <w:color w:val="000000" w:themeColor="text1"/>
          <w:sz w:val="28"/>
          <w:szCs w:val="28"/>
        </w:rPr>
      </w:pPr>
      <w:r w:rsidRPr="001C083D">
        <w:rPr>
          <w:rFonts w:ascii="Arial" w:hAnsi="Arial" w:cs="Arial"/>
          <w:color w:val="000000" w:themeColor="text1"/>
          <w:sz w:val="28"/>
          <w:szCs w:val="28"/>
        </w:rPr>
        <w:t xml:space="preserve"> </w:t>
      </w:r>
      <w:bookmarkStart w:id="20" w:name="_Toc222315100"/>
      <w:r w:rsidRPr="001C083D">
        <w:rPr>
          <w:rFonts w:ascii="Arial" w:hAnsi="Arial" w:cs="Arial"/>
          <w:color w:val="000000" w:themeColor="text1"/>
          <w:sz w:val="28"/>
          <w:szCs w:val="28"/>
        </w:rPr>
        <w:t>International and ethical considerations</w:t>
      </w:r>
      <w:bookmarkEnd w:id="20"/>
    </w:p>
    <w:p w:rsidR="001C083D" w:rsidRDefault="001C083D" w:rsidP="001C083D">
      <w:pPr>
        <w:jc w:val="both"/>
      </w:pPr>
      <w:r w:rsidRPr="001C083D">
        <w:t xml:space="preserve">The restructuring plan of Tesla should integrate the international financial risks and ethical responsibilities since the organization is located in various jurisdictions with different tax regimes, regulatory settings, and currency exposures. Decisions on cross-border restructuring can pose compliance problems and reputation issues unless handled with great care. </w:t>
      </w:r>
    </w:p>
    <w:p w:rsidR="001C083D" w:rsidRDefault="001C083D" w:rsidP="001C083D">
      <w:pPr>
        <w:jc w:val="both"/>
      </w:pPr>
      <w:r w:rsidRPr="001C083D">
        <w:t xml:space="preserve">The taxes are very important as divestitures, joint ventures and ownership restructuring can raise capital gains taxes, withholding tax liability and transfer pricing questioning. BEPS frameworks have resulted in greater enforcement by global tax authorities in order to limit profit shifting and require firms to have an economic presence (OECD, 2022). Tesla should make sure that the restructuring transactions should be reasonably commercial and backed by good documentation (Scholes et al., 2018). </w:t>
      </w:r>
    </w:p>
    <w:p w:rsidR="001C083D" w:rsidRDefault="001C083D" w:rsidP="001C083D">
      <w:pPr>
        <w:jc w:val="both"/>
      </w:pPr>
      <w:r w:rsidRPr="001C083D">
        <w:lastRenderedPageBreak/>
        <w:t xml:space="preserve">Tesla also has multinational cash flows, which is a major cause of currency risk. Fluctuations in exchange rates can cause distortion in profitability and less predictability of the restructuring results. Currency risk is controlled by means of natural hedging, where both expenses and incomes are contracted in the same currency, and choose financial hedging tools, including forward contracts and currency swaps (Madura, 2021). </w:t>
      </w:r>
    </w:p>
    <w:p w:rsidR="001C083D" w:rsidRDefault="001C083D" w:rsidP="001C083D">
      <w:pPr>
        <w:jc w:val="both"/>
      </w:pPr>
      <w:r w:rsidRPr="001C083D">
        <w:t xml:space="preserve">The inflationary pressures impact restructuring in terms of raising the cost of production and cost of borrowing, and lowering the consumer purchasing power as well. Inflation is known to escalate interest rates and refinancing becomes more expensive. Inflation sensitivity should be reflected in the Tesla Company by performing a scenario analysis, and the company should use inflation-adjusted hurdle rates to value investment (IMF, 2023). </w:t>
      </w:r>
    </w:p>
    <w:p w:rsidR="001C083D" w:rsidRDefault="001C083D" w:rsidP="001C083D">
      <w:pPr>
        <w:jc w:val="both"/>
      </w:pPr>
      <w:r w:rsidRPr="001C083D">
        <w:t>Lastly, there is the necessity of ethical and CSR. Restructuring can include layoffs, closing of facilities or forcing suppliers to put pressure on them, which can be detrimental to the stakeholders when done irresponsibly. The ethical implementation involves open communication, fair severance provision, retraining and responsible sourcing standards (Freeman, 2010).</w:t>
      </w:r>
    </w:p>
    <w:p w:rsidR="00AB3C74" w:rsidRPr="001C083D" w:rsidRDefault="00000000" w:rsidP="001C083D">
      <w:pPr>
        <w:pStyle w:val="Heading1"/>
        <w:rPr>
          <w:rFonts w:ascii="Arial" w:hAnsi="Arial" w:cs="Arial"/>
          <w:color w:val="000000" w:themeColor="text1"/>
          <w:sz w:val="32"/>
          <w:szCs w:val="32"/>
        </w:rPr>
      </w:pPr>
      <w:r w:rsidRPr="001C083D">
        <w:rPr>
          <w:rFonts w:ascii="Arial" w:hAnsi="Arial" w:cs="Arial"/>
          <w:color w:val="000000" w:themeColor="text1"/>
          <w:sz w:val="32"/>
          <w:szCs w:val="32"/>
        </w:rPr>
        <w:t xml:space="preserve"> </w:t>
      </w:r>
      <w:bookmarkStart w:id="21" w:name="_Toc222315101"/>
      <w:r w:rsidRPr="001C083D">
        <w:rPr>
          <w:rFonts w:ascii="Arial" w:hAnsi="Arial" w:cs="Arial"/>
          <w:color w:val="000000" w:themeColor="text1"/>
          <w:sz w:val="32"/>
          <w:szCs w:val="32"/>
        </w:rPr>
        <w:t>Investment Appraisal and Capital Budgeting</w:t>
      </w:r>
      <w:bookmarkEnd w:id="21"/>
    </w:p>
    <w:p w:rsidR="00DF503E" w:rsidRDefault="00DF503E" w:rsidP="00DF503E">
      <w:pPr>
        <w:jc w:val="both"/>
      </w:pPr>
      <w:r w:rsidRPr="00DF503E">
        <w:t xml:space="preserve">This part compares three investment projects that are suggested, based on the payback period (PBP), accounting rate of return (ARR), net present value (NPV), profitability index (PI), and internal rate of return (IRR). Each project has an initial investment amount of 50 million pounds at time 0 and generates a cash inflow net after tax in 5 years. Discount rate is 10% which is the required return of similar risk projects. Depreciation will be straight-line to zero in five years (annual depreciation = £10 million). All figures are in the form of the million pound and cash inflows are supposed to be at the end of every year. </w:t>
      </w:r>
    </w:p>
    <w:p w:rsidR="00DF503E" w:rsidRDefault="00DF503E" w:rsidP="00DF503E">
      <w:pPr>
        <w:jc w:val="both"/>
      </w:pPr>
      <w:r w:rsidRPr="00DF503E">
        <w:t xml:space="preserve">The decision model is the conventional capital budgeting theory. The first value-based metric is NPV as it explicitly approximates the change in the shareholder wealth based on the assumed discount rate (Brealey, Myers and Allen, 2020). IRR </w:t>
      </w:r>
      <w:r w:rsidRPr="00DF503E">
        <w:lastRenderedPageBreak/>
        <w:t>and PI may be useful in ranking, although they may be misleading in the context of non-standard cash flows or when comparing mutually exclusive projects of different sizes (Ross et al., 2022).</w:t>
      </w:r>
    </w:p>
    <w:p w:rsidR="00DF503E" w:rsidRPr="00DF503E" w:rsidRDefault="00DF503E" w:rsidP="00DF503E">
      <w:pPr>
        <w:jc w:val="both"/>
        <w:rPr>
          <w:b/>
          <w:bCs/>
        </w:rPr>
      </w:pPr>
      <w:r w:rsidRPr="00DF503E">
        <w:rPr>
          <w:b/>
          <w:bCs/>
        </w:rPr>
        <w:t xml:space="preserve">Project A </w:t>
      </w:r>
    </w:p>
    <w:p w:rsidR="00DF503E" w:rsidRDefault="00DF503E" w:rsidP="00DF503E">
      <w:pPr>
        <w:jc w:val="both"/>
      </w:pPr>
      <w:r w:rsidRPr="00DF503E">
        <w:t xml:space="preserve">PBP for Project A is 4.50 years. Accounting profit average annual is not high due to the fact that the depreciation is taking all the initial cash inflow; ARR is approximately 1.6. The NPV of 10% is -8.68m and PI of 0.83 which means that the present value of inflows only recuperates 83% of the expenditure. The IRR stands at approximately 2.7 which is much lower than the 10 percent hurdle rate. All these findings combined suggest that Project A would decrease the shareholder value given the assumptions above. </w:t>
      </w:r>
    </w:p>
    <w:p w:rsidR="00DF503E" w:rsidRPr="00DF503E" w:rsidRDefault="00DF503E" w:rsidP="00DF503E">
      <w:pPr>
        <w:jc w:val="both"/>
        <w:rPr>
          <w:b/>
          <w:bCs/>
        </w:rPr>
      </w:pPr>
      <w:r w:rsidRPr="00DF503E">
        <w:rPr>
          <w:b/>
          <w:bCs/>
        </w:rPr>
        <w:t xml:space="preserve">Project B </w:t>
      </w:r>
    </w:p>
    <w:p w:rsidR="00DC680A" w:rsidRDefault="00DF503E" w:rsidP="00DF503E">
      <w:pPr>
        <w:jc w:val="both"/>
      </w:pPr>
      <w:r w:rsidRPr="00DF503E">
        <w:t xml:space="preserve">Project B generates consistent cash flows of 11m annually. It has a PBP of 4.55 years, which is slightly less than that of Project A due to the fact that the inflow is constant and does not increase at a higher rate. ARR is about 2.0%. The NPV stands at -8.30m and PI is 0.83 and again it shows that the value is destroyed at a 10% discount rate. IRR is approximately 3.3 per cent which is far less than the hurdle rate. Liquidity wise, stability might be appealing, yet not compensating the low rate of return. </w:t>
      </w:r>
    </w:p>
    <w:p w:rsidR="00DC680A" w:rsidRPr="00DC680A" w:rsidRDefault="00DF503E" w:rsidP="00DF503E">
      <w:pPr>
        <w:jc w:val="both"/>
        <w:rPr>
          <w:b/>
          <w:bCs/>
        </w:rPr>
      </w:pPr>
      <w:r w:rsidRPr="00DC680A">
        <w:rPr>
          <w:b/>
          <w:bCs/>
        </w:rPr>
        <w:t xml:space="preserve">Project C </w:t>
      </w:r>
    </w:p>
    <w:p w:rsidR="00DF503E" w:rsidRDefault="00DF503E" w:rsidP="00DF503E">
      <w:pPr>
        <w:jc w:val="both"/>
      </w:pPr>
      <w:r w:rsidRPr="00DF503E">
        <w:t xml:space="preserve">Project C is a back-loaded project, which experiences increased inflows in the third and fourth years. It has a shorter payback, being 3.60 years. The ARR is greater at 6.0 percent since the larger inflows of mid period make accounting profit. NPV = -1.98m and PI = 0.96, which is much lower than the breakeven point A or B, and the IRR is approximately at 8.6, which is lower than the 10% hurdle, yet it is the highest one of the three projects. These metric interpretations are consistent with the capital budgeting best </w:t>
      </w:r>
      <w:r w:rsidR="00DC680A" w:rsidRPr="00DF503E">
        <w:t>practices</w:t>
      </w:r>
      <w:r w:rsidRPr="00DF503E">
        <w:t xml:space="preserve"> that put a stronger emphasis on NPV but consider payback and ARR as auxiliary screening instruments (Gitman and Zutter, 2015).</w:t>
      </w:r>
    </w:p>
    <w:p w:rsidR="00DC680A" w:rsidRDefault="00DC680A" w:rsidP="00DF503E">
      <w:pPr>
        <w:jc w:val="both"/>
      </w:pPr>
      <w:r w:rsidRPr="00DC680A">
        <w:lastRenderedPageBreak/>
        <w:t>The most important observation is the dilemma between value-based and non-value-based metrics. Project C is preferred by PBP and ARR due to quicker cash reimbursement and greater average profit. Nonetheless, NPV is negative since the discounted inflows are not able to cover the necessary return. This explains why NPV needs to prevail in the decision rule in cases where the goal is shareholder wealth maximization (Brealey, Myers and Allen, 2020).</w:t>
      </w:r>
      <w:r>
        <w:t xml:space="preserve"> </w:t>
      </w:r>
      <w:r w:rsidRPr="00DC680A">
        <w:t>Project ranking of IRR should also be approached with care since several or economically unclear IRRs may be present and reinvestment assumptions can be misleading (Hazen, 2003; Magni, 2010; Ben-Horin and Kroll, 2017).</w:t>
      </w:r>
    </w:p>
    <w:p w:rsidR="00B84F6A" w:rsidRPr="00B84F6A" w:rsidRDefault="00B84F6A" w:rsidP="00B84F6A">
      <w:pPr>
        <w:pStyle w:val="Caption"/>
        <w:keepNext/>
        <w:rPr>
          <w:b w:val="0"/>
          <w:bCs w:val="0"/>
          <w:color w:val="000000" w:themeColor="text1"/>
          <w:sz w:val="24"/>
          <w:szCs w:val="24"/>
        </w:rPr>
      </w:pPr>
      <w:bookmarkStart w:id="22" w:name="_Toc222314501"/>
      <w:r w:rsidRPr="00B84F6A">
        <w:rPr>
          <w:b w:val="0"/>
          <w:bCs w:val="0"/>
          <w:color w:val="000000" w:themeColor="text1"/>
          <w:sz w:val="24"/>
          <w:szCs w:val="24"/>
        </w:rPr>
        <w:t xml:space="preserve">Table </w:t>
      </w:r>
      <w:r w:rsidRPr="00B84F6A">
        <w:rPr>
          <w:b w:val="0"/>
          <w:bCs w:val="0"/>
          <w:color w:val="000000" w:themeColor="text1"/>
          <w:sz w:val="24"/>
          <w:szCs w:val="24"/>
        </w:rPr>
        <w:fldChar w:fldCharType="begin"/>
      </w:r>
      <w:r w:rsidRPr="00B84F6A">
        <w:rPr>
          <w:b w:val="0"/>
          <w:bCs w:val="0"/>
          <w:color w:val="000000" w:themeColor="text1"/>
          <w:sz w:val="24"/>
          <w:szCs w:val="24"/>
        </w:rPr>
        <w:instrText xml:space="preserve"> SEQ Table \* ARABIC </w:instrText>
      </w:r>
      <w:r w:rsidRPr="00B84F6A">
        <w:rPr>
          <w:b w:val="0"/>
          <w:bCs w:val="0"/>
          <w:color w:val="000000" w:themeColor="text1"/>
          <w:sz w:val="24"/>
          <w:szCs w:val="24"/>
        </w:rPr>
        <w:fldChar w:fldCharType="separate"/>
      </w:r>
      <w:r w:rsidRPr="00B84F6A">
        <w:rPr>
          <w:b w:val="0"/>
          <w:bCs w:val="0"/>
          <w:noProof/>
          <w:color w:val="000000" w:themeColor="text1"/>
          <w:sz w:val="24"/>
          <w:szCs w:val="24"/>
        </w:rPr>
        <w:t>3</w:t>
      </w:r>
      <w:r w:rsidRPr="00B84F6A">
        <w:rPr>
          <w:b w:val="0"/>
          <w:bCs w:val="0"/>
          <w:color w:val="000000" w:themeColor="text1"/>
          <w:sz w:val="24"/>
          <w:szCs w:val="24"/>
        </w:rPr>
        <w:fldChar w:fldCharType="end"/>
      </w:r>
      <w:r w:rsidRPr="00B84F6A">
        <w:rPr>
          <w:b w:val="0"/>
          <w:bCs w:val="0"/>
          <w:color w:val="000000" w:themeColor="text1"/>
          <w:sz w:val="24"/>
          <w:szCs w:val="24"/>
        </w:rPr>
        <w:t>:summarizes the results</w:t>
      </w:r>
      <w:bookmarkEnd w:id="22"/>
    </w:p>
    <w:tbl>
      <w:tblPr>
        <w:tblStyle w:val="TableGrid"/>
        <w:tblW w:w="0" w:type="auto"/>
        <w:jc w:val="center"/>
        <w:tblLook w:val="04A0" w:firstRow="1" w:lastRow="0" w:firstColumn="1" w:lastColumn="0" w:noHBand="0" w:noVBand="1"/>
      </w:tblPr>
      <w:tblGrid>
        <w:gridCol w:w="1785"/>
        <w:gridCol w:w="1876"/>
        <w:gridCol w:w="2357"/>
        <w:gridCol w:w="2612"/>
      </w:tblGrid>
      <w:tr w:rsidR="00EC6BF4" w:rsidRPr="00DC680A" w:rsidTr="00EC6BF4">
        <w:trPr>
          <w:jc w:val="center"/>
        </w:trPr>
        <w:tc>
          <w:tcPr>
            <w:tcW w:w="1835" w:type="dxa"/>
          </w:tcPr>
          <w:p w:rsidR="00EC6BF4" w:rsidRPr="00DC680A" w:rsidRDefault="00EC6BF4" w:rsidP="00841E7E">
            <w:pPr>
              <w:rPr>
                <w:rFonts w:cs="Arial"/>
                <w:b/>
                <w:bCs/>
                <w:szCs w:val="24"/>
              </w:rPr>
            </w:pPr>
            <w:r w:rsidRPr="00DC680A">
              <w:rPr>
                <w:rFonts w:cs="Arial"/>
                <w:b/>
                <w:bCs/>
                <w:szCs w:val="24"/>
              </w:rPr>
              <w:t>Item</w:t>
            </w:r>
          </w:p>
        </w:tc>
        <w:tc>
          <w:tcPr>
            <w:tcW w:w="1916" w:type="dxa"/>
          </w:tcPr>
          <w:p w:rsidR="00EC6BF4" w:rsidRPr="00DC680A" w:rsidRDefault="00EC6BF4" w:rsidP="00841E7E">
            <w:pPr>
              <w:rPr>
                <w:rFonts w:cs="Arial"/>
                <w:b/>
                <w:bCs/>
                <w:szCs w:val="24"/>
              </w:rPr>
            </w:pPr>
            <w:r w:rsidRPr="00DC680A">
              <w:rPr>
                <w:rFonts w:cs="Arial"/>
                <w:b/>
                <w:bCs/>
                <w:szCs w:val="24"/>
              </w:rPr>
              <w:t>Project A</w:t>
            </w:r>
          </w:p>
        </w:tc>
        <w:tc>
          <w:tcPr>
            <w:tcW w:w="2419" w:type="dxa"/>
          </w:tcPr>
          <w:p w:rsidR="00EC6BF4" w:rsidRPr="00DC680A" w:rsidRDefault="00EC6BF4" w:rsidP="00841E7E">
            <w:pPr>
              <w:rPr>
                <w:rFonts w:cs="Arial"/>
                <w:b/>
                <w:bCs/>
                <w:szCs w:val="24"/>
              </w:rPr>
            </w:pPr>
            <w:r w:rsidRPr="00DC680A">
              <w:rPr>
                <w:rFonts w:cs="Arial"/>
                <w:b/>
                <w:bCs/>
                <w:szCs w:val="24"/>
              </w:rPr>
              <w:t>Project B</w:t>
            </w:r>
          </w:p>
        </w:tc>
        <w:tc>
          <w:tcPr>
            <w:tcW w:w="2686" w:type="dxa"/>
          </w:tcPr>
          <w:p w:rsidR="00EC6BF4" w:rsidRPr="00DC680A" w:rsidRDefault="00EC6BF4" w:rsidP="00841E7E">
            <w:pPr>
              <w:rPr>
                <w:rFonts w:cs="Arial"/>
                <w:b/>
                <w:bCs/>
                <w:color w:val="000000" w:themeColor="text1"/>
                <w:szCs w:val="24"/>
              </w:rPr>
            </w:pPr>
            <w:r w:rsidRPr="00DC680A">
              <w:rPr>
                <w:rFonts w:cs="Arial"/>
                <w:b/>
                <w:bCs/>
                <w:szCs w:val="24"/>
              </w:rPr>
              <w:t>Project C</w:t>
            </w:r>
          </w:p>
        </w:tc>
      </w:tr>
      <w:tr w:rsidR="00EC6BF4" w:rsidRPr="00DC680A" w:rsidTr="00EC6BF4">
        <w:trPr>
          <w:jc w:val="center"/>
        </w:trPr>
        <w:tc>
          <w:tcPr>
            <w:tcW w:w="1835" w:type="dxa"/>
          </w:tcPr>
          <w:p w:rsidR="00EC6BF4" w:rsidRPr="00DC680A" w:rsidRDefault="00EC6BF4" w:rsidP="00841E7E">
            <w:pPr>
              <w:rPr>
                <w:rFonts w:cs="Arial"/>
                <w:szCs w:val="24"/>
              </w:rPr>
            </w:pPr>
            <w:r w:rsidRPr="00DC680A">
              <w:rPr>
                <w:rFonts w:cs="Arial"/>
                <w:szCs w:val="24"/>
              </w:rPr>
              <w:t>PBP</w:t>
            </w:r>
          </w:p>
        </w:tc>
        <w:tc>
          <w:tcPr>
            <w:tcW w:w="1916" w:type="dxa"/>
          </w:tcPr>
          <w:p w:rsidR="00EC6BF4" w:rsidRPr="00DC680A" w:rsidRDefault="00EC6BF4" w:rsidP="00841E7E">
            <w:pPr>
              <w:rPr>
                <w:rFonts w:cs="Arial"/>
                <w:szCs w:val="24"/>
              </w:rPr>
            </w:pPr>
            <w:r w:rsidRPr="00DC680A">
              <w:rPr>
                <w:rFonts w:cs="Arial"/>
                <w:szCs w:val="24"/>
              </w:rPr>
              <w:t>4.5</w:t>
            </w:r>
          </w:p>
        </w:tc>
        <w:tc>
          <w:tcPr>
            <w:tcW w:w="2419" w:type="dxa"/>
          </w:tcPr>
          <w:p w:rsidR="00EC6BF4" w:rsidRPr="00DC680A" w:rsidRDefault="00EC6BF4" w:rsidP="00841E7E">
            <w:pPr>
              <w:rPr>
                <w:rFonts w:cs="Arial"/>
                <w:szCs w:val="24"/>
              </w:rPr>
            </w:pPr>
            <w:r w:rsidRPr="00DC680A">
              <w:rPr>
                <w:rFonts w:cs="Arial"/>
                <w:szCs w:val="24"/>
              </w:rPr>
              <w:t>4.55</w:t>
            </w:r>
          </w:p>
        </w:tc>
        <w:tc>
          <w:tcPr>
            <w:tcW w:w="2686" w:type="dxa"/>
          </w:tcPr>
          <w:p w:rsidR="00EC6BF4" w:rsidRPr="00DC680A" w:rsidRDefault="00EC6BF4" w:rsidP="00841E7E">
            <w:pPr>
              <w:rPr>
                <w:rFonts w:cs="Arial"/>
                <w:szCs w:val="24"/>
              </w:rPr>
            </w:pPr>
            <w:r w:rsidRPr="00DC680A">
              <w:rPr>
                <w:rFonts w:cs="Arial"/>
                <w:szCs w:val="24"/>
              </w:rPr>
              <w:t>3.6</w:t>
            </w:r>
          </w:p>
        </w:tc>
      </w:tr>
      <w:tr w:rsidR="00EC6BF4" w:rsidRPr="00DC680A" w:rsidTr="00EC6BF4">
        <w:trPr>
          <w:jc w:val="center"/>
        </w:trPr>
        <w:tc>
          <w:tcPr>
            <w:tcW w:w="1835" w:type="dxa"/>
          </w:tcPr>
          <w:p w:rsidR="00EC6BF4" w:rsidRPr="00DC680A" w:rsidRDefault="00EC6BF4" w:rsidP="00841E7E">
            <w:pPr>
              <w:rPr>
                <w:rFonts w:cs="Arial"/>
                <w:szCs w:val="24"/>
              </w:rPr>
            </w:pPr>
            <w:r w:rsidRPr="00DC680A">
              <w:rPr>
                <w:rFonts w:cs="Arial"/>
                <w:szCs w:val="24"/>
              </w:rPr>
              <w:t>NPV</w:t>
            </w:r>
          </w:p>
        </w:tc>
        <w:tc>
          <w:tcPr>
            <w:tcW w:w="1916" w:type="dxa"/>
          </w:tcPr>
          <w:p w:rsidR="00EC6BF4" w:rsidRPr="00DC680A" w:rsidRDefault="00EC6BF4" w:rsidP="00841E7E">
            <w:pPr>
              <w:rPr>
                <w:rFonts w:cs="Arial"/>
                <w:szCs w:val="24"/>
              </w:rPr>
            </w:pPr>
            <w:r w:rsidRPr="00DC680A">
              <w:rPr>
                <w:rFonts w:cs="Arial"/>
                <w:szCs w:val="24"/>
              </w:rPr>
              <w:t>(8.67)</w:t>
            </w:r>
          </w:p>
        </w:tc>
        <w:tc>
          <w:tcPr>
            <w:tcW w:w="2419" w:type="dxa"/>
          </w:tcPr>
          <w:p w:rsidR="00EC6BF4" w:rsidRPr="00DC680A" w:rsidRDefault="00EC6BF4" w:rsidP="00841E7E">
            <w:pPr>
              <w:rPr>
                <w:rFonts w:cs="Arial"/>
                <w:szCs w:val="24"/>
              </w:rPr>
            </w:pPr>
            <w:r w:rsidRPr="00DC680A">
              <w:rPr>
                <w:rFonts w:cs="Arial"/>
                <w:szCs w:val="24"/>
              </w:rPr>
              <w:t>(8.30)</w:t>
            </w:r>
          </w:p>
        </w:tc>
        <w:tc>
          <w:tcPr>
            <w:tcW w:w="2686" w:type="dxa"/>
          </w:tcPr>
          <w:p w:rsidR="00EC6BF4" w:rsidRPr="00DC680A" w:rsidRDefault="00EC6BF4" w:rsidP="00841E7E">
            <w:pPr>
              <w:rPr>
                <w:rFonts w:cs="Arial"/>
                <w:szCs w:val="24"/>
              </w:rPr>
            </w:pPr>
            <w:r w:rsidRPr="00DC680A">
              <w:rPr>
                <w:rFonts w:cs="Arial"/>
                <w:szCs w:val="24"/>
              </w:rPr>
              <w:t>(1.98)</w:t>
            </w:r>
          </w:p>
        </w:tc>
      </w:tr>
      <w:tr w:rsidR="00EC6BF4" w:rsidRPr="00DC680A" w:rsidTr="00EC6BF4">
        <w:trPr>
          <w:jc w:val="center"/>
        </w:trPr>
        <w:tc>
          <w:tcPr>
            <w:tcW w:w="1835" w:type="dxa"/>
          </w:tcPr>
          <w:p w:rsidR="00EC6BF4" w:rsidRPr="00DC680A" w:rsidRDefault="00EC6BF4" w:rsidP="00841E7E">
            <w:pPr>
              <w:rPr>
                <w:rFonts w:cs="Arial"/>
                <w:szCs w:val="24"/>
              </w:rPr>
            </w:pPr>
            <w:r w:rsidRPr="00DC680A">
              <w:rPr>
                <w:rFonts w:cs="Arial"/>
                <w:szCs w:val="24"/>
              </w:rPr>
              <w:t>ARR</w:t>
            </w:r>
          </w:p>
        </w:tc>
        <w:tc>
          <w:tcPr>
            <w:tcW w:w="1916" w:type="dxa"/>
          </w:tcPr>
          <w:p w:rsidR="00EC6BF4" w:rsidRPr="00DC680A" w:rsidRDefault="00EC6BF4" w:rsidP="00841E7E">
            <w:pPr>
              <w:rPr>
                <w:rFonts w:cs="Arial"/>
                <w:szCs w:val="24"/>
              </w:rPr>
            </w:pPr>
            <w:r w:rsidRPr="00DC680A">
              <w:rPr>
                <w:rFonts w:cs="Arial"/>
                <w:szCs w:val="24"/>
              </w:rPr>
              <w:t>3.2%</w:t>
            </w:r>
          </w:p>
        </w:tc>
        <w:tc>
          <w:tcPr>
            <w:tcW w:w="2419" w:type="dxa"/>
          </w:tcPr>
          <w:p w:rsidR="00EC6BF4" w:rsidRPr="00DC680A" w:rsidRDefault="00EC6BF4" w:rsidP="00841E7E">
            <w:pPr>
              <w:rPr>
                <w:rFonts w:cs="Arial"/>
                <w:szCs w:val="24"/>
              </w:rPr>
            </w:pPr>
            <w:r w:rsidRPr="00DC680A">
              <w:rPr>
                <w:rFonts w:cs="Arial"/>
                <w:szCs w:val="24"/>
              </w:rPr>
              <w:t>4%</w:t>
            </w:r>
          </w:p>
        </w:tc>
        <w:tc>
          <w:tcPr>
            <w:tcW w:w="2686" w:type="dxa"/>
          </w:tcPr>
          <w:p w:rsidR="00EC6BF4" w:rsidRPr="00DC680A" w:rsidRDefault="00EC6BF4" w:rsidP="00841E7E">
            <w:pPr>
              <w:rPr>
                <w:rFonts w:cs="Arial"/>
                <w:szCs w:val="24"/>
              </w:rPr>
            </w:pPr>
            <w:r w:rsidRPr="00DC680A">
              <w:rPr>
                <w:rFonts w:cs="Arial"/>
                <w:szCs w:val="24"/>
              </w:rPr>
              <w:t>%12</w:t>
            </w:r>
          </w:p>
        </w:tc>
      </w:tr>
      <w:tr w:rsidR="00EC6BF4" w:rsidRPr="00DC680A" w:rsidTr="00EC6BF4">
        <w:trPr>
          <w:jc w:val="center"/>
        </w:trPr>
        <w:tc>
          <w:tcPr>
            <w:tcW w:w="1835" w:type="dxa"/>
          </w:tcPr>
          <w:p w:rsidR="00EC6BF4" w:rsidRPr="00DC680A" w:rsidRDefault="00EC6BF4" w:rsidP="00841E7E">
            <w:pPr>
              <w:rPr>
                <w:rFonts w:cs="Arial"/>
                <w:szCs w:val="24"/>
              </w:rPr>
            </w:pPr>
            <w:r w:rsidRPr="00DC680A">
              <w:rPr>
                <w:rFonts w:cs="Arial"/>
                <w:szCs w:val="24"/>
              </w:rPr>
              <w:t>PI</w:t>
            </w:r>
          </w:p>
        </w:tc>
        <w:tc>
          <w:tcPr>
            <w:tcW w:w="1916" w:type="dxa"/>
          </w:tcPr>
          <w:p w:rsidR="00EC6BF4" w:rsidRPr="00DC680A" w:rsidRDefault="00EC6BF4" w:rsidP="00841E7E">
            <w:pPr>
              <w:rPr>
                <w:rFonts w:cs="Arial"/>
                <w:szCs w:val="24"/>
              </w:rPr>
            </w:pPr>
            <w:r w:rsidRPr="00DC680A">
              <w:rPr>
                <w:rFonts w:cs="Arial"/>
                <w:szCs w:val="24"/>
              </w:rPr>
              <w:t>0.82</w:t>
            </w:r>
          </w:p>
        </w:tc>
        <w:tc>
          <w:tcPr>
            <w:tcW w:w="2419" w:type="dxa"/>
          </w:tcPr>
          <w:p w:rsidR="00EC6BF4" w:rsidRPr="00DC680A" w:rsidRDefault="00EC6BF4" w:rsidP="00841E7E">
            <w:pPr>
              <w:rPr>
                <w:rFonts w:cs="Arial"/>
                <w:szCs w:val="24"/>
              </w:rPr>
            </w:pPr>
            <w:r w:rsidRPr="00DC680A">
              <w:rPr>
                <w:rFonts w:cs="Arial"/>
                <w:szCs w:val="24"/>
              </w:rPr>
              <w:t>0.8339</w:t>
            </w:r>
          </w:p>
        </w:tc>
        <w:tc>
          <w:tcPr>
            <w:tcW w:w="2686" w:type="dxa"/>
          </w:tcPr>
          <w:p w:rsidR="00EC6BF4" w:rsidRPr="00DC680A" w:rsidRDefault="00EC6BF4" w:rsidP="00841E7E">
            <w:pPr>
              <w:rPr>
                <w:rFonts w:cs="Arial"/>
                <w:szCs w:val="24"/>
              </w:rPr>
            </w:pPr>
            <w:r w:rsidRPr="00DC680A">
              <w:rPr>
                <w:rFonts w:cs="Arial"/>
                <w:szCs w:val="24"/>
              </w:rPr>
              <w:t>0.960</w:t>
            </w:r>
          </w:p>
        </w:tc>
      </w:tr>
      <w:tr w:rsidR="00EC6BF4" w:rsidRPr="00DC680A" w:rsidTr="00EC6BF4">
        <w:trPr>
          <w:jc w:val="center"/>
        </w:trPr>
        <w:tc>
          <w:tcPr>
            <w:tcW w:w="1835" w:type="dxa"/>
          </w:tcPr>
          <w:p w:rsidR="00EC6BF4" w:rsidRPr="00DC680A" w:rsidRDefault="00EC6BF4" w:rsidP="00841E7E">
            <w:pPr>
              <w:rPr>
                <w:rFonts w:cs="Arial"/>
                <w:szCs w:val="24"/>
              </w:rPr>
            </w:pPr>
            <w:r w:rsidRPr="00DC680A">
              <w:rPr>
                <w:rFonts w:cs="Arial"/>
                <w:szCs w:val="24"/>
              </w:rPr>
              <w:t>IRR</w:t>
            </w:r>
          </w:p>
        </w:tc>
        <w:tc>
          <w:tcPr>
            <w:tcW w:w="1916" w:type="dxa"/>
          </w:tcPr>
          <w:p w:rsidR="00EC6BF4" w:rsidRPr="00DC680A" w:rsidRDefault="00EC6BF4" w:rsidP="00EC6BF4">
            <w:pPr>
              <w:spacing w:after="0" w:line="240" w:lineRule="auto"/>
              <w:rPr>
                <w:rFonts w:eastAsia="Times New Roman" w:cs="Arial"/>
                <w:color w:val="000000"/>
                <w:szCs w:val="24"/>
              </w:rPr>
            </w:pPr>
            <w:r w:rsidRPr="00DC680A">
              <w:rPr>
                <w:rFonts w:cs="Arial"/>
                <w:color w:val="000000"/>
                <w:szCs w:val="24"/>
              </w:rPr>
              <w:t>2.7%</w:t>
            </w:r>
          </w:p>
          <w:p w:rsidR="00EC6BF4" w:rsidRPr="00DC680A" w:rsidRDefault="00EC6BF4" w:rsidP="00841E7E">
            <w:pPr>
              <w:rPr>
                <w:rFonts w:cs="Arial"/>
                <w:szCs w:val="24"/>
              </w:rPr>
            </w:pPr>
          </w:p>
        </w:tc>
        <w:tc>
          <w:tcPr>
            <w:tcW w:w="2419" w:type="dxa"/>
          </w:tcPr>
          <w:p w:rsidR="00EC6BF4" w:rsidRPr="00DC680A" w:rsidRDefault="00EC6BF4" w:rsidP="00EC6BF4">
            <w:pPr>
              <w:spacing w:after="0" w:line="240" w:lineRule="auto"/>
              <w:rPr>
                <w:rFonts w:eastAsia="Times New Roman" w:cs="Arial"/>
                <w:color w:val="000000"/>
                <w:szCs w:val="24"/>
              </w:rPr>
            </w:pPr>
            <w:r w:rsidRPr="00DC680A">
              <w:rPr>
                <w:rFonts w:cs="Arial"/>
                <w:color w:val="000000"/>
                <w:szCs w:val="24"/>
              </w:rPr>
              <w:t>3.3%</w:t>
            </w:r>
          </w:p>
          <w:p w:rsidR="00EC6BF4" w:rsidRPr="00DC680A" w:rsidRDefault="00EC6BF4" w:rsidP="00841E7E">
            <w:pPr>
              <w:rPr>
                <w:rFonts w:cs="Arial"/>
                <w:szCs w:val="24"/>
              </w:rPr>
            </w:pPr>
          </w:p>
        </w:tc>
        <w:tc>
          <w:tcPr>
            <w:tcW w:w="2686" w:type="dxa"/>
          </w:tcPr>
          <w:p w:rsidR="00EC6BF4" w:rsidRPr="00DC680A" w:rsidRDefault="00EC6BF4" w:rsidP="00EC6BF4">
            <w:pPr>
              <w:spacing w:after="0" w:line="240" w:lineRule="auto"/>
              <w:rPr>
                <w:rFonts w:eastAsia="Times New Roman" w:cs="Arial"/>
                <w:color w:val="000000"/>
                <w:szCs w:val="24"/>
              </w:rPr>
            </w:pPr>
            <w:r w:rsidRPr="00DC680A">
              <w:rPr>
                <w:rFonts w:cs="Arial"/>
                <w:color w:val="000000"/>
                <w:szCs w:val="24"/>
              </w:rPr>
              <w:t>8.6%</w:t>
            </w:r>
          </w:p>
          <w:p w:rsidR="00EC6BF4" w:rsidRPr="00DC680A" w:rsidRDefault="00EC6BF4" w:rsidP="00841E7E">
            <w:pPr>
              <w:rPr>
                <w:rFonts w:cs="Arial"/>
                <w:szCs w:val="24"/>
              </w:rPr>
            </w:pPr>
          </w:p>
        </w:tc>
      </w:tr>
    </w:tbl>
    <w:p w:rsidR="00AB3C74" w:rsidRDefault="00370945" w:rsidP="00DC680A">
      <w:pPr>
        <w:jc w:val="both"/>
      </w:pPr>
      <w:r>
        <w:rPr>
          <w:i/>
        </w:rPr>
        <w:t>Note: PBP in years. ARR and IRR are expressed as decimals. NPV values are in £m. PI is present value of inflows divided by initial investment.</w:t>
      </w:r>
    </w:p>
    <w:p w:rsidR="00AB3C74" w:rsidRDefault="00000000">
      <w:pPr>
        <w:pStyle w:val="Heading2"/>
      </w:pPr>
      <w:r>
        <w:t xml:space="preserve"> </w:t>
      </w:r>
      <w:bookmarkStart w:id="23" w:name="_Toc222315102"/>
      <w:r w:rsidRPr="00DF503E">
        <w:rPr>
          <w:rFonts w:ascii="Arial" w:hAnsi="Arial" w:cs="Arial"/>
          <w:color w:val="000000" w:themeColor="text1"/>
          <w:sz w:val="28"/>
          <w:szCs w:val="28"/>
        </w:rPr>
        <w:t>Recommendation</w:t>
      </w:r>
      <w:bookmarkEnd w:id="23"/>
      <w:r w:rsidRPr="00DF503E">
        <w:rPr>
          <w:rFonts w:ascii="Arial" w:hAnsi="Arial" w:cs="Arial"/>
          <w:color w:val="000000" w:themeColor="text1"/>
          <w:sz w:val="28"/>
          <w:szCs w:val="28"/>
        </w:rPr>
        <w:t xml:space="preserve"> </w:t>
      </w:r>
    </w:p>
    <w:p w:rsidR="00DC680A" w:rsidRDefault="00DC680A" w:rsidP="000347D9">
      <w:pPr>
        <w:jc w:val="both"/>
      </w:pPr>
      <w:r w:rsidRPr="00DC680A">
        <w:t xml:space="preserve">According to the outcome of the investment appraisal, Project C is the best one. Its NPV is still negative with a discount rate of 10 percent, but it is far better than that of Projects A and B on both the value-based and the liquidity scales. Project C is the least value-destructive investment and offers the most significant potential to facilitate the financial and strategic goals of Tesla. </w:t>
      </w:r>
    </w:p>
    <w:p w:rsidR="00DC680A" w:rsidRDefault="00DC680A" w:rsidP="000347D9">
      <w:pPr>
        <w:jc w:val="both"/>
      </w:pPr>
      <w:r w:rsidRPr="00DC680A">
        <w:t xml:space="preserve">In terms of profitability, Project C has the greatest potential of a return. Its IRR of 8.6% is significantly greater than Project A (2.7) and Project B (3.3) and hence it is more relatively profitable, although it does not pass the desired 10% hurdle rate. </w:t>
      </w:r>
      <w:r w:rsidRPr="00DC680A">
        <w:lastRenderedPageBreak/>
        <w:t>Project C (-£1.98m) has a NPV nearest to breakeven, as compared to the A (-8.67m) and B (-8.30m). The profitability index (0.96) of the project is also the highest, which means that it recovers 96 percent of initial investment in the present value. These measures indicate that out of the three projects, Project C has the most potential</w:t>
      </w:r>
      <w:r w:rsidR="000347D9">
        <w:t>.</w:t>
      </w:r>
    </w:p>
    <w:p w:rsidR="00DC680A" w:rsidRDefault="00DC680A" w:rsidP="000347D9">
      <w:pPr>
        <w:jc w:val="both"/>
      </w:pPr>
      <w:r w:rsidRPr="00DC680A">
        <w:t>Project C is once again the best choice in terms of the liquidity and financial flexibility. It also recovers faster than Project A and Project B with a payback period of 3.6 years as opposed to 4.5 years and 4.55 years respectively. The faster cash recovery will improve the capacity of Tesla to invest in high-priority strategic areas, including battery technology, automation, and global expansion. It also avoids exposure to liquidity pressures, especially when it comes to Tesla since its operations are highly capital intensive with variable cash flow needs in the EV industry.</w:t>
      </w:r>
    </w:p>
    <w:p w:rsidR="00DC680A" w:rsidRDefault="00DC680A" w:rsidP="000347D9">
      <w:pPr>
        <w:jc w:val="both"/>
      </w:pPr>
      <w:r w:rsidRPr="00DC680A">
        <w:t xml:space="preserve"> Non-financial risks also justify the decision in favor of Project C. Political and regulatory factors in the global markets of Tesla render early cash recovery an important decision since it would help to minimize the impact of the changes in trade policies or environmental conditions. Project C also improves customer loyalty and competitiveness in the market, since the project yields funds that can be utilized to sustain competitive prices, innovations and investments on customer-focused projects. Furthermore, Project C gives Tesla strategic flexibility, enabling the company to change or leave the market with less effort in case of a change in market demand, which is essential in the rapidly evolving EV market. </w:t>
      </w:r>
    </w:p>
    <w:p w:rsidR="00DC680A" w:rsidRDefault="00DC680A" w:rsidP="000347D9">
      <w:pPr>
        <w:jc w:val="both"/>
      </w:pPr>
      <w:r w:rsidRPr="00DC680A">
        <w:t>To conclude, the investment of choice is Project C. It is more profitable, more liquid and less strategic risky than either Projects A or B. Although this is not the 10% needed return, it is the most economically sound and operationally viable option. Project C can be a value-creating project to Tesla with minor modifications to enhance the cash inflows or minimize the cost of financing.</w:t>
      </w:r>
    </w:p>
    <w:p w:rsidR="00AB3C74" w:rsidRPr="00DF503E" w:rsidRDefault="00000000">
      <w:pPr>
        <w:pStyle w:val="Heading2"/>
        <w:rPr>
          <w:rFonts w:ascii="Arial" w:hAnsi="Arial" w:cs="Arial"/>
          <w:color w:val="000000" w:themeColor="text1"/>
          <w:sz w:val="28"/>
          <w:szCs w:val="28"/>
        </w:rPr>
      </w:pPr>
      <w:bookmarkStart w:id="24" w:name="_Toc222315103"/>
      <w:r w:rsidRPr="00DF503E">
        <w:rPr>
          <w:rFonts w:ascii="Arial" w:hAnsi="Arial" w:cs="Arial"/>
          <w:color w:val="000000" w:themeColor="text1"/>
          <w:sz w:val="28"/>
          <w:szCs w:val="28"/>
        </w:rPr>
        <w:lastRenderedPageBreak/>
        <w:t>Capital rationing and project selection</w:t>
      </w:r>
      <w:bookmarkEnd w:id="24"/>
    </w:p>
    <w:p w:rsidR="00DC680A" w:rsidRDefault="00DC680A" w:rsidP="00DC680A">
      <w:pPr>
        <w:jc w:val="both"/>
      </w:pPr>
      <w:r w:rsidRPr="00DC680A">
        <w:t>Tesla has a constraint of capital of £100 million, and the projects that have been proposed each need 50 million. Within this limit, the company is only able to finance up to two projects at the same time and therefore, capital rationing has to be employed to choose the combination that maximizes value. Capital rationing also focuses the allocation of the available funds to the projects that are most likely to destroy the smallest shareholder value and provide the highest risk-adjusted returns (Brealey, Myers and Allen, 2020).</w:t>
      </w:r>
    </w:p>
    <w:p w:rsidR="00DC680A" w:rsidRDefault="00DC680A" w:rsidP="00DC680A">
      <w:pPr>
        <w:jc w:val="both"/>
      </w:pPr>
      <w:r w:rsidRPr="00DC680A">
        <w:t xml:space="preserve"> A comparison of the NPVs of the projects reveals that Project C (-1.98m) is the least value-destructive project, whereas Project B (-8.30m) is a little bit better than Project A (-8.67m). This evaluation is also justified by IRR and payback periods, with Project C having the most significant IRR (8.6%), and the shortest payback (3.6 years), which is more profitable and liquid than the two alternatives. Project A, on the other hand, is the least appealing option, with IRR of 2.7% and slow payback, in terms of financial and strategic aspects. </w:t>
      </w:r>
    </w:p>
    <w:p w:rsidR="00DC680A" w:rsidRDefault="00DC680A" w:rsidP="00DC680A">
      <w:pPr>
        <w:jc w:val="both"/>
      </w:pPr>
      <w:r w:rsidRPr="00DC680A">
        <w:t xml:space="preserve">Using the combination of all the possible two-projects within the budget of £100 million, the NPV results are as below: A+B = -£16.97m, A+C = -£10.65m, and B +C = -£10.28m. Funding Project C and project B give the least negative NPV of (-10.28m) and it is higher than the other two project combinations. This mix will provide a balance between the quicker cash inflows of Project C and the predictable, consistent cash inflows of Project B by providing both financial and operational benefits. </w:t>
      </w:r>
    </w:p>
    <w:p w:rsidR="00370945" w:rsidRPr="00370945" w:rsidRDefault="00DC680A" w:rsidP="00DC680A">
      <w:pPr>
        <w:jc w:val="both"/>
      </w:pPr>
      <w:r w:rsidRPr="00DC680A">
        <w:t>Finally, the investment mix suggested by the capital rationing constraint is the one that will invest in the Project C and the Project B but not in the Project A. Such a distribution is necessary to make Tesla maximize its value within the constrained budget, liquidity, non-financial risks reduction, including market and political uncertainty, and flexibility to react to the fluctuating environment. Project C offers greater recovery of cash and greater potential of high returns whereas Project B offers stability, and this makes a perfect combination that is in line with the objectives of shareholder wealth maximization.</w:t>
      </w:r>
    </w:p>
    <w:p w:rsidR="00AB3C74" w:rsidRPr="00B84F6A" w:rsidRDefault="00000000">
      <w:pPr>
        <w:pStyle w:val="Heading1"/>
        <w:rPr>
          <w:color w:val="000000" w:themeColor="text1"/>
        </w:rPr>
      </w:pPr>
      <w:bookmarkStart w:id="25" w:name="_Toc222315104"/>
      <w:r w:rsidRPr="00B84F6A">
        <w:rPr>
          <w:color w:val="000000" w:themeColor="text1"/>
        </w:rPr>
        <w:lastRenderedPageBreak/>
        <w:t>Conclusion</w:t>
      </w:r>
      <w:bookmarkEnd w:id="25"/>
    </w:p>
    <w:p w:rsidR="00DC680A" w:rsidRDefault="00DC680A" w:rsidP="00DC680A">
      <w:pPr>
        <w:spacing w:after="200"/>
        <w:jc w:val="both"/>
      </w:pPr>
      <w:r w:rsidRPr="00DC680A">
        <w:t>During the 2021-2025 period, Tesla added to its balance sheet, and its better solvency and liquidity gave it strategic flexibility and minimized short-term pressure on financing. Nevertheless, profitability and returns dropped drastically and operating margin is 4.6% and ROA is 2.8% in 2025 which indicates competitive prices and cost absorption pressure. The working capital turned to the positive cash conversion cycle, which tied up an additional cash in operations. Restructuring proposed is aimed at securing liquidity, maximizing working capital, cost tightening and selective refinancing to recover operating leverage. The least value-destructive alternative in capital budgeting is Project C, yet the investment should be based on the recovery of margins and increase in the cash flows.</w:t>
      </w:r>
    </w:p>
    <w:p w:rsidR="00AB3C74" w:rsidRDefault="00370945" w:rsidP="00370945">
      <w:pPr>
        <w:spacing w:after="200" w:line="276" w:lineRule="auto"/>
      </w:pPr>
      <w:r>
        <w:br w:type="page"/>
      </w:r>
    </w:p>
    <w:p w:rsidR="00AB3C74" w:rsidRPr="00B84F6A" w:rsidRDefault="00000000">
      <w:pPr>
        <w:pStyle w:val="Heading1"/>
        <w:rPr>
          <w:rFonts w:ascii="Arial" w:hAnsi="Arial" w:cs="Arial"/>
          <w:color w:val="000000" w:themeColor="text1"/>
          <w:sz w:val="32"/>
          <w:szCs w:val="32"/>
        </w:rPr>
      </w:pPr>
      <w:bookmarkStart w:id="26" w:name="_Toc222315105"/>
      <w:r w:rsidRPr="00B84F6A">
        <w:rPr>
          <w:rFonts w:ascii="Arial" w:hAnsi="Arial" w:cs="Arial"/>
          <w:color w:val="000000" w:themeColor="text1"/>
          <w:sz w:val="32"/>
          <w:szCs w:val="32"/>
        </w:rPr>
        <w:lastRenderedPageBreak/>
        <w:t>References</w:t>
      </w:r>
      <w:bookmarkEnd w:id="26"/>
    </w:p>
    <w:p w:rsidR="002D58C8" w:rsidRDefault="00000000" w:rsidP="003D503A">
      <w:pPr>
        <w:spacing w:after="0"/>
        <w:ind w:left="720" w:hanging="720"/>
      </w:pPr>
      <w:r>
        <w:t xml:space="preserve">Altman, E.I. (1968) ‘Financial ratios, discriminant analysis and the prediction of corporate bankruptcy’, Journal of Finance, 23(4), pp. 589–609. Available at: </w:t>
      </w:r>
      <w:hyperlink r:id="rId12" w:history="1">
        <w:r w:rsidR="002D58C8" w:rsidRPr="00BC7F9D">
          <w:rPr>
            <w:rStyle w:val="Hyperlink"/>
          </w:rPr>
          <w:t>https://doi.org/10.1111/j.1540-6261.1968.tb00843.x</w:t>
        </w:r>
      </w:hyperlink>
    </w:p>
    <w:p w:rsidR="002D58C8" w:rsidRDefault="00000000" w:rsidP="003D503A">
      <w:pPr>
        <w:spacing w:after="0"/>
        <w:ind w:left="720" w:hanging="720"/>
      </w:pPr>
      <w:proofErr w:type="spellStart"/>
      <w:r>
        <w:t>Atrill</w:t>
      </w:r>
      <w:proofErr w:type="spellEnd"/>
      <w:r>
        <w:t xml:space="preserve">, P. and McLaney, E. (2022) Accounting and Finance for Non-Specialists. 12th edn. Harlow: Pearson. Available at: </w:t>
      </w:r>
      <w:hyperlink r:id="rId13" w:history="1">
        <w:r w:rsidR="002D58C8" w:rsidRPr="00BC7F9D">
          <w:rPr>
            <w:rStyle w:val="Hyperlink"/>
          </w:rPr>
          <w:t>https://www.pearson.com/en-gb/subject-catalog/p/accounting-and-finance-for-non-specialists/P200000005818/9781292409114</w:t>
        </w:r>
      </w:hyperlink>
    </w:p>
    <w:p w:rsidR="002D58C8" w:rsidRDefault="00000000" w:rsidP="003D503A">
      <w:pPr>
        <w:spacing w:after="0"/>
        <w:ind w:left="720" w:hanging="720"/>
      </w:pPr>
      <w:r>
        <w:t>Baños-Caballero, S., García-Teruel, P.J. and Martínez-Solano, P. (2014) ‘Working capital management, corporate performance, and financial constraints’, Journal of Business Research, 67(3), pp. 332–338.</w:t>
      </w:r>
      <w:r w:rsidR="003D503A">
        <w:t xml:space="preserve"> </w:t>
      </w:r>
    </w:p>
    <w:p w:rsidR="002D58C8" w:rsidRDefault="00000000" w:rsidP="003D503A">
      <w:pPr>
        <w:spacing w:after="0"/>
        <w:ind w:left="720" w:hanging="720"/>
      </w:pPr>
      <w:r>
        <w:t xml:space="preserve">Ben-Horin, M. and Kroll, Y. (2017) ‘The internal rate of return and the modified internal rate of return’, The Engineering Economist, 62(2), pp. 189–205. Available at: </w:t>
      </w:r>
      <w:hyperlink r:id="rId14" w:history="1">
        <w:r w:rsidR="002D58C8" w:rsidRPr="00BC7F9D">
          <w:rPr>
            <w:rStyle w:val="Hyperlink"/>
          </w:rPr>
          <w:t>https://doi.org/10.1080/0013791X.2016.1240854</w:t>
        </w:r>
      </w:hyperlink>
    </w:p>
    <w:p w:rsidR="002D58C8" w:rsidRDefault="00000000" w:rsidP="003D503A">
      <w:pPr>
        <w:spacing w:after="0"/>
        <w:ind w:left="720" w:hanging="720"/>
      </w:pPr>
      <w:r>
        <w:t xml:space="preserve">Brealey, R.A., Myers, S.C. and Allen, F. (2020) Principles of Corporate Finance. 13th edn. New York: McGraw-Hill Education. Available at: </w:t>
      </w:r>
      <w:hyperlink r:id="rId15" w:history="1">
        <w:r w:rsidR="002D58C8" w:rsidRPr="00BC7F9D">
          <w:rPr>
            <w:rStyle w:val="Hyperlink"/>
          </w:rPr>
          <w:t>https://www.mheducation.com/highered/product/principles-corporate-finance-brealey-myers/M9781260013900.html</w:t>
        </w:r>
      </w:hyperlink>
    </w:p>
    <w:p w:rsidR="002D58C8" w:rsidRDefault="00000000" w:rsidP="003D503A">
      <w:pPr>
        <w:spacing w:after="0"/>
        <w:ind w:left="720" w:hanging="720"/>
      </w:pPr>
      <w:r>
        <w:t xml:space="preserve">Deloof, M. (2003) ‘Does working capital management affect profitability of Belgian firms?’, Journal of Business Finance &amp; Accounting, 30(3–4), pp. 573–588. Available at: </w:t>
      </w:r>
      <w:hyperlink r:id="rId16" w:history="1">
        <w:r w:rsidR="002D58C8" w:rsidRPr="00BC7F9D">
          <w:rPr>
            <w:rStyle w:val="Hyperlink"/>
          </w:rPr>
          <w:t>https://doi.org/10.1111/1468-5957.00008</w:t>
        </w:r>
      </w:hyperlink>
    </w:p>
    <w:p w:rsidR="002D58C8" w:rsidRDefault="00000000" w:rsidP="003D503A">
      <w:pPr>
        <w:spacing w:after="0"/>
        <w:ind w:left="720" w:hanging="720"/>
      </w:pPr>
      <w:r>
        <w:t xml:space="preserve">Fama, E.F. and French, K.R. (2002) ‘Testing trade-off and pecking order predictions about dividends and debt’, Review of Financial Studies, 15(1), pp. 1–33. Available at: </w:t>
      </w:r>
      <w:hyperlink r:id="rId17" w:history="1">
        <w:r w:rsidR="002D58C8" w:rsidRPr="00BC7F9D">
          <w:rPr>
            <w:rStyle w:val="Hyperlink"/>
          </w:rPr>
          <w:t>https://doi.org/10.1093/rfs/15.1.1</w:t>
        </w:r>
      </w:hyperlink>
    </w:p>
    <w:p w:rsidR="002D58C8" w:rsidRDefault="00000000" w:rsidP="003D503A">
      <w:pPr>
        <w:spacing w:after="0"/>
        <w:ind w:left="720" w:hanging="720"/>
      </w:pPr>
      <w:r>
        <w:t xml:space="preserve">Freeman, R.E., Harrison, J.S., Wicks, A.C., Parmar, B.L. and de Colle, S. (2010) Stakeholder Theory: The State of the Art. Cambridge: Cambridge University Press. Available at: </w:t>
      </w:r>
      <w:hyperlink r:id="rId18" w:history="1">
        <w:r w:rsidR="002D58C8" w:rsidRPr="00BC7F9D">
          <w:rPr>
            <w:rStyle w:val="Hyperlink"/>
          </w:rPr>
          <w:t>https://www.cambridge.org/core/books/stakeholder-theory/FEA0B845888E463076284961856724C9</w:t>
        </w:r>
      </w:hyperlink>
    </w:p>
    <w:p w:rsidR="002D58C8" w:rsidRDefault="00000000" w:rsidP="003D503A">
      <w:pPr>
        <w:spacing w:after="0"/>
        <w:ind w:left="720" w:hanging="720"/>
      </w:pPr>
      <w:r>
        <w:t xml:space="preserve">García-Teruel, P.J. and Martínez-Solano, P. (2007) ‘Effects of working capital management on SME profitability’, International Journal of Managerial </w:t>
      </w:r>
      <w:r>
        <w:lastRenderedPageBreak/>
        <w:t xml:space="preserve">Finance, 3(2), pp. 164–177. Available at: </w:t>
      </w:r>
      <w:hyperlink r:id="rId19" w:history="1">
        <w:r w:rsidR="002D58C8" w:rsidRPr="00BC7F9D">
          <w:rPr>
            <w:rStyle w:val="Hyperlink"/>
          </w:rPr>
          <w:t>https://doi.org/10.1108/17439130710738718</w:t>
        </w:r>
      </w:hyperlink>
    </w:p>
    <w:p w:rsidR="002D58C8" w:rsidRDefault="00000000" w:rsidP="003D503A">
      <w:pPr>
        <w:spacing w:after="0"/>
        <w:ind w:left="720" w:hanging="720"/>
      </w:pPr>
      <w:r>
        <w:t xml:space="preserve">Gaughan, P.A. (2017) Mergers, Acquisitions, and Corporate Restructurings. 7th edn. Hoboken, NJ: Wiley. Available at: </w:t>
      </w:r>
      <w:hyperlink r:id="rId20" w:history="1">
        <w:r w:rsidR="002D58C8" w:rsidRPr="00BC7F9D">
          <w:rPr>
            <w:rStyle w:val="Hyperlink"/>
          </w:rPr>
          <w:t>https://www.wiley.com/en-us/Mergers%2C+Acquisitions%2C+and+Corporate+Restructurings%2C+7th+Edition-p-9781119380009</w:t>
        </w:r>
      </w:hyperlink>
    </w:p>
    <w:p w:rsidR="002D58C8" w:rsidRDefault="00000000" w:rsidP="003D503A">
      <w:pPr>
        <w:spacing w:after="0"/>
        <w:ind w:left="720" w:hanging="720"/>
      </w:pPr>
      <w:r>
        <w:t xml:space="preserve">Gelsomino, L.M., Mangiaracina, R., Perego, A. and Tumino, A. (2016) ‘Supply chain finance: A literature review’, International Journal of Physical Distribution &amp; Logistics Management, 46(4), pp. 348–366. Available at: </w:t>
      </w:r>
      <w:hyperlink r:id="rId21" w:history="1">
        <w:r w:rsidR="002D58C8" w:rsidRPr="00BC7F9D">
          <w:rPr>
            <w:rStyle w:val="Hyperlink"/>
          </w:rPr>
          <w:t>https://doi.org/10.1108/IJPDLM-08-2014-0173</w:t>
        </w:r>
      </w:hyperlink>
    </w:p>
    <w:p w:rsidR="002D58C8" w:rsidRDefault="00000000" w:rsidP="003D503A">
      <w:pPr>
        <w:spacing w:after="0"/>
        <w:ind w:left="720" w:hanging="720"/>
      </w:pPr>
      <w:r>
        <w:t xml:space="preserve">Gitman, L.J. and Zutter, C.J. (2015) Principles of Managerial Finance. 14th edn. Harlow: Pearson. Available at: </w:t>
      </w:r>
      <w:hyperlink r:id="rId22" w:history="1">
        <w:r w:rsidR="002D58C8" w:rsidRPr="00BC7F9D">
          <w:rPr>
            <w:rStyle w:val="Hyperlink"/>
          </w:rPr>
          <w:t>https://www.pearson.com/en-us/subject-catalog/p/principles-of-managerial-finance/P200000006190/9780133507690</w:t>
        </w:r>
      </w:hyperlink>
    </w:p>
    <w:p w:rsidR="003D503A" w:rsidRDefault="00000000" w:rsidP="003D503A">
      <w:pPr>
        <w:spacing w:after="0"/>
        <w:ind w:left="720" w:hanging="720"/>
      </w:pPr>
      <w:r>
        <w:t xml:space="preserve">Hazen, G.B. (2003) ‘A new perspective on the internal rate of return’, The Engineering Economist, 48(1), pp. 31–51. Available at: </w:t>
      </w:r>
      <w:hyperlink r:id="rId23" w:history="1">
        <w:r w:rsidR="003D503A" w:rsidRPr="00BC7F9D">
          <w:rPr>
            <w:rStyle w:val="Hyperlink"/>
          </w:rPr>
          <w:t>https://doi.org/10.1080/00137910308965050</w:t>
        </w:r>
      </w:hyperlink>
    </w:p>
    <w:p w:rsidR="003D503A" w:rsidRDefault="00000000" w:rsidP="003D503A">
      <w:pPr>
        <w:spacing w:after="0"/>
        <w:ind w:left="720" w:hanging="720"/>
      </w:pPr>
      <w:r>
        <w:t xml:space="preserve">Hitt, M.A., Ireland, R.D. and Hoskisson, R.E. (2020) Strategic Management: Competitiveness and Globalization. 13th edn. Boston, MA: Cengage Learning. Available at: </w:t>
      </w:r>
      <w:hyperlink r:id="rId24" w:history="1">
        <w:r w:rsidR="003D503A" w:rsidRPr="00BC7F9D">
          <w:rPr>
            <w:rStyle w:val="Hyperlink"/>
          </w:rPr>
          <w:t>https://www.cengage.com/c/strategic-management-competitiveness-and-globalization-13e-hitt-ireland-hoskisson/</w:t>
        </w:r>
      </w:hyperlink>
    </w:p>
    <w:p w:rsidR="003D503A" w:rsidRDefault="00000000" w:rsidP="003D503A">
      <w:pPr>
        <w:spacing w:after="0"/>
        <w:ind w:left="720" w:hanging="720"/>
      </w:pPr>
      <w:r>
        <w:t xml:space="preserve">Jensen, M.C. (1986) ‘Agency costs of free cash flow, corporate finance, and takeovers’, American Economic Review, 76(2), pp. 323–329. Available at: </w:t>
      </w:r>
      <w:hyperlink r:id="rId25" w:history="1">
        <w:r w:rsidR="003D503A" w:rsidRPr="00BC7F9D">
          <w:rPr>
            <w:rStyle w:val="Hyperlink"/>
          </w:rPr>
          <w:t>https://www.jstor.org/stable/1818789</w:t>
        </w:r>
      </w:hyperlink>
    </w:p>
    <w:p w:rsidR="003D503A" w:rsidRDefault="00000000" w:rsidP="003D503A">
      <w:pPr>
        <w:spacing w:after="0"/>
        <w:ind w:left="720" w:hanging="720"/>
      </w:pPr>
      <w:r>
        <w:t xml:space="preserve">Magni, C.A. (2010) ‘Average internal rate of return and investment decisions: A new perspective’, The Engineering Economist, 55(2), pp. 150–180. Available at: </w:t>
      </w:r>
      <w:hyperlink r:id="rId26" w:history="1">
        <w:r w:rsidR="003D503A" w:rsidRPr="00BC7F9D">
          <w:rPr>
            <w:rStyle w:val="Hyperlink"/>
          </w:rPr>
          <w:t>https://doi.org/10.1080/00137910903582317</w:t>
        </w:r>
      </w:hyperlink>
    </w:p>
    <w:p w:rsidR="003D503A" w:rsidRDefault="00000000" w:rsidP="003D503A">
      <w:pPr>
        <w:spacing w:after="0"/>
        <w:ind w:left="720" w:hanging="720"/>
      </w:pPr>
      <w:r>
        <w:t xml:space="preserve">Modigliani, F. and Miller, M.H. (1958) ‘The cost of capital, corporation finance and the theory of investment’, American Economic Review, 48(3), pp. 261–297. Available at: </w:t>
      </w:r>
      <w:hyperlink r:id="rId27" w:history="1">
        <w:r w:rsidR="003D503A" w:rsidRPr="00BC7F9D">
          <w:rPr>
            <w:rStyle w:val="Hyperlink"/>
          </w:rPr>
          <w:t>https://www.jstor.org/stable/1809766</w:t>
        </w:r>
      </w:hyperlink>
    </w:p>
    <w:p w:rsidR="003D503A" w:rsidRDefault="00000000" w:rsidP="003D503A">
      <w:pPr>
        <w:spacing w:after="0"/>
        <w:ind w:left="720" w:hanging="720"/>
      </w:pPr>
      <w:r>
        <w:lastRenderedPageBreak/>
        <w:t xml:space="preserve">Myers, S.C. (1974) ‘Interactions of corporate financing and investment decisions: Implications for capital budgeting’, Journal of Finance, 29(1), pp. 1–25. Available at: </w:t>
      </w:r>
      <w:hyperlink r:id="rId28" w:history="1">
        <w:r w:rsidR="003D503A" w:rsidRPr="00BC7F9D">
          <w:rPr>
            <w:rStyle w:val="Hyperlink"/>
          </w:rPr>
          <w:t>https://doi.org/10.1111/j.1540-6261.1974.tb00021.x</w:t>
        </w:r>
      </w:hyperlink>
    </w:p>
    <w:p w:rsidR="003D503A" w:rsidRDefault="00000000" w:rsidP="003D503A">
      <w:pPr>
        <w:spacing w:after="0"/>
        <w:ind w:left="720" w:hanging="720"/>
      </w:pPr>
      <w:r>
        <w:t xml:space="preserve">Myers, S.C. (1984) ‘The capital structure puzzle’, Journal of Finance, 39(3), pp. 575–592. Available at: </w:t>
      </w:r>
      <w:hyperlink r:id="rId29" w:history="1">
        <w:r w:rsidR="003D503A" w:rsidRPr="00BC7F9D">
          <w:rPr>
            <w:rStyle w:val="Hyperlink"/>
          </w:rPr>
          <w:t>https://doi.org/10.1111/j.1540-6261.1984.tb03646.x</w:t>
        </w:r>
      </w:hyperlink>
    </w:p>
    <w:p w:rsidR="003D503A" w:rsidRDefault="00000000" w:rsidP="003D503A">
      <w:pPr>
        <w:spacing w:after="0"/>
        <w:ind w:left="720" w:hanging="720"/>
      </w:pPr>
      <w:r>
        <w:t xml:space="preserve">OECD (2022) OECD Transfer Pricing Guidelines for Multinational Enterprises and Tax Administrations 2022. Paris: OECD Publishing. Available at: </w:t>
      </w:r>
      <w:hyperlink r:id="rId30" w:history="1">
        <w:r w:rsidR="003D503A" w:rsidRPr="00BC7F9D">
          <w:rPr>
            <w:rStyle w:val="Hyperlink"/>
          </w:rPr>
          <w:t>https://www.oecd.org/tax/transfer-pricing/oecd-transfer-pricing-guidelines-for-multinational-enterprises-and-tax-administrations-20769717.htm</w:t>
        </w:r>
      </w:hyperlink>
    </w:p>
    <w:p w:rsidR="003D503A" w:rsidRDefault="00000000" w:rsidP="003D503A">
      <w:pPr>
        <w:spacing w:after="0"/>
        <w:ind w:left="720" w:hanging="720"/>
      </w:pPr>
      <w:r>
        <w:t xml:space="preserve">Ohlson, J.A. (1980) ‘Financial ratios and the probabilistic prediction of bankruptcy’, Journal of Accounting Research, 18(1), pp. 109–131. Available at: </w:t>
      </w:r>
      <w:hyperlink r:id="rId31" w:history="1">
        <w:r w:rsidR="003D503A" w:rsidRPr="00BC7F9D">
          <w:rPr>
            <w:rStyle w:val="Hyperlink"/>
          </w:rPr>
          <w:t>https://doi.org/10.2307/2490395</w:t>
        </w:r>
      </w:hyperlink>
    </w:p>
    <w:p w:rsidR="003D503A" w:rsidRDefault="00000000" w:rsidP="003D503A">
      <w:pPr>
        <w:spacing w:after="0"/>
        <w:ind w:left="720" w:hanging="720"/>
      </w:pPr>
      <w:r>
        <w:t xml:space="preserve">Opler, T., Pinkowitz, L., Stulz, R. and Williamson, R. (1999) ‘The determinants and implications of corporate cash holdings’, Journal of Financial Economics, 52(1), pp. 3–46. Available at: </w:t>
      </w:r>
      <w:hyperlink r:id="rId32" w:history="1">
        <w:r w:rsidR="003D503A" w:rsidRPr="00BC7F9D">
          <w:rPr>
            <w:rStyle w:val="Hyperlink"/>
          </w:rPr>
          <w:t>https://doi.org/10.1016/S0304-405X(99)00003-3</w:t>
        </w:r>
      </w:hyperlink>
    </w:p>
    <w:p w:rsidR="003D503A" w:rsidRDefault="00000000" w:rsidP="003D503A">
      <w:pPr>
        <w:spacing w:after="0"/>
        <w:ind w:left="720" w:hanging="720"/>
      </w:pPr>
      <w:r>
        <w:t xml:space="preserve">PwC (2022) Global Working Capital Study 2022. London: PricewaterhouseCoopers. Available at: </w:t>
      </w:r>
      <w:hyperlink r:id="rId33" w:history="1">
        <w:r w:rsidR="003D503A" w:rsidRPr="00BC7F9D">
          <w:rPr>
            <w:rStyle w:val="Hyperlink"/>
          </w:rPr>
          <w:t>https://www.pwc.com/gx/en/services/deals/publications/working-capital-study.html</w:t>
        </w:r>
      </w:hyperlink>
    </w:p>
    <w:p w:rsidR="003D503A" w:rsidRDefault="00000000" w:rsidP="003D503A">
      <w:pPr>
        <w:spacing w:after="0"/>
        <w:ind w:left="720" w:hanging="720"/>
      </w:pPr>
      <w:r>
        <w:t xml:space="preserve">Ross, S.A., </w:t>
      </w:r>
      <w:proofErr w:type="spellStart"/>
      <w:r>
        <w:t>Westerfield</w:t>
      </w:r>
      <w:proofErr w:type="spellEnd"/>
      <w:r>
        <w:t xml:space="preserve">, R.W., Jaffe, J.F. and Jordan, B.D. (2022) Corporate Finance. 13th edn. New York: McGraw-Hill Education. Available at: </w:t>
      </w:r>
      <w:hyperlink r:id="rId34" w:history="1">
        <w:r w:rsidR="003D503A" w:rsidRPr="00BC7F9D">
          <w:rPr>
            <w:rStyle w:val="Hyperlink"/>
          </w:rPr>
          <w:t>https://www.mheducation.com/highered/product/corporate-finance-ross-westerfield/M9781264114245.html</w:t>
        </w:r>
      </w:hyperlink>
    </w:p>
    <w:p w:rsidR="003D503A" w:rsidRDefault="00000000" w:rsidP="003D503A">
      <w:pPr>
        <w:spacing w:after="0"/>
        <w:ind w:left="720" w:hanging="720"/>
      </w:pPr>
      <w:r>
        <w:t xml:space="preserve">Soliman, M.T. (2008) ‘The use of DuPont analysis by market participants’, The Accounting Review, 83(3), pp. 823–853. Available at: </w:t>
      </w:r>
      <w:hyperlink r:id="rId35" w:history="1">
        <w:r w:rsidR="003D503A" w:rsidRPr="00BC7F9D">
          <w:rPr>
            <w:rStyle w:val="Hyperlink"/>
          </w:rPr>
          <w:t>https://doi.org/10.2308/accr.2008.83.3.823</w:t>
        </w:r>
      </w:hyperlink>
    </w:p>
    <w:p w:rsidR="003D503A" w:rsidRDefault="00000000" w:rsidP="003D503A">
      <w:pPr>
        <w:spacing w:after="0"/>
        <w:ind w:left="720" w:hanging="720"/>
      </w:pPr>
      <w:r>
        <w:t xml:space="preserve">Tesla, Inc. (2022) Annual report on Form 10-K for the year ended 31 December 2021. U.S. Securities and Exchange Commission. Available at: </w:t>
      </w:r>
      <w:hyperlink r:id="rId36" w:history="1">
        <w:r w:rsidR="003D503A" w:rsidRPr="00BC7F9D">
          <w:rPr>
            <w:rStyle w:val="Hyperlink"/>
          </w:rPr>
          <w:t>https://www.sec.gov/Archives/edgar/data/1318605/000095017022000796/tsla-20211231.htm</w:t>
        </w:r>
      </w:hyperlink>
    </w:p>
    <w:p w:rsidR="003D503A" w:rsidRDefault="00000000" w:rsidP="003D503A">
      <w:pPr>
        <w:spacing w:after="0"/>
        <w:ind w:left="720" w:hanging="720"/>
      </w:pPr>
      <w:r>
        <w:lastRenderedPageBreak/>
        <w:t xml:space="preserve">Tesla, Inc. (2023) Annual report on Form 10-K for the year ended 31 December 2022. U.S. Securities and Exchange Commission. Available at: </w:t>
      </w:r>
      <w:hyperlink r:id="rId37" w:history="1">
        <w:r w:rsidR="003D503A" w:rsidRPr="00BC7F9D">
          <w:rPr>
            <w:rStyle w:val="Hyperlink"/>
          </w:rPr>
          <w:t>https://www.sec.gov/Archives/edgar/data/1318605/000095017023001409/tsla-20221231.htm</w:t>
        </w:r>
      </w:hyperlink>
    </w:p>
    <w:p w:rsidR="003D503A" w:rsidRDefault="00000000" w:rsidP="003D503A">
      <w:pPr>
        <w:spacing w:after="0"/>
        <w:ind w:left="720" w:hanging="720"/>
      </w:pPr>
      <w:r>
        <w:t xml:space="preserve">Tesla, Inc. (2024) Annual report on Form 10-K for the year ended 31 December 2023. U.S. Securities and Exchange Commission. Available at: </w:t>
      </w:r>
      <w:hyperlink r:id="rId38" w:history="1">
        <w:r w:rsidR="003D503A" w:rsidRPr="00BC7F9D">
          <w:rPr>
            <w:rStyle w:val="Hyperlink"/>
          </w:rPr>
          <w:t>https://www.sec.gov/Archives/edgar/data/1318605/000162828024002390/tsla-20231231.htm</w:t>
        </w:r>
      </w:hyperlink>
    </w:p>
    <w:p w:rsidR="003D503A" w:rsidRDefault="00000000" w:rsidP="003D503A">
      <w:pPr>
        <w:spacing w:after="0"/>
        <w:ind w:left="720" w:hanging="720"/>
      </w:pPr>
      <w:r>
        <w:t xml:space="preserve">Tesla, Inc. (2025) Annual report on Form 10-K for the year ended 31 December 2024. U.S. Securities and Exchange Commission. Available at: </w:t>
      </w:r>
      <w:hyperlink r:id="rId39" w:history="1">
        <w:r w:rsidR="003D503A" w:rsidRPr="00BC7F9D">
          <w:rPr>
            <w:rStyle w:val="Hyperlink"/>
          </w:rPr>
          <w:t>https://www.sec.gov/Archives/edgar/data/1318605/000162828025003063/tsla-20241231.htm</w:t>
        </w:r>
      </w:hyperlink>
    </w:p>
    <w:p w:rsidR="003D503A" w:rsidRDefault="00000000" w:rsidP="003D503A">
      <w:pPr>
        <w:spacing w:after="0"/>
        <w:ind w:left="720" w:hanging="720"/>
      </w:pPr>
      <w:r>
        <w:t xml:space="preserve">Tesla, Inc. (2026) Annual report on Form 10-K for the year ended 31 December 2025. U.S. Securities and Exchange Commission. Available at: </w:t>
      </w:r>
      <w:hyperlink r:id="rId40" w:history="1">
        <w:r w:rsidR="003D503A" w:rsidRPr="00BC7F9D">
          <w:rPr>
            <w:rStyle w:val="Hyperlink"/>
          </w:rPr>
          <w:t>https://www.sec.gov/Archives/edgar/data/1318605/000162828026003952/tsla-20251231.htm</w:t>
        </w:r>
      </w:hyperlink>
    </w:p>
    <w:p w:rsidR="003D503A" w:rsidRDefault="00000000" w:rsidP="003D503A">
      <w:pPr>
        <w:spacing w:after="0"/>
        <w:ind w:left="720" w:hanging="720"/>
      </w:pPr>
      <w:proofErr w:type="spellStart"/>
      <w:r>
        <w:t>Trigeorgis</w:t>
      </w:r>
      <w:proofErr w:type="spellEnd"/>
      <w:r>
        <w:t xml:space="preserve">, L. (1996) Real Options: Managerial Flexibility and Strategy in Resource Allocation. Cambridge, MA: MIT Press. Available at: </w:t>
      </w:r>
      <w:hyperlink r:id="rId41" w:history="1">
        <w:r w:rsidR="003D503A" w:rsidRPr="00BC7F9D">
          <w:rPr>
            <w:rStyle w:val="Hyperlink"/>
          </w:rPr>
          <w:t>https://mitpress.mit.edu/9780262201028/real-options/</w:t>
        </w:r>
      </w:hyperlink>
    </w:p>
    <w:p w:rsidR="00AB3C74" w:rsidRDefault="00000000" w:rsidP="003D503A">
      <w:pPr>
        <w:spacing w:after="0"/>
        <w:ind w:left="720" w:hanging="720"/>
      </w:pPr>
      <w:r>
        <w:t xml:space="preserve">Zmijewski, M.E. (1984) ‘Methodological issues related to the estimation of financial distress prediction models’, Journal of Accounting Research, 22, pp. 59–82. Available at: </w:t>
      </w:r>
      <w:hyperlink r:id="rId42" w:history="1">
        <w:r w:rsidR="0087161C" w:rsidRPr="00BC7F9D">
          <w:rPr>
            <w:rStyle w:val="Hyperlink"/>
          </w:rPr>
          <w:t>https://doi.org/10.2307/2490859</w:t>
        </w:r>
      </w:hyperlink>
    </w:p>
    <w:p w:rsidR="00B84F6A" w:rsidRDefault="00B84F6A"/>
    <w:p w:rsidR="00B84F6A" w:rsidRDefault="00B84F6A"/>
    <w:p w:rsidR="00B84F6A" w:rsidRDefault="00B84F6A"/>
    <w:p w:rsidR="00DC32B2" w:rsidRDefault="00DC32B2">
      <w:pPr>
        <w:spacing w:after="200" w:line="276" w:lineRule="auto"/>
        <w:rPr>
          <w:rFonts w:eastAsiaTheme="majorEastAsia" w:cs="Arial"/>
          <w:b/>
          <w:bCs/>
          <w:color w:val="000000" w:themeColor="text1"/>
          <w:sz w:val="32"/>
          <w:szCs w:val="32"/>
        </w:rPr>
      </w:pPr>
      <w:bookmarkStart w:id="27" w:name="_Toc222315106"/>
      <w:r>
        <w:rPr>
          <w:rFonts w:cs="Arial"/>
          <w:color w:val="000000" w:themeColor="text1"/>
          <w:sz w:val="32"/>
          <w:szCs w:val="32"/>
        </w:rPr>
        <w:br w:type="page"/>
      </w:r>
    </w:p>
    <w:p w:rsidR="00DC32B2" w:rsidRPr="00DC32B2" w:rsidRDefault="00B84F6A" w:rsidP="00DC32B2">
      <w:pPr>
        <w:pStyle w:val="Heading1"/>
        <w:rPr>
          <w:rFonts w:ascii="Arial" w:hAnsi="Arial" w:cs="Arial"/>
          <w:color w:val="000000" w:themeColor="text1"/>
          <w:sz w:val="32"/>
          <w:szCs w:val="32"/>
        </w:rPr>
      </w:pPr>
      <w:r w:rsidRPr="00B84F6A">
        <w:rPr>
          <w:rFonts w:ascii="Arial" w:hAnsi="Arial" w:cs="Arial"/>
          <w:color w:val="000000" w:themeColor="text1"/>
          <w:sz w:val="32"/>
          <w:szCs w:val="32"/>
        </w:rPr>
        <w:lastRenderedPageBreak/>
        <w:t>Appendix</w:t>
      </w:r>
      <w:bookmarkEnd w:id="27"/>
    </w:p>
    <w:p w:rsidR="00DC32B2" w:rsidRDefault="00DC32B2" w:rsidP="00DC32B2">
      <w:r>
        <w:t>Raw Data</w:t>
      </w:r>
    </w:p>
    <w:p w:rsidR="00DC32B2" w:rsidRDefault="00DC32B2" w:rsidP="00DC32B2">
      <w:pPr>
        <w:jc w:val="center"/>
      </w:pPr>
      <w:r w:rsidRPr="00DC32B2">
        <w:drawing>
          <wp:inline distT="0" distB="0" distL="0" distR="0">
            <wp:extent cx="2666709" cy="6024880"/>
            <wp:effectExtent l="0" t="0" r="635" b="0"/>
            <wp:docPr id="1619579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679278" cy="6053276"/>
                    </a:xfrm>
                    <a:prstGeom prst="rect">
                      <a:avLst/>
                    </a:prstGeom>
                    <a:noFill/>
                    <a:ln>
                      <a:noFill/>
                    </a:ln>
                  </pic:spPr>
                </pic:pic>
              </a:graphicData>
            </a:graphic>
          </wp:inline>
        </w:drawing>
      </w:r>
    </w:p>
    <w:p w:rsidR="00DC32B2" w:rsidRDefault="00DC32B2" w:rsidP="00DC32B2">
      <w:pPr>
        <w:jc w:val="center"/>
      </w:pPr>
      <w:r w:rsidRPr="00DC32B2">
        <w:lastRenderedPageBreak/>
        <w:drawing>
          <wp:inline distT="0" distB="0" distL="0" distR="0">
            <wp:extent cx="3590925" cy="7696200"/>
            <wp:effectExtent l="0" t="0" r="9525" b="0"/>
            <wp:docPr id="16358058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08570" cy="7734017"/>
                    </a:xfrm>
                    <a:prstGeom prst="rect">
                      <a:avLst/>
                    </a:prstGeom>
                    <a:noFill/>
                    <a:ln>
                      <a:noFill/>
                    </a:ln>
                  </pic:spPr>
                </pic:pic>
              </a:graphicData>
            </a:graphic>
          </wp:inline>
        </w:drawing>
      </w:r>
    </w:p>
    <w:p w:rsidR="00DC32B2" w:rsidRDefault="00DC32B2" w:rsidP="00DC32B2">
      <w:pPr>
        <w:jc w:val="center"/>
      </w:pPr>
      <w:r w:rsidRPr="00DC32B2">
        <w:lastRenderedPageBreak/>
        <w:drawing>
          <wp:inline distT="0" distB="0" distL="0" distR="0">
            <wp:extent cx="3439064" cy="7649210"/>
            <wp:effectExtent l="0" t="0" r="9525" b="0"/>
            <wp:docPr id="18738300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449030" cy="7671376"/>
                    </a:xfrm>
                    <a:prstGeom prst="rect">
                      <a:avLst/>
                    </a:prstGeom>
                    <a:noFill/>
                    <a:ln>
                      <a:noFill/>
                    </a:ln>
                  </pic:spPr>
                </pic:pic>
              </a:graphicData>
            </a:graphic>
          </wp:inline>
        </w:drawing>
      </w:r>
    </w:p>
    <w:p w:rsidR="00DC32B2" w:rsidRDefault="00DC32B2" w:rsidP="00DC32B2"/>
    <w:p w:rsidR="00DC32B2" w:rsidRDefault="00DC32B2" w:rsidP="00DC32B2">
      <w:r>
        <w:lastRenderedPageBreak/>
        <w:t>Ratio Analysis</w:t>
      </w:r>
    </w:p>
    <w:p w:rsidR="00DC32B2" w:rsidRDefault="00DC32B2" w:rsidP="00DC32B2">
      <w:r w:rsidRPr="00DC32B2">
        <w:drawing>
          <wp:inline distT="0" distB="0" distL="0" distR="0">
            <wp:extent cx="4449445" cy="1684655"/>
            <wp:effectExtent l="0" t="0" r="8255" b="0"/>
            <wp:docPr id="1159026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49445" cy="1684655"/>
                    </a:xfrm>
                    <a:prstGeom prst="rect">
                      <a:avLst/>
                    </a:prstGeom>
                    <a:noFill/>
                    <a:ln>
                      <a:noFill/>
                    </a:ln>
                  </pic:spPr>
                </pic:pic>
              </a:graphicData>
            </a:graphic>
          </wp:inline>
        </w:drawing>
      </w:r>
    </w:p>
    <w:p w:rsidR="00DC32B2" w:rsidRDefault="00DC32B2" w:rsidP="00DC32B2">
      <w:r w:rsidRPr="00DC32B2">
        <w:drawing>
          <wp:inline distT="0" distB="0" distL="0" distR="0">
            <wp:extent cx="5486400" cy="1539875"/>
            <wp:effectExtent l="0" t="0" r="0" b="3175"/>
            <wp:docPr id="6266696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6400" cy="1539875"/>
                    </a:xfrm>
                    <a:prstGeom prst="rect">
                      <a:avLst/>
                    </a:prstGeom>
                    <a:noFill/>
                    <a:ln>
                      <a:noFill/>
                    </a:ln>
                  </pic:spPr>
                </pic:pic>
              </a:graphicData>
            </a:graphic>
          </wp:inline>
        </w:drawing>
      </w:r>
    </w:p>
    <w:p w:rsidR="00DC32B2" w:rsidRDefault="00DC32B2" w:rsidP="00DC32B2">
      <w:r w:rsidRPr="00DC32B2">
        <w:drawing>
          <wp:inline distT="0" distB="0" distL="0" distR="0">
            <wp:extent cx="5486400" cy="1033145"/>
            <wp:effectExtent l="0" t="0" r="0" b="0"/>
            <wp:docPr id="764161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86400" cy="1033145"/>
                    </a:xfrm>
                    <a:prstGeom prst="rect">
                      <a:avLst/>
                    </a:prstGeom>
                    <a:noFill/>
                    <a:ln>
                      <a:noFill/>
                    </a:ln>
                  </pic:spPr>
                </pic:pic>
              </a:graphicData>
            </a:graphic>
          </wp:inline>
        </w:drawing>
      </w:r>
    </w:p>
    <w:p w:rsidR="00DC32B2" w:rsidRDefault="00DC32B2" w:rsidP="00DC32B2">
      <w:r w:rsidRPr="00DC32B2">
        <w:drawing>
          <wp:inline distT="0" distB="0" distL="0" distR="0">
            <wp:extent cx="5486400" cy="2990850"/>
            <wp:effectExtent l="0" t="0" r="0" b="0"/>
            <wp:docPr id="14426222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86400" cy="2990850"/>
                    </a:xfrm>
                    <a:prstGeom prst="rect">
                      <a:avLst/>
                    </a:prstGeom>
                    <a:noFill/>
                    <a:ln>
                      <a:noFill/>
                    </a:ln>
                  </pic:spPr>
                </pic:pic>
              </a:graphicData>
            </a:graphic>
          </wp:inline>
        </w:drawing>
      </w:r>
    </w:p>
    <w:p w:rsidR="00DC32B2" w:rsidRPr="00DC32B2" w:rsidRDefault="00DC32B2" w:rsidP="00DC32B2">
      <w:r>
        <w:lastRenderedPageBreak/>
        <w:t>Project Analysis</w:t>
      </w:r>
    </w:p>
    <w:p w:rsidR="00B84F6A" w:rsidRDefault="00B84F6A">
      <w:r w:rsidRPr="00B84F6A">
        <w:rPr>
          <w:noProof/>
        </w:rPr>
        <w:drawing>
          <wp:inline distT="0" distB="0" distL="0" distR="0">
            <wp:extent cx="5486400" cy="1713230"/>
            <wp:effectExtent l="0" t="0" r="0" b="1270"/>
            <wp:docPr id="11560775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486400" cy="1713230"/>
                    </a:xfrm>
                    <a:prstGeom prst="rect">
                      <a:avLst/>
                    </a:prstGeom>
                    <a:noFill/>
                    <a:ln>
                      <a:noFill/>
                    </a:ln>
                  </pic:spPr>
                </pic:pic>
              </a:graphicData>
            </a:graphic>
          </wp:inline>
        </w:drawing>
      </w:r>
    </w:p>
    <w:p w:rsidR="00B84F6A" w:rsidRDefault="00B84F6A"/>
    <w:p w:rsidR="00B84F6A" w:rsidRDefault="00B84F6A">
      <w:r w:rsidRPr="00B84F6A">
        <w:rPr>
          <w:noProof/>
        </w:rPr>
        <w:drawing>
          <wp:inline distT="0" distB="0" distL="0" distR="0">
            <wp:extent cx="5486400" cy="1903730"/>
            <wp:effectExtent l="0" t="0" r="0" b="1270"/>
            <wp:docPr id="1654917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86400" cy="1903730"/>
                    </a:xfrm>
                    <a:prstGeom prst="rect">
                      <a:avLst/>
                    </a:prstGeom>
                    <a:noFill/>
                    <a:ln>
                      <a:noFill/>
                    </a:ln>
                  </pic:spPr>
                </pic:pic>
              </a:graphicData>
            </a:graphic>
          </wp:inline>
        </w:drawing>
      </w:r>
    </w:p>
    <w:p w:rsidR="00B84F6A" w:rsidRDefault="00B84F6A"/>
    <w:p w:rsidR="00B84F6A" w:rsidRDefault="00B84F6A">
      <w:r w:rsidRPr="00B84F6A">
        <w:rPr>
          <w:noProof/>
        </w:rPr>
        <w:drawing>
          <wp:inline distT="0" distB="0" distL="0" distR="0">
            <wp:extent cx="5486400" cy="1913890"/>
            <wp:effectExtent l="0" t="0" r="0" b="0"/>
            <wp:docPr id="3905753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86400" cy="1913890"/>
                    </a:xfrm>
                    <a:prstGeom prst="rect">
                      <a:avLst/>
                    </a:prstGeom>
                    <a:noFill/>
                    <a:ln>
                      <a:noFill/>
                    </a:ln>
                  </pic:spPr>
                </pic:pic>
              </a:graphicData>
            </a:graphic>
          </wp:inline>
        </w:drawing>
      </w:r>
    </w:p>
    <w:p w:rsidR="00B84F6A" w:rsidRDefault="00B84F6A"/>
    <w:p w:rsidR="0087161C" w:rsidRDefault="0087161C">
      <w:r>
        <w:rPr>
          <w:noProof/>
        </w:rPr>
        <w:lastRenderedPageBreak/>
        <w:drawing>
          <wp:inline distT="0" distB="0" distL="0" distR="0" wp14:anchorId="55505BA1">
            <wp:extent cx="5487035" cy="4115435"/>
            <wp:effectExtent l="0" t="0" r="0" b="0"/>
            <wp:docPr id="19544658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487035" cy="4115435"/>
                    </a:xfrm>
                    <a:prstGeom prst="rect">
                      <a:avLst/>
                    </a:prstGeom>
                    <a:noFill/>
                  </pic:spPr>
                </pic:pic>
              </a:graphicData>
            </a:graphic>
          </wp:inline>
        </w:drawing>
      </w:r>
    </w:p>
    <w:p w:rsidR="0087161C" w:rsidRDefault="0087161C"/>
    <w:sectPr w:rsidR="0087161C" w:rsidSect="00034616">
      <w:footerReference w:type="default" r:id="rId5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42729" w:rsidRDefault="00E42729">
      <w:pPr>
        <w:spacing w:after="0" w:line="240" w:lineRule="auto"/>
      </w:pPr>
      <w:r>
        <w:separator/>
      </w:r>
    </w:p>
  </w:endnote>
  <w:endnote w:type="continuationSeparator" w:id="0">
    <w:p w:rsidR="00E42729" w:rsidRDefault="00E42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1070921"/>
      <w:docPartObj>
        <w:docPartGallery w:val="Page Numbers (Bottom of Page)"/>
        <w:docPartUnique/>
      </w:docPartObj>
    </w:sdtPr>
    <w:sdtEndPr>
      <w:rPr>
        <w:color w:val="7F7F7F" w:themeColor="background1" w:themeShade="7F"/>
        <w:spacing w:val="60"/>
      </w:rPr>
    </w:sdtEndPr>
    <w:sdtContent>
      <w:p w:rsidR="00B84F6A" w:rsidRDefault="00B84F6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AB3C74" w:rsidRDefault="00AB3C7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42729" w:rsidRDefault="00E42729">
      <w:pPr>
        <w:spacing w:after="0" w:line="240" w:lineRule="auto"/>
      </w:pPr>
      <w:r>
        <w:separator/>
      </w:r>
    </w:p>
  </w:footnote>
  <w:footnote w:type="continuationSeparator" w:id="0">
    <w:p w:rsidR="00E42729" w:rsidRDefault="00E42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21668895">
    <w:abstractNumId w:val="8"/>
  </w:num>
  <w:num w:numId="2" w16cid:durableId="1393117502">
    <w:abstractNumId w:val="6"/>
  </w:num>
  <w:num w:numId="3" w16cid:durableId="1972518287">
    <w:abstractNumId w:val="5"/>
  </w:num>
  <w:num w:numId="4" w16cid:durableId="972171189">
    <w:abstractNumId w:val="4"/>
  </w:num>
  <w:num w:numId="5" w16cid:durableId="346373049">
    <w:abstractNumId w:val="7"/>
  </w:num>
  <w:num w:numId="6" w16cid:durableId="1199973708">
    <w:abstractNumId w:val="3"/>
  </w:num>
  <w:num w:numId="7" w16cid:durableId="219295057">
    <w:abstractNumId w:val="2"/>
  </w:num>
  <w:num w:numId="8" w16cid:durableId="670835115">
    <w:abstractNumId w:val="1"/>
  </w:num>
  <w:num w:numId="9" w16cid:durableId="1666125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47D9"/>
    <w:rsid w:val="0006063C"/>
    <w:rsid w:val="00111894"/>
    <w:rsid w:val="0015074B"/>
    <w:rsid w:val="001C083D"/>
    <w:rsid w:val="00213EE9"/>
    <w:rsid w:val="0029639D"/>
    <w:rsid w:val="002D58C8"/>
    <w:rsid w:val="00326F90"/>
    <w:rsid w:val="003304E3"/>
    <w:rsid w:val="00370945"/>
    <w:rsid w:val="003D503A"/>
    <w:rsid w:val="00453091"/>
    <w:rsid w:val="004F732B"/>
    <w:rsid w:val="005159D2"/>
    <w:rsid w:val="00653A3C"/>
    <w:rsid w:val="0067224F"/>
    <w:rsid w:val="006978DC"/>
    <w:rsid w:val="0087161C"/>
    <w:rsid w:val="00927444"/>
    <w:rsid w:val="009839B9"/>
    <w:rsid w:val="009C4B9F"/>
    <w:rsid w:val="00A1592C"/>
    <w:rsid w:val="00AA1D8D"/>
    <w:rsid w:val="00AB3C74"/>
    <w:rsid w:val="00AC5730"/>
    <w:rsid w:val="00B07DB7"/>
    <w:rsid w:val="00B47730"/>
    <w:rsid w:val="00B521B2"/>
    <w:rsid w:val="00B84F6A"/>
    <w:rsid w:val="00C41B93"/>
    <w:rsid w:val="00CB0664"/>
    <w:rsid w:val="00D7466F"/>
    <w:rsid w:val="00DC03A2"/>
    <w:rsid w:val="00DC32B2"/>
    <w:rsid w:val="00DC680A"/>
    <w:rsid w:val="00DF503E"/>
    <w:rsid w:val="00E42729"/>
    <w:rsid w:val="00EC6BF4"/>
    <w:rsid w:val="00FB1477"/>
    <w:rsid w:val="00FB6E8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BA491E"/>
  <w14:defaultImageDpi w14:val="300"/>
  <w15:docId w15:val="{1C27A582-5A91-4904-90D0-D5AA45B3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120" w:after="6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7161C"/>
    <w:rPr>
      <w:color w:val="0000FF" w:themeColor="hyperlink"/>
      <w:u w:val="single"/>
    </w:rPr>
  </w:style>
  <w:style w:type="character" w:styleId="UnresolvedMention">
    <w:name w:val="Unresolved Mention"/>
    <w:basedOn w:val="DefaultParagraphFont"/>
    <w:uiPriority w:val="99"/>
    <w:semiHidden/>
    <w:unhideWhenUsed/>
    <w:rsid w:val="0087161C"/>
    <w:rPr>
      <w:color w:val="605E5C"/>
      <w:shd w:val="clear" w:color="auto" w:fill="E1DFDD"/>
    </w:rPr>
  </w:style>
  <w:style w:type="paragraph" w:styleId="TOC1">
    <w:name w:val="toc 1"/>
    <w:basedOn w:val="Normal"/>
    <w:next w:val="Normal"/>
    <w:autoRedefine/>
    <w:uiPriority w:val="39"/>
    <w:unhideWhenUsed/>
    <w:rsid w:val="00B84F6A"/>
    <w:pPr>
      <w:spacing w:after="100"/>
    </w:pPr>
  </w:style>
  <w:style w:type="paragraph" w:styleId="TOC2">
    <w:name w:val="toc 2"/>
    <w:basedOn w:val="Normal"/>
    <w:next w:val="Normal"/>
    <w:autoRedefine/>
    <w:uiPriority w:val="39"/>
    <w:unhideWhenUsed/>
    <w:rsid w:val="00B84F6A"/>
    <w:pPr>
      <w:spacing w:after="100"/>
      <w:ind w:left="240"/>
    </w:pPr>
  </w:style>
  <w:style w:type="paragraph" w:styleId="TableofFigures">
    <w:name w:val="table of figures"/>
    <w:basedOn w:val="Normal"/>
    <w:next w:val="Normal"/>
    <w:uiPriority w:val="99"/>
    <w:unhideWhenUsed/>
    <w:rsid w:val="00B84F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arson.com/en-gb/subject-catalog/p/accounting-and-finance-for-non-specialists/P200000005818/9781292409114" TargetMode="External"/><Relationship Id="rId18" Type="http://schemas.openxmlformats.org/officeDocument/2006/relationships/hyperlink" Target="https://www.cambridge.org/core/books/stakeholder-theory/FEA0B845888E463076284961856724C9" TargetMode="External"/><Relationship Id="rId26" Type="http://schemas.openxmlformats.org/officeDocument/2006/relationships/hyperlink" Target="https://doi.org/10.1080/00137910903582317" TargetMode="External"/><Relationship Id="rId39" Type="http://schemas.openxmlformats.org/officeDocument/2006/relationships/hyperlink" Target="https://www.sec.gov/Archives/edgar/data/1318605/000162828025003063/tsla-20241231.htm" TargetMode="External"/><Relationship Id="rId21" Type="http://schemas.openxmlformats.org/officeDocument/2006/relationships/hyperlink" Target="https://doi.org/10.1108/IJPDLM-08-2014-0173" TargetMode="External"/><Relationship Id="rId34" Type="http://schemas.openxmlformats.org/officeDocument/2006/relationships/hyperlink" Target="https://www.mheducation.com/highered/product/corporate-finance-ross-westerfield/M9781264114245.html" TargetMode="External"/><Relationship Id="rId42" Type="http://schemas.openxmlformats.org/officeDocument/2006/relationships/hyperlink" Target="https://doi.org/10.2307/2490859" TargetMode="External"/><Relationship Id="rId47" Type="http://schemas.openxmlformats.org/officeDocument/2006/relationships/image" Target="media/image9.emf"/><Relationship Id="rId50" Type="http://schemas.openxmlformats.org/officeDocument/2006/relationships/image" Target="media/image12.emf"/><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1468-5957.00008" TargetMode="External"/><Relationship Id="rId29" Type="http://schemas.openxmlformats.org/officeDocument/2006/relationships/hyperlink" Target="https://doi.org/10.1111/j.1540-6261.1984.tb03646.x" TargetMode="External"/><Relationship Id="rId11" Type="http://schemas.openxmlformats.org/officeDocument/2006/relationships/image" Target="media/image4.png"/><Relationship Id="rId24" Type="http://schemas.openxmlformats.org/officeDocument/2006/relationships/hyperlink" Target="https://www.cengage.com/c/strategic-management-competitiveness-and-globalization-13e-hitt-ireland-hoskisson/" TargetMode="External"/><Relationship Id="rId32" Type="http://schemas.openxmlformats.org/officeDocument/2006/relationships/hyperlink" Target="https://doi.org/10.1016/S0304-405X(99)00003-3" TargetMode="External"/><Relationship Id="rId37" Type="http://schemas.openxmlformats.org/officeDocument/2006/relationships/hyperlink" Target="https://www.sec.gov/Archives/edgar/data/1318605/000095017023001409/tsla-20221231.htm" TargetMode="External"/><Relationship Id="rId40" Type="http://schemas.openxmlformats.org/officeDocument/2006/relationships/hyperlink" Target="https://www.sec.gov/Archives/edgar/data/1318605/000162828026003952/tsla-20251231.htm" TargetMode="External"/><Relationship Id="rId45" Type="http://schemas.openxmlformats.org/officeDocument/2006/relationships/image" Target="media/image7.emf"/><Relationship Id="rId53" Type="http://schemas.openxmlformats.org/officeDocument/2006/relationships/image" Target="media/image15.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1108/17439130710738718" TargetMode="External"/><Relationship Id="rId31" Type="http://schemas.openxmlformats.org/officeDocument/2006/relationships/hyperlink" Target="https://doi.org/10.2307/2490395" TargetMode="External"/><Relationship Id="rId44" Type="http://schemas.openxmlformats.org/officeDocument/2006/relationships/image" Target="media/image6.emf"/><Relationship Id="rId52"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013791X.2016.1240854" TargetMode="External"/><Relationship Id="rId22" Type="http://schemas.openxmlformats.org/officeDocument/2006/relationships/hyperlink" Target="https://www.pearson.com/en-us/subject-catalog/p/principles-of-managerial-finance/P200000006190/9780133507690" TargetMode="External"/><Relationship Id="rId27" Type="http://schemas.openxmlformats.org/officeDocument/2006/relationships/hyperlink" Target="https://www.jstor.org/stable/1809766" TargetMode="External"/><Relationship Id="rId30" Type="http://schemas.openxmlformats.org/officeDocument/2006/relationships/hyperlink" Target="https://www.oecd.org/tax/transfer-pricing/oecd-transfer-pricing-guidelines-for-multinational-enterprises-and-tax-administrations-20769717.htm" TargetMode="External"/><Relationship Id="rId35" Type="http://schemas.openxmlformats.org/officeDocument/2006/relationships/hyperlink" Target="https://doi.org/10.2308/accr.2008.83.3.823" TargetMode="External"/><Relationship Id="rId43" Type="http://schemas.openxmlformats.org/officeDocument/2006/relationships/image" Target="media/image5.emf"/><Relationship Id="rId48" Type="http://schemas.openxmlformats.org/officeDocument/2006/relationships/image" Target="media/image10.emf"/><Relationship Id="rId56"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image" Target="media/image13.emf"/><Relationship Id="rId3" Type="http://schemas.openxmlformats.org/officeDocument/2006/relationships/styles" Target="styles.xml"/><Relationship Id="rId12" Type="http://schemas.openxmlformats.org/officeDocument/2006/relationships/hyperlink" Target="https://doi.org/10.1111/j.1540-6261.1968.tb00843.x" TargetMode="External"/><Relationship Id="rId17" Type="http://schemas.openxmlformats.org/officeDocument/2006/relationships/hyperlink" Target="https://doi.org/10.1093/rfs/15.1.1" TargetMode="External"/><Relationship Id="rId25" Type="http://schemas.openxmlformats.org/officeDocument/2006/relationships/hyperlink" Target="https://www.jstor.org/stable/1818789" TargetMode="External"/><Relationship Id="rId33" Type="http://schemas.openxmlformats.org/officeDocument/2006/relationships/hyperlink" Target="https://www.pwc.com/gx/en/services/deals/publications/working-capital-study.html" TargetMode="External"/><Relationship Id="rId38" Type="http://schemas.openxmlformats.org/officeDocument/2006/relationships/hyperlink" Target="https://www.sec.gov/Archives/edgar/data/1318605/000162828024002390/tsla-20231231.htm" TargetMode="External"/><Relationship Id="rId46" Type="http://schemas.openxmlformats.org/officeDocument/2006/relationships/image" Target="media/image8.emf"/><Relationship Id="rId20" Type="http://schemas.openxmlformats.org/officeDocument/2006/relationships/hyperlink" Target="https://www.wiley.com/en-us/Mergers%2C+Acquisitions%2C+and+Corporate+Restructurings%2C+7th+Edition-p-9781119380009" TargetMode="External"/><Relationship Id="rId41" Type="http://schemas.openxmlformats.org/officeDocument/2006/relationships/hyperlink" Target="https://mitpress.mit.edu/9780262201028/real-options/"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heducation.com/highered/product/principles-corporate-finance-brealey-myers/M9781260013900.html" TargetMode="External"/><Relationship Id="rId23" Type="http://schemas.openxmlformats.org/officeDocument/2006/relationships/hyperlink" Target="https://doi.org/10.1080/00137910308965050" TargetMode="External"/><Relationship Id="rId28" Type="http://schemas.openxmlformats.org/officeDocument/2006/relationships/hyperlink" Target="https://doi.org/10.1111/j.1540-6261.1974.tb00021.x" TargetMode="External"/><Relationship Id="rId36" Type="http://schemas.openxmlformats.org/officeDocument/2006/relationships/hyperlink" Target="https://www.sec.gov/Archives/edgar/data/1318605/000095017022000796/tsla-20211231.htm" TargetMode="External"/><Relationship Id="rId49"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7068</Words>
  <Characters>40288</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47262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a</dc:description>
  <cp:lastModifiedBy>Ritu Panna Saha</cp:lastModifiedBy>
  <cp:revision>2</cp:revision>
  <dcterms:created xsi:type="dcterms:W3CDTF">2026-03-24T09:53:00Z</dcterms:created>
  <dcterms:modified xsi:type="dcterms:W3CDTF">2026-03-24T09:53:00Z</dcterms:modified>
  <cp:category/>
</cp:coreProperties>
</file>