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E8352" w14:textId="77777777" w:rsidR="006A1038" w:rsidRDefault="006A1038" w:rsidP="006A1038">
      <w:pPr>
        <w:shd w:val="clear" w:color="auto" w:fill="FFFFFF"/>
        <w:tabs>
          <w:tab w:val="left" w:pos="720"/>
          <w:tab w:val="left" w:pos="1440"/>
          <w:tab w:val="left" w:pos="2160"/>
          <w:tab w:val="left" w:pos="2880"/>
        </w:tabs>
      </w:pPr>
    </w:p>
    <w:p w14:paraId="4B2FEFBD" w14:textId="596D0C3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Throughout this assignment, the concept of advocacy will be discussed in relation to education</w:t>
      </w:r>
      <w:r w:rsidR="0021595F">
        <w:t>. W</w:t>
      </w:r>
      <w:r w:rsidRPr="00FC7597">
        <w:t>ith a particular focus on power, oppression, and agency and how strategies of empowerment can aid in educational advocacy.</w:t>
      </w:r>
    </w:p>
    <w:p w14:paraId="090CFDDB" w14:textId="7A2FF4AE"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Advocacy, as defined in</w:t>
      </w:r>
      <w:r w:rsidR="00327B95">
        <w:t xml:space="preserve"> the</w:t>
      </w:r>
      <w:r w:rsidRPr="00FC7597">
        <w:t xml:space="preserve"> (Social Services and Wellbeing Act Wales, 2014) is:</w:t>
      </w:r>
    </w:p>
    <w:p w14:paraId="52736604"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301D8EC8" w14:textId="77777777" w:rsidR="002B1726" w:rsidRPr="00FC7597" w:rsidRDefault="002B1726" w:rsidP="00FC7597">
      <w:pPr>
        <w:shd w:val="clear" w:color="auto" w:fill="FFFFFF"/>
        <w:tabs>
          <w:tab w:val="left" w:pos="720"/>
          <w:tab w:val="left" w:pos="1440"/>
          <w:tab w:val="left" w:pos="2160"/>
          <w:tab w:val="left" w:pos="2880"/>
        </w:tabs>
        <w:spacing w:line="360" w:lineRule="auto"/>
        <w:ind w:left="720"/>
        <w:jc w:val="both"/>
      </w:pPr>
      <w:proofErr w:type="gramStart"/>
      <w:r w:rsidRPr="00FC7597">
        <w:t>Taking action</w:t>
      </w:r>
      <w:proofErr w:type="gramEnd"/>
      <w:r w:rsidRPr="00FC7597">
        <w:t xml:space="preserve"> to help people say what they want, secure their rights, represent their interests and obtain the services they need.</w:t>
      </w:r>
    </w:p>
    <w:p w14:paraId="78FB54A3"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5CEAE414" w14:textId="306829DE"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 xml:space="preserve"> </w:t>
      </w:r>
      <w:r w:rsidR="00327B95">
        <w:t>Advocacy</w:t>
      </w:r>
      <w:r w:rsidR="0021595F">
        <w:t>,</w:t>
      </w:r>
      <w:r w:rsidR="00327B95">
        <w:t xml:space="preserve"> </w:t>
      </w:r>
      <w:r w:rsidR="0021595F">
        <w:t>as</w:t>
      </w:r>
      <w:r w:rsidR="00327B95">
        <w:t xml:space="preserve"> also</w:t>
      </w:r>
      <w:r w:rsidRPr="00FC7597">
        <w:t xml:space="preserve"> defined by (O’Brien 1987 p.3) </w:t>
      </w:r>
      <w:r w:rsidR="0021595F">
        <w:t xml:space="preserve">expresses that </w:t>
      </w:r>
      <w:r w:rsidRPr="00FC7597">
        <w:t>it is up to the advocate to;</w:t>
      </w:r>
    </w:p>
    <w:p w14:paraId="3A3CBEA3"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476A5838" w14:textId="271AE5BE" w:rsidR="002B1726" w:rsidRPr="00FC7597" w:rsidRDefault="002B1726" w:rsidP="00FC7597">
      <w:pPr>
        <w:shd w:val="clear" w:color="auto" w:fill="FFFFFF"/>
        <w:tabs>
          <w:tab w:val="left" w:pos="720"/>
          <w:tab w:val="left" w:pos="1440"/>
          <w:tab w:val="left" w:pos="2160"/>
          <w:tab w:val="left" w:pos="2880"/>
        </w:tabs>
        <w:spacing w:line="360" w:lineRule="auto"/>
        <w:ind w:left="720"/>
        <w:jc w:val="both"/>
      </w:pPr>
      <w:r w:rsidRPr="00FC7597">
        <w:t>Create a relationship with a person who is at risk of social exclusion</w:t>
      </w:r>
      <w:r w:rsidR="0021595F">
        <w:t>,</w:t>
      </w:r>
      <w:r w:rsidRPr="00FC7597">
        <w:t xml:space="preserve"> and to choose one or several of many ways to understand, respond to and represent that person's interests as if they were the advocates own</w:t>
      </w:r>
      <w:r w:rsidR="00D363B2" w:rsidRPr="00FC7597">
        <w:t>.</w:t>
      </w:r>
    </w:p>
    <w:p w14:paraId="55C7307D"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559C0493"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Therefore, giving individuals a voice who may feel that they are disempowered in society due to class, gender, race, religion, welfare, educational divides, and sexuality should be the primary aim of any social advocate.</w:t>
      </w:r>
    </w:p>
    <w:p w14:paraId="5D685B16"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077B331D" w14:textId="4E3AAB65"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Power in society</w:t>
      </w:r>
      <w:r w:rsidR="00327B95">
        <w:t>,</w:t>
      </w:r>
      <w:r w:rsidRPr="00FC7597">
        <w:t xml:space="preserve"> as well as in education resides at many different levels. Personal, social, institutional and political. Upon examining the hierarchy of power within the education system, it is clear to see that</w:t>
      </w:r>
      <w:r w:rsidR="0021595F">
        <w:t xml:space="preserve"> it has a top down approach, with</w:t>
      </w:r>
      <w:r w:rsidRPr="00FC7597">
        <w:t xml:space="preserve"> a large amount of power resid</w:t>
      </w:r>
      <w:r w:rsidR="0021595F">
        <w:t>ing</w:t>
      </w:r>
      <w:r w:rsidRPr="00FC7597">
        <w:t xml:space="preserve"> with</w:t>
      </w:r>
      <w:r w:rsidR="0021595F">
        <w:t>in</w:t>
      </w:r>
      <w:r w:rsidRPr="00FC7597">
        <w:t xml:space="preserve"> the government who dictate the curriculum, which is then implemented by the educational system and delivered by teachers, leaving students at the very bottom of the power ladder.</w:t>
      </w:r>
    </w:p>
    <w:p w14:paraId="1C648407"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5729C5A0" w14:textId="324F6F8F"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(Waterhouse, 2004) Expressed that the effect of teacher’s labelling students may create a “pivotal identity” for pupils, affecting how teachers interpret student behaviour. For example, a student that does not adhere to the hidden curriculum of the correct school uniform</w:t>
      </w:r>
      <w:r w:rsidR="00327B95">
        <w:t>,</w:t>
      </w:r>
      <w:r w:rsidRPr="00FC7597">
        <w:t xml:space="preserve"> may be labelled as disruptive or rebellious. This form of power over students can be detrimental to how they then view themselves in later life</w:t>
      </w:r>
      <w:r w:rsidR="00327B95">
        <w:t>, having an effect on their confidence and mental health.</w:t>
      </w:r>
    </w:p>
    <w:p w14:paraId="788F7718"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32D8CA1B" w14:textId="0B870095"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lastRenderedPageBreak/>
        <w:t>(Bourdieu, 1990) Refers to the power in education residing in the culture of the “dominant class,” and that students that come from a working-class background will find it harder to succeed as they lack “Cultural capital.”</w:t>
      </w:r>
    </w:p>
    <w:p w14:paraId="41CE4759"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2193FD7F" w14:textId="1F97FFCB"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 xml:space="preserve">(Bowles, 1999) Stated that schooling prepares students for employment via the hidden curriculum which operates in the “long shadow of work” simply put, by grading students on their ability and exam results </w:t>
      </w:r>
      <w:r w:rsidR="00327B95">
        <w:t>the educational system is</w:t>
      </w:r>
      <w:r w:rsidRPr="00FC7597">
        <w:t xml:space="preserve"> mirroring the difference in pay and status in the workplace.</w:t>
      </w:r>
    </w:p>
    <w:p w14:paraId="4570B4A6"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0FCF1109" w14:textId="59E3D900"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This level of power possessed by schools and their teachers would suggest, as per the Marxist point of view, that a student’s destination is the same as their origin, resulting in them having very little power over where they eventually end up in the adult world</w:t>
      </w:r>
      <w:r w:rsidR="00327B95">
        <w:t>.</w:t>
      </w:r>
    </w:p>
    <w:p w14:paraId="15CD39C0"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7D2D260E" w14:textId="241987D2"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 xml:space="preserve">Advocacy, can be used to enable students voices to be heard, in particular, to give volume to those who come from disadvantaged backgrounds, or who live with learning difficulties for example, that may be labelled disruptive, and therefore may not be given the support that they need in order to forge their own path in life. Advocates should have the principal aim of balancing the scales in favour of students so that they are treated fairly, and are not pre-judged based on the school’s hidden curriculum, resulting in them having an element of power over their own futures. </w:t>
      </w:r>
    </w:p>
    <w:p w14:paraId="4819E6D7"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24B99468" w14:textId="1038FA5F"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(Robotham, 2005)</w:t>
      </w:r>
      <w:r w:rsidR="00FA0632">
        <w:t xml:space="preserve"> states that</w:t>
      </w:r>
      <w:r w:rsidRPr="00FC7597">
        <w:t xml:space="preserve"> </w:t>
      </w:r>
      <w:r w:rsidR="00FA0632">
        <w:t>“</w:t>
      </w:r>
      <w:r w:rsidRPr="00FC7597">
        <w:t>the structure of the capitalist economy takes precedent over human actions and agency</w:t>
      </w:r>
      <w:r w:rsidR="00FA0632">
        <w:t>”</w:t>
      </w:r>
    </w:p>
    <w:p w14:paraId="7E7F2C80"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6FDB18B8" w14:textId="7B76F836"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If this statement is to be believed, then it could be argued that students have no agency whilst in the educational system, this is weighted by the suggestion that (Bourdieu, 1999) made in relation to the dominant class and cultural capital. Students are as a result, automatically disadvantaged in social mobility if they come from a working-class household. It could be argued</w:t>
      </w:r>
      <w:r w:rsidR="00FA0632">
        <w:t xml:space="preserve"> therefore</w:t>
      </w:r>
      <w:r w:rsidRPr="00FC7597">
        <w:t xml:space="preserve"> that students from households who lie in the upper-class region of society have greater agency over what they decide to do outside of education, because of an element of financial stability, whereas those from the lower end of the spectrum have little to no agency </w:t>
      </w:r>
      <w:r w:rsidRPr="00FC7597">
        <w:lastRenderedPageBreak/>
        <w:t>over their individual options because of the cost incurred in further education, and the training needed to obtain higher paid employment.</w:t>
      </w:r>
    </w:p>
    <w:p w14:paraId="43502C2D"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75BB9263" w14:textId="0A5CFC0A"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Advocacy can bridge this gap, by making sure that students are fully aware of their options outside of the Institute of education</w:t>
      </w:r>
      <w:r w:rsidR="00327B95">
        <w:t>,</w:t>
      </w:r>
      <w:r w:rsidRPr="00FC7597">
        <w:t xml:space="preserve"> regardless of their social standing, exam results and where they lie in the wealth divide</w:t>
      </w:r>
      <w:r w:rsidR="00327B95">
        <w:t xml:space="preserve"> r</w:t>
      </w:r>
      <w:r w:rsidRPr="00FC7597">
        <w:t>esulting in the agency being given back to students, especially those from less privileged backgrounds. The benefits of this are briefly summarised by (Sen, 1992 p.51) stating that “Acting freely and being able to choose are conducive to well-being.”</w:t>
      </w:r>
    </w:p>
    <w:p w14:paraId="37EBCA37"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6C302027" w14:textId="45C2F128" w:rsidR="00FA0632" w:rsidRDefault="002B1726" w:rsidP="00FC7597">
      <w:pPr>
        <w:shd w:val="clear" w:color="auto" w:fill="FFFFFF"/>
        <w:tabs>
          <w:tab w:val="left" w:pos="720"/>
          <w:tab w:val="left" w:pos="1440"/>
          <w:tab w:val="left" w:pos="2160"/>
          <w:tab w:val="left" w:pos="2880"/>
        </w:tabs>
        <w:spacing w:line="360" w:lineRule="auto"/>
        <w:jc w:val="both"/>
      </w:pPr>
      <w:r w:rsidRPr="00FC7597">
        <w:t>(Giroux, 2001)</w:t>
      </w:r>
      <w:r w:rsidR="00FA0632">
        <w:t xml:space="preserve"> expresses that; </w:t>
      </w:r>
      <w:r w:rsidRPr="00FC7597">
        <w:t xml:space="preserve"> </w:t>
      </w:r>
    </w:p>
    <w:p w14:paraId="14811C4D" w14:textId="77777777" w:rsidR="00FA0632" w:rsidRDefault="00FA0632" w:rsidP="00FC7597">
      <w:pPr>
        <w:shd w:val="clear" w:color="auto" w:fill="FFFFFF"/>
        <w:tabs>
          <w:tab w:val="left" w:pos="720"/>
          <w:tab w:val="left" w:pos="1440"/>
          <w:tab w:val="left" w:pos="2160"/>
          <w:tab w:val="left" w:pos="2880"/>
        </w:tabs>
        <w:spacing w:line="360" w:lineRule="auto"/>
        <w:jc w:val="both"/>
      </w:pPr>
    </w:p>
    <w:p w14:paraId="6BB96955" w14:textId="0D4E6B90" w:rsidR="002B1726" w:rsidRPr="00FC7597" w:rsidRDefault="00FA0632" w:rsidP="00FA0632">
      <w:pPr>
        <w:shd w:val="clear" w:color="auto" w:fill="FFFFFF"/>
        <w:tabs>
          <w:tab w:val="left" w:pos="720"/>
          <w:tab w:val="left" w:pos="1440"/>
          <w:tab w:val="left" w:pos="2160"/>
          <w:tab w:val="left" w:pos="2880"/>
        </w:tabs>
        <w:spacing w:line="360" w:lineRule="auto"/>
        <w:ind w:left="720"/>
        <w:jc w:val="both"/>
      </w:pPr>
      <w:r>
        <w:t>“</w:t>
      </w:r>
      <w:r w:rsidR="002B1726" w:rsidRPr="00FC7597">
        <w:t>Student resistance to school is a political response to oppression and limited life chances. Students do not believe that a high school diploma is going to help them do well.</w:t>
      </w:r>
    </w:p>
    <w:p w14:paraId="430ADB6A"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12903CF7" w14:textId="77777777" w:rsidR="002B1726" w:rsidRPr="00FC7597" w:rsidRDefault="002B1726" w:rsidP="00327B95">
      <w:pPr>
        <w:shd w:val="clear" w:color="auto" w:fill="FFFFFF"/>
        <w:tabs>
          <w:tab w:val="left" w:pos="720"/>
          <w:tab w:val="left" w:pos="1440"/>
          <w:tab w:val="left" w:pos="2160"/>
          <w:tab w:val="left" w:pos="2880"/>
        </w:tabs>
        <w:spacing w:line="360" w:lineRule="auto"/>
        <w:jc w:val="both"/>
      </w:pPr>
      <w:r w:rsidRPr="00FC7597">
        <w:t xml:space="preserve">The resistance theory as described by (Giroux, 2001) puts emphasis on students feeling oppressed by the educational institution. Due to this oppression students are less likely to be ambitious and are therefore more likely to resign themselves to either; working in less disable jobs or being dependant on the welfare state. </w:t>
      </w:r>
    </w:p>
    <w:p w14:paraId="427F7FD6"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3057FFBF"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(Freire, 2007) accuses schools of;</w:t>
      </w:r>
    </w:p>
    <w:p w14:paraId="3AFB1568"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4D711A83" w14:textId="77777777" w:rsidR="002B1726" w:rsidRPr="00FC7597" w:rsidRDefault="002B1726" w:rsidP="00FC7597">
      <w:pPr>
        <w:shd w:val="clear" w:color="auto" w:fill="FFFFFF"/>
        <w:tabs>
          <w:tab w:val="left" w:pos="720"/>
          <w:tab w:val="left" w:pos="1440"/>
          <w:tab w:val="left" w:pos="2160"/>
          <w:tab w:val="left" w:pos="2880"/>
        </w:tabs>
        <w:spacing w:line="360" w:lineRule="auto"/>
        <w:ind w:left="720"/>
        <w:jc w:val="both"/>
      </w:pPr>
      <w:r w:rsidRPr="00FC7597">
        <w:t>Passivity and conformity discouraging criticism and encouraging the existence of inequalities in the interests of the powerful.</w:t>
      </w:r>
    </w:p>
    <w:p w14:paraId="0712E45E"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7ACF9647"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 xml:space="preserve">Students in schools are separated based on age, ability, and disability. Resulting in the inequalities outside of the classroom being mirrored within. Teachers are seen as those with knowledge, children are taught to sit and listen and to conform to the “ideology of the ruling class.” </w:t>
      </w:r>
    </w:p>
    <w:p w14:paraId="08C52179"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0DA1E638" w14:textId="62AA77F3"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 xml:space="preserve">This as referred to by (Althusser, 2008) defines the educational system as an “ideological state apparatus” and states that the ruling class ideology justifies the capitalist system. The evidence </w:t>
      </w:r>
      <w:r w:rsidRPr="00FC7597">
        <w:lastRenderedPageBreak/>
        <w:t>for this can be seen by schools competing for higher results in league tables</w:t>
      </w:r>
      <w:r w:rsidR="00327B95">
        <w:t>, marketing and funding.</w:t>
      </w:r>
      <w:r w:rsidRPr="00FC7597">
        <w:t xml:space="preserve"> It can also be argued that students are oppressed regardless of their ability and social standing</w:t>
      </w:r>
      <w:r w:rsidR="00813673">
        <w:t>, for example;</w:t>
      </w:r>
      <w:r w:rsidRPr="00FC7597">
        <w:t xml:space="preserve"> </w:t>
      </w:r>
      <w:r w:rsidR="00813673">
        <w:t>s</w:t>
      </w:r>
      <w:r w:rsidRPr="00FC7597">
        <w:t>tudents who are able to succeed may be oppressed by the pressure to maintain high marks, therefore losing their freedom as they commit a huge amount of time to study, and those who may be seen as less able</w:t>
      </w:r>
      <w:r w:rsidR="00FA0632">
        <w:t>,</w:t>
      </w:r>
      <w:r w:rsidRPr="00FC7597">
        <w:t xml:space="preserve"> are oppressed as they are not given the same amount of attention, and potentially have less access to support in order to aid in personal and educational development.</w:t>
      </w:r>
    </w:p>
    <w:p w14:paraId="17099BDB"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66ACEC29"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In conclusion, the main aim of advocacy in education should be to put emphasis on the empowerment of students and anti-oppressive practice throughout the entire system.</w:t>
      </w:r>
    </w:p>
    <w:p w14:paraId="2059DDBC"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329C4911"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(Leadbetter, 2002) refers to empowerment as:</w:t>
      </w:r>
    </w:p>
    <w:p w14:paraId="30ABEDDD"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4ED10536" w14:textId="77777777" w:rsidR="002B1726" w:rsidRPr="00FC7597" w:rsidRDefault="002B1726" w:rsidP="00FC7597">
      <w:pPr>
        <w:shd w:val="clear" w:color="auto" w:fill="FFFFFF"/>
        <w:tabs>
          <w:tab w:val="left" w:pos="720"/>
          <w:tab w:val="left" w:pos="1440"/>
          <w:tab w:val="left" w:pos="2160"/>
          <w:tab w:val="left" w:pos="2880"/>
        </w:tabs>
        <w:spacing w:line="360" w:lineRule="auto"/>
        <w:ind w:left="720"/>
        <w:jc w:val="both"/>
      </w:pPr>
      <w:r w:rsidRPr="00FC7597">
        <w:t>Empowerment and advocacy are both concerned with a shift of power, or emphasis towards meeting the needs and rights of people who otherwise would be marginalized or oppressed.</w:t>
      </w:r>
    </w:p>
    <w:p w14:paraId="43C1BEDC"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7AC3DA61"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(Thompson, 2007) takes the view that;</w:t>
      </w:r>
    </w:p>
    <w:p w14:paraId="469DC0FC"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2D01663B" w14:textId="77777777" w:rsidR="002B1726" w:rsidRPr="00FC7597" w:rsidRDefault="002B1726" w:rsidP="00FC7597">
      <w:pPr>
        <w:shd w:val="clear" w:color="auto" w:fill="FFFFFF"/>
        <w:tabs>
          <w:tab w:val="left" w:pos="720"/>
          <w:tab w:val="left" w:pos="1440"/>
          <w:tab w:val="left" w:pos="2160"/>
          <w:tab w:val="left" w:pos="2880"/>
        </w:tabs>
        <w:spacing w:line="360" w:lineRule="auto"/>
        <w:ind w:left="720"/>
        <w:jc w:val="both"/>
      </w:pPr>
      <w:r w:rsidRPr="00FC7597">
        <w:t>Empowerment involves working in partnership and in turn, involves negotiating the goals to be achieved together, rather than imposing them.</w:t>
      </w:r>
    </w:p>
    <w:p w14:paraId="29BBA161"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1E2AC5B4"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Also, (Barnes, 1996) states that “empowerment should enable personal development.”</w:t>
      </w:r>
    </w:p>
    <w:p w14:paraId="69EF5E75"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1F07A711"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 xml:space="preserve">Using these strategies for empowerment, advocates can aid in giving power and agency to students, by helping bridge the communication gap between students and teachers, and even teachers and the educational systems and government. Returning power and agency to the students would mean that they are then central to the decisions they, and others make about their lives. </w:t>
      </w:r>
    </w:p>
    <w:p w14:paraId="03A0F49F"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t>The ultimate aim here would be to give students the tools needed to self-advocate, providing them with the agency and authority to implement change within their own schools, and within their own lives through personal development.</w:t>
      </w:r>
    </w:p>
    <w:p w14:paraId="50D52924" w14:textId="13D344E5" w:rsidR="002B1726" w:rsidRPr="00FC7597" w:rsidRDefault="002B1726" w:rsidP="00FC7597">
      <w:pPr>
        <w:shd w:val="clear" w:color="auto" w:fill="FFFFFF"/>
        <w:tabs>
          <w:tab w:val="left" w:pos="720"/>
          <w:tab w:val="left" w:pos="1440"/>
          <w:tab w:val="left" w:pos="2160"/>
          <w:tab w:val="left" w:pos="2880"/>
        </w:tabs>
        <w:spacing w:line="360" w:lineRule="auto"/>
        <w:jc w:val="both"/>
      </w:pPr>
      <w:r w:rsidRPr="00FC7597">
        <w:lastRenderedPageBreak/>
        <w:t>Advocacy should focus on person-centred planning and thinking, as defined by (Sanderson, 2000)</w:t>
      </w:r>
    </w:p>
    <w:p w14:paraId="1C981875"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11EEF3D5" w14:textId="77777777" w:rsidR="002B1726" w:rsidRPr="00FC7597" w:rsidRDefault="002B1726" w:rsidP="00FC7597">
      <w:pPr>
        <w:shd w:val="clear" w:color="auto" w:fill="FFFFFF"/>
        <w:tabs>
          <w:tab w:val="left" w:pos="720"/>
          <w:tab w:val="left" w:pos="1440"/>
          <w:tab w:val="left" w:pos="2160"/>
          <w:tab w:val="left" w:pos="2880"/>
        </w:tabs>
        <w:spacing w:line="360" w:lineRule="auto"/>
        <w:ind w:left="720"/>
        <w:jc w:val="both"/>
      </w:pPr>
      <w:r w:rsidRPr="00FC7597">
        <w:t>A process for continual listening and learning, focussing on what is important to someone now, and in the future, and acting upon this alliance with their family and friends</w:t>
      </w:r>
    </w:p>
    <w:p w14:paraId="170CF61E" w14:textId="77777777" w:rsidR="002B1726" w:rsidRPr="00FC7597" w:rsidRDefault="002B1726" w:rsidP="00FC7597">
      <w:pPr>
        <w:shd w:val="clear" w:color="auto" w:fill="FFFFFF"/>
        <w:tabs>
          <w:tab w:val="left" w:pos="720"/>
          <w:tab w:val="left" w:pos="1440"/>
          <w:tab w:val="left" w:pos="2160"/>
          <w:tab w:val="left" w:pos="2880"/>
        </w:tabs>
        <w:spacing w:line="360" w:lineRule="auto"/>
        <w:jc w:val="both"/>
      </w:pPr>
    </w:p>
    <w:p w14:paraId="437BA57F" w14:textId="3CFDE793" w:rsidR="00136B81" w:rsidRPr="00FC7597" w:rsidRDefault="002B1726" w:rsidP="00FC7597">
      <w:pPr>
        <w:shd w:val="clear" w:color="auto" w:fill="FFFFFF"/>
        <w:tabs>
          <w:tab w:val="left" w:pos="720"/>
          <w:tab w:val="left" w:pos="1440"/>
          <w:tab w:val="left" w:pos="2160"/>
          <w:tab w:val="left" w:pos="2880"/>
        </w:tabs>
        <w:spacing w:line="360" w:lineRule="auto"/>
        <w:jc w:val="both"/>
      </w:pPr>
      <w:r w:rsidRPr="00FC7597">
        <w:t xml:space="preserve">Through anti-oppressive practice, advocates can help students to feel less oppressed by ensuring that all students have fair treatment, regardless of ability and social </w:t>
      </w:r>
      <w:r w:rsidR="00FA0632" w:rsidRPr="00FC7597">
        <w:t>standing,</w:t>
      </w:r>
      <w:r w:rsidR="00FA0632">
        <w:t xml:space="preserve"> and</w:t>
      </w:r>
      <w:bookmarkStart w:id="0" w:name="_GoBack"/>
      <w:bookmarkEnd w:id="0"/>
      <w:r w:rsidRPr="00FC7597">
        <w:t xml:space="preserve"> </w:t>
      </w:r>
      <w:r w:rsidR="00FA0632">
        <w:t>ensure that they have</w:t>
      </w:r>
      <w:r w:rsidRPr="00FC7597">
        <w:t xml:space="preserve"> access to additional resources where needed. In order for anti-oppressive practice to be effective, advocates will need to challenge the personal behaviours and attitudes of the teachers, and also the structures and cultures which support and enhance these attitudes.  Giving students a voice, and the confidence to reali</w:t>
      </w:r>
      <w:r w:rsidR="00FA0632">
        <w:t>s</w:t>
      </w:r>
      <w:r w:rsidRPr="00FC7597">
        <w:t>e that they do not have to accept that their origin is the same as their destination, they have rights, and needs, and through advocacy, a door to equal opportunity can be opened for all of those within the educational system.</w:t>
      </w:r>
    </w:p>
    <w:p w14:paraId="344BEA81" w14:textId="77777777" w:rsidR="00136B81" w:rsidRPr="00FC7597" w:rsidRDefault="00136B81" w:rsidP="00FC7597">
      <w:pPr>
        <w:shd w:val="clear" w:color="auto" w:fill="FFFFFF"/>
        <w:tabs>
          <w:tab w:val="left" w:pos="720"/>
          <w:tab w:val="left" w:pos="1440"/>
          <w:tab w:val="left" w:pos="2160"/>
          <w:tab w:val="left" w:pos="2880"/>
        </w:tabs>
        <w:spacing w:line="360" w:lineRule="auto"/>
        <w:jc w:val="both"/>
      </w:pPr>
    </w:p>
    <w:sectPr w:rsidR="00136B81" w:rsidRPr="00FC75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CA5E3" w14:textId="77777777" w:rsidR="003F304F" w:rsidRDefault="003F304F" w:rsidP="007D03D9">
      <w:r>
        <w:separator/>
      </w:r>
    </w:p>
  </w:endnote>
  <w:endnote w:type="continuationSeparator" w:id="0">
    <w:p w14:paraId="0DCD450C" w14:textId="77777777" w:rsidR="003F304F" w:rsidRDefault="003F304F" w:rsidP="007D0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ush Script MT">
    <w:charset w:val="00"/>
    <w:family w:val="script"/>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4191236"/>
      <w:docPartObj>
        <w:docPartGallery w:val="Page Numbers (Bottom of Page)"/>
        <w:docPartUnique/>
      </w:docPartObj>
    </w:sdtPr>
    <w:sdtEndPr>
      <w:rPr>
        <w:noProof/>
      </w:rPr>
    </w:sdtEndPr>
    <w:sdtContent>
      <w:p w14:paraId="56644FE0" w14:textId="77777777" w:rsidR="00B265DE" w:rsidRDefault="00B265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593464" w14:textId="77777777" w:rsidR="00BE0D83" w:rsidRDefault="00BE0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C55D" w14:textId="77777777" w:rsidR="003F304F" w:rsidRDefault="003F304F" w:rsidP="007D03D9">
      <w:r>
        <w:separator/>
      </w:r>
    </w:p>
  </w:footnote>
  <w:footnote w:type="continuationSeparator" w:id="0">
    <w:p w14:paraId="554EB7BC" w14:textId="77777777" w:rsidR="003F304F" w:rsidRDefault="003F304F" w:rsidP="007D0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992BC" w14:textId="7B4FB755" w:rsidR="007D03D9" w:rsidRDefault="00BE0D83" w:rsidP="000B1C81">
    <w:pPr>
      <w:shd w:val="clear" w:color="auto" w:fill="FFFFFF"/>
      <w:tabs>
        <w:tab w:val="left" w:pos="720"/>
        <w:tab w:val="left" w:pos="1440"/>
        <w:tab w:val="left" w:pos="2160"/>
        <w:tab w:val="left" w:pos="2880"/>
      </w:tabs>
    </w:pPr>
    <w:r w:rsidRPr="00BE0D83">
      <w:t>ECAY4002</w:t>
    </w:r>
    <w:r w:rsidR="000B1C81" w:rsidRPr="00BE0D83">
      <w:t xml:space="preserve">      </w:t>
    </w:r>
    <w:r w:rsidR="000B1C81" w:rsidRPr="000B1C81">
      <w:t xml:space="preserve">                        </w:t>
    </w:r>
    <w:r w:rsidR="007D03D9" w:rsidRPr="000B1C81">
      <w:t>Student Number: 1804460</w:t>
    </w:r>
    <w:r w:rsidR="007D03D9" w:rsidRPr="000B1C81">
      <w:ptab w:relativeTo="margin" w:alignment="right" w:leader="none"/>
    </w:r>
    <w:r w:rsidR="007D03D9" w:rsidRPr="000B1C81">
      <w:t>Assessment No: 1</w:t>
    </w:r>
  </w:p>
  <w:p w14:paraId="3C393E00" w14:textId="7B0C653B" w:rsidR="00A4324A" w:rsidRDefault="00A4324A" w:rsidP="000B1C81">
    <w:pPr>
      <w:shd w:val="clear" w:color="auto" w:fill="FFFFFF"/>
      <w:tabs>
        <w:tab w:val="left" w:pos="720"/>
        <w:tab w:val="left" w:pos="1440"/>
        <w:tab w:val="left" w:pos="2160"/>
        <w:tab w:val="left" w:pos="2880"/>
      </w:tabs>
    </w:pPr>
  </w:p>
  <w:p w14:paraId="4D844FF6" w14:textId="77777777" w:rsidR="00A4324A" w:rsidRPr="00BE0D83" w:rsidRDefault="00A4324A" w:rsidP="00A4324A">
    <w:pPr>
      <w:overflowPunct w:val="0"/>
      <w:autoSpaceDE w:val="0"/>
      <w:autoSpaceDN w:val="0"/>
      <w:adjustRightInd w:val="0"/>
      <w:ind w:left="170" w:hanging="170"/>
      <w:textAlignment w:val="baseline"/>
    </w:pPr>
    <w:r w:rsidRPr="007D03D9">
      <w:rPr>
        <w:b/>
      </w:rPr>
      <w:t>Assessment Title</w:t>
    </w:r>
    <w:r>
      <w:t>:</w:t>
    </w:r>
    <w:r w:rsidRPr="00F03CA8">
      <w:t xml:space="preserve"> </w:t>
    </w:r>
    <w:r w:rsidRPr="00BE0D83">
      <w:t>Define the concept of Advocacy and describe how this relates to power, oppressions and agency in the context of your choice.</w:t>
    </w:r>
  </w:p>
  <w:p w14:paraId="25948378" w14:textId="77777777" w:rsidR="00A4324A" w:rsidRPr="000B1C81" w:rsidRDefault="00A4324A" w:rsidP="000B1C81">
    <w:pPr>
      <w:shd w:val="clear" w:color="auto" w:fill="FFFFFF"/>
      <w:tabs>
        <w:tab w:val="left" w:pos="720"/>
        <w:tab w:val="left" w:pos="1440"/>
        <w:tab w:val="left" w:pos="2160"/>
        <w:tab w:val="left" w:pos="28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7682D"/>
    <w:multiLevelType w:val="hybridMultilevel"/>
    <w:tmpl w:val="BD04F67A"/>
    <w:lvl w:ilvl="0" w:tplc="5DA4C1BC">
      <w:start w:val="1"/>
      <w:numFmt w:val="bullet"/>
      <w:lvlText w:val="O"/>
      <w:lvlJc w:val="left"/>
      <w:pPr>
        <w:tabs>
          <w:tab w:val="num" w:pos="720"/>
        </w:tabs>
        <w:ind w:left="720" w:hanging="360"/>
      </w:pPr>
      <w:rPr>
        <w:rFonts w:ascii="Brush Script MT" w:hAnsi="Brush Script MT" w:hint="default"/>
      </w:rPr>
    </w:lvl>
    <w:lvl w:ilvl="1" w:tplc="0324FD50" w:tentative="1">
      <w:start w:val="1"/>
      <w:numFmt w:val="bullet"/>
      <w:lvlText w:val="O"/>
      <w:lvlJc w:val="left"/>
      <w:pPr>
        <w:tabs>
          <w:tab w:val="num" w:pos="1440"/>
        </w:tabs>
        <w:ind w:left="1440" w:hanging="360"/>
      </w:pPr>
      <w:rPr>
        <w:rFonts w:ascii="Brush Script MT" w:hAnsi="Brush Script MT" w:hint="default"/>
      </w:rPr>
    </w:lvl>
    <w:lvl w:ilvl="2" w:tplc="6FAEC95A" w:tentative="1">
      <w:start w:val="1"/>
      <w:numFmt w:val="bullet"/>
      <w:lvlText w:val="O"/>
      <w:lvlJc w:val="left"/>
      <w:pPr>
        <w:tabs>
          <w:tab w:val="num" w:pos="2160"/>
        </w:tabs>
        <w:ind w:left="2160" w:hanging="360"/>
      </w:pPr>
      <w:rPr>
        <w:rFonts w:ascii="Brush Script MT" w:hAnsi="Brush Script MT" w:hint="default"/>
      </w:rPr>
    </w:lvl>
    <w:lvl w:ilvl="3" w:tplc="0E7871E4" w:tentative="1">
      <w:start w:val="1"/>
      <w:numFmt w:val="bullet"/>
      <w:lvlText w:val="O"/>
      <w:lvlJc w:val="left"/>
      <w:pPr>
        <w:tabs>
          <w:tab w:val="num" w:pos="2880"/>
        </w:tabs>
        <w:ind w:left="2880" w:hanging="360"/>
      </w:pPr>
      <w:rPr>
        <w:rFonts w:ascii="Brush Script MT" w:hAnsi="Brush Script MT" w:hint="default"/>
      </w:rPr>
    </w:lvl>
    <w:lvl w:ilvl="4" w:tplc="D53AA356" w:tentative="1">
      <w:start w:val="1"/>
      <w:numFmt w:val="bullet"/>
      <w:lvlText w:val="O"/>
      <w:lvlJc w:val="left"/>
      <w:pPr>
        <w:tabs>
          <w:tab w:val="num" w:pos="3600"/>
        </w:tabs>
        <w:ind w:left="3600" w:hanging="360"/>
      </w:pPr>
      <w:rPr>
        <w:rFonts w:ascii="Brush Script MT" w:hAnsi="Brush Script MT" w:hint="default"/>
      </w:rPr>
    </w:lvl>
    <w:lvl w:ilvl="5" w:tplc="A2F62FD2" w:tentative="1">
      <w:start w:val="1"/>
      <w:numFmt w:val="bullet"/>
      <w:lvlText w:val="O"/>
      <w:lvlJc w:val="left"/>
      <w:pPr>
        <w:tabs>
          <w:tab w:val="num" w:pos="4320"/>
        </w:tabs>
        <w:ind w:left="4320" w:hanging="360"/>
      </w:pPr>
      <w:rPr>
        <w:rFonts w:ascii="Brush Script MT" w:hAnsi="Brush Script MT" w:hint="default"/>
      </w:rPr>
    </w:lvl>
    <w:lvl w:ilvl="6" w:tplc="15605478" w:tentative="1">
      <w:start w:val="1"/>
      <w:numFmt w:val="bullet"/>
      <w:lvlText w:val="O"/>
      <w:lvlJc w:val="left"/>
      <w:pPr>
        <w:tabs>
          <w:tab w:val="num" w:pos="5040"/>
        </w:tabs>
        <w:ind w:left="5040" w:hanging="360"/>
      </w:pPr>
      <w:rPr>
        <w:rFonts w:ascii="Brush Script MT" w:hAnsi="Brush Script MT" w:hint="default"/>
      </w:rPr>
    </w:lvl>
    <w:lvl w:ilvl="7" w:tplc="EACA08FA" w:tentative="1">
      <w:start w:val="1"/>
      <w:numFmt w:val="bullet"/>
      <w:lvlText w:val="O"/>
      <w:lvlJc w:val="left"/>
      <w:pPr>
        <w:tabs>
          <w:tab w:val="num" w:pos="5760"/>
        </w:tabs>
        <w:ind w:left="5760" w:hanging="360"/>
      </w:pPr>
      <w:rPr>
        <w:rFonts w:ascii="Brush Script MT" w:hAnsi="Brush Script MT" w:hint="default"/>
      </w:rPr>
    </w:lvl>
    <w:lvl w:ilvl="8" w:tplc="BA2E0364" w:tentative="1">
      <w:start w:val="1"/>
      <w:numFmt w:val="bullet"/>
      <w:lvlText w:val="O"/>
      <w:lvlJc w:val="left"/>
      <w:pPr>
        <w:tabs>
          <w:tab w:val="num" w:pos="6480"/>
        </w:tabs>
        <w:ind w:left="6480" w:hanging="360"/>
      </w:pPr>
      <w:rPr>
        <w:rFonts w:ascii="Brush Script MT" w:hAnsi="Brush Script MT" w:hint="default"/>
      </w:rPr>
    </w:lvl>
  </w:abstractNum>
  <w:abstractNum w:abstractNumId="1" w15:restartNumberingAfterBreak="0">
    <w:nsid w:val="174A383C"/>
    <w:multiLevelType w:val="hybridMultilevel"/>
    <w:tmpl w:val="4CDAA70A"/>
    <w:lvl w:ilvl="0" w:tplc="D7686950">
      <w:start w:val="1"/>
      <w:numFmt w:val="bullet"/>
      <w:lvlText w:val="O"/>
      <w:lvlJc w:val="left"/>
      <w:pPr>
        <w:tabs>
          <w:tab w:val="num" w:pos="720"/>
        </w:tabs>
        <w:ind w:left="720" w:hanging="360"/>
      </w:pPr>
      <w:rPr>
        <w:rFonts w:ascii="Brush Script MT" w:hAnsi="Brush Script MT" w:hint="default"/>
      </w:rPr>
    </w:lvl>
    <w:lvl w:ilvl="1" w:tplc="B30ECF22" w:tentative="1">
      <w:start w:val="1"/>
      <w:numFmt w:val="bullet"/>
      <w:lvlText w:val="O"/>
      <w:lvlJc w:val="left"/>
      <w:pPr>
        <w:tabs>
          <w:tab w:val="num" w:pos="1440"/>
        </w:tabs>
        <w:ind w:left="1440" w:hanging="360"/>
      </w:pPr>
      <w:rPr>
        <w:rFonts w:ascii="Brush Script MT" w:hAnsi="Brush Script MT" w:hint="default"/>
      </w:rPr>
    </w:lvl>
    <w:lvl w:ilvl="2" w:tplc="0100A522" w:tentative="1">
      <w:start w:val="1"/>
      <w:numFmt w:val="bullet"/>
      <w:lvlText w:val="O"/>
      <w:lvlJc w:val="left"/>
      <w:pPr>
        <w:tabs>
          <w:tab w:val="num" w:pos="2160"/>
        </w:tabs>
        <w:ind w:left="2160" w:hanging="360"/>
      </w:pPr>
      <w:rPr>
        <w:rFonts w:ascii="Brush Script MT" w:hAnsi="Brush Script MT" w:hint="default"/>
      </w:rPr>
    </w:lvl>
    <w:lvl w:ilvl="3" w:tplc="A79A456C" w:tentative="1">
      <w:start w:val="1"/>
      <w:numFmt w:val="bullet"/>
      <w:lvlText w:val="O"/>
      <w:lvlJc w:val="left"/>
      <w:pPr>
        <w:tabs>
          <w:tab w:val="num" w:pos="2880"/>
        </w:tabs>
        <w:ind w:left="2880" w:hanging="360"/>
      </w:pPr>
      <w:rPr>
        <w:rFonts w:ascii="Brush Script MT" w:hAnsi="Brush Script MT" w:hint="default"/>
      </w:rPr>
    </w:lvl>
    <w:lvl w:ilvl="4" w:tplc="CB2C0CC8" w:tentative="1">
      <w:start w:val="1"/>
      <w:numFmt w:val="bullet"/>
      <w:lvlText w:val="O"/>
      <w:lvlJc w:val="left"/>
      <w:pPr>
        <w:tabs>
          <w:tab w:val="num" w:pos="3600"/>
        </w:tabs>
        <w:ind w:left="3600" w:hanging="360"/>
      </w:pPr>
      <w:rPr>
        <w:rFonts w:ascii="Brush Script MT" w:hAnsi="Brush Script MT" w:hint="default"/>
      </w:rPr>
    </w:lvl>
    <w:lvl w:ilvl="5" w:tplc="C6C0661C" w:tentative="1">
      <w:start w:val="1"/>
      <w:numFmt w:val="bullet"/>
      <w:lvlText w:val="O"/>
      <w:lvlJc w:val="left"/>
      <w:pPr>
        <w:tabs>
          <w:tab w:val="num" w:pos="4320"/>
        </w:tabs>
        <w:ind w:left="4320" w:hanging="360"/>
      </w:pPr>
      <w:rPr>
        <w:rFonts w:ascii="Brush Script MT" w:hAnsi="Brush Script MT" w:hint="default"/>
      </w:rPr>
    </w:lvl>
    <w:lvl w:ilvl="6" w:tplc="D80CC3F0" w:tentative="1">
      <w:start w:val="1"/>
      <w:numFmt w:val="bullet"/>
      <w:lvlText w:val="O"/>
      <w:lvlJc w:val="left"/>
      <w:pPr>
        <w:tabs>
          <w:tab w:val="num" w:pos="5040"/>
        </w:tabs>
        <w:ind w:left="5040" w:hanging="360"/>
      </w:pPr>
      <w:rPr>
        <w:rFonts w:ascii="Brush Script MT" w:hAnsi="Brush Script MT" w:hint="default"/>
      </w:rPr>
    </w:lvl>
    <w:lvl w:ilvl="7" w:tplc="64742302" w:tentative="1">
      <w:start w:val="1"/>
      <w:numFmt w:val="bullet"/>
      <w:lvlText w:val="O"/>
      <w:lvlJc w:val="left"/>
      <w:pPr>
        <w:tabs>
          <w:tab w:val="num" w:pos="5760"/>
        </w:tabs>
        <w:ind w:left="5760" w:hanging="360"/>
      </w:pPr>
      <w:rPr>
        <w:rFonts w:ascii="Brush Script MT" w:hAnsi="Brush Script MT" w:hint="default"/>
      </w:rPr>
    </w:lvl>
    <w:lvl w:ilvl="8" w:tplc="7B60AAA4" w:tentative="1">
      <w:start w:val="1"/>
      <w:numFmt w:val="bullet"/>
      <w:lvlText w:val="O"/>
      <w:lvlJc w:val="left"/>
      <w:pPr>
        <w:tabs>
          <w:tab w:val="num" w:pos="6480"/>
        </w:tabs>
        <w:ind w:left="6480" w:hanging="360"/>
      </w:pPr>
      <w:rPr>
        <w:rFonts w:ascii="Brush Script MT" w:hAnsi="Brush Script MT" w:hint="default"/>
      </w:rPr>
    </w:lvl>
  </w:abstractNum>
  <w:abstractNum w:abstractNumId="2" w15:restartNumberingAfterBreak="0">
    <w:nsid w:val="4BE134D7"/>
    <w:multiLevelType w:val="hybridMultilevel"/>
    <w:tmpl w:val="CF56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3D9"/>
    <w:rsid w:val="00007E24"/>
    <w:rsid w:val="0004011A"/>
    <w:rsid w:val="0007214B"/>
    <w:rsid w:val="000B1C81"/>
    <w:rsid w:val="000B7BDB"/>
    <w:rsid w:val="000F3EDA"/>
    <w:rsid w:val="00136B81"/>
    <w:rsid w:val="00204582"/>
    <w:rsid w:val="0021595F"/>
    <w:rsid w:val="00223AD8"/>
    <w:rsid w:val="002B1726"/>
    <w:rsid w:val="002C079C"/>
    <w:rsid w:val="002C121E"/>
    <w:rsid w:val="002E4378"/>
    <w:rsid w:val="00325F26"/>
    <w:rsid w:val="00327B95"/>
    <w:rsid w:val="00377ADB"/>
    <w:rsid w:val="003A5482"/>
    <w:rsid w:val="003C1D10"/>
    <w:rsid w:val="003C7550"/>
    <w:rsid w:val="003F304F"/>
    <w:rsid w:val="004269C7"/>
    <w:rsid w:val="004313EA"/>
    <w:rsid w:val="004A223A"/>
    <w:rsid w:val="004D0188"/>
    <w:rsid w:val="004D2559"/>
    <w:rsid w:val="004D4252"/>
    <w:rsid w:val="004F5108"/>
    <w:rsid w:val="00506F94"/>
    <w:rsid w:val="00567EEE"/>
    <w:rsid w:val="005A1370"/>
    <w:rsid w:val="005F5384"/>
    <w:rsid w:val="00673FA6"/>
    <w:rsid w:val="006A1038"/>
    <w:rsid w:val="006E2A0B"/>
    <w:rsid w:val="00701792"/>
    <w:rsid w:val="00796232"/>
    <w:rsid w:val="007A0FA1"/>
    <w:rsid w:val="007C7583"/>
    <w:rsid w:val="007D03D9"/>
    <w:rsid w:val="007D6639"/>
    <w:rsid w:val="00801041"/>
    <w:rsid w:val="00813673"/>
    <w:rsid w:val="00816F3C"/>
    <w:rsid w:val="00840A28"/>
    <w:rsid w:val="008C19B8"/>
    <w:rsid w:val="008E45BF"/>
    <w:rsid w:val="00904DE2"/>
    <w:rsid w:val="009E3F3B"/>
    <w:rsid w:val="00A06A2C"/>
    <w:rsid w:val="00A4324A"/>
    <w:rsid w:val="00A7431F"/>
    <w:rsid w:val="00AE3E0D"/>
    <w:rsid w:val="00B265DE"/>
    <w:rsid w:val="00B501BA"/>
    <w:rsid w:val="00BE0D83"/>
    <w:rsid w:val="00BF23DC"/>
    <w:rsid w:val="00C50760"/>
    <w:rsid w:val="00C9110E"/>
    <w:rsid w:val="00CA4779"/>
    <w:rsid w:val="00D01BC3"/>
    <w:rsid w:val="00D06227"/>
    <w:rsid w:val="00D363B2"/>
    <w:rsid w:val="00D74BEC"/>
    <w:rsid w:val="00D9292D"/>
    <w:rsid w:val="00DA022D"/>
    <w:rsid w:val="00DF5E4E"/>
    <w:rsid w:val="00E07ABF"/>
    <w:rsid w:val="00E1795A"/>
    <w:rsid w:val="00E209D7"/>
    <w:rsid w:val="00E8551E"/>
    <w:rsid w:val="00F03CA8"/>
    <w:rsid w:val="00F2673E"/>
    <w:rsid w:val="00F3513E"/>
    <w:rsid w:val="00F36E80"/>
    <w:rsid w:val="00F53832"/>
    <w:rsid w:val="00F80CC5"/>
    <w:rsid w:val="00F91BCA"/>
    <w:rsid w:val="00FA0632"/>
    <w:rsid w:val="00FC2400"/>
    <w:rsid w:val="00FC6C2C"/>
    <w:rsid w:val="00FC7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1DE12C"/>
  <w15:chartTrackingRefBased/>
  <w15:docId w15:val="{7BC5844D-0733-4E78-A772-F5F711B8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0D83"/>
    <w:pPr>
      <w:spacing w:after="0" w:line="240" w:lineRule="auto"/>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A548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3D9"/>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D03D9"/>
  </w:style>
  <w:style w:type="paragraph" w:styleId="Footer">
    <w:name w:val="footer"/>
    <w:basedOn w:val="Normal"/>
    <w:link w:val="FooterChar"/>
    <w:uiPriority w:val="99"/>
    <w:unhideWhenUsed/>
    <w:rsid w:val="007D03D9"/>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D03D9"/>
  </w:style>
  <w:style w:type="paragraph" w:styleId="NoSpacing">
    <w:name w:val="No Spacing"/>
    <w:aliases w:val="uni"/>
    <w:basedOn w:val="Normal"/>
    <w:uiPriority w:val="1"/>
    <w:qFormat/>
    <w:rsid w:val="007D03D9"/>
    <w:pPr>
      <w:spacing w:before="120" w:after="120" w:line="360" w:lineRule="auto"/>
    </w:pPr>
    <w:rPr>
      <w:rFonts w:eastAsiaTheme="minorHAnsi" w:cstheme="minorBidi"/>
      <w:lang w:eastAsia="en-US"/>
    </w:rPr>
  </w:style>
  <w:style w:type="paragraph" w:customStyle="1" w:styleId="Style1">
    <w:name w:val="Style1"/>
    <w:basedOn w:val="NoSpacing"/>
    <w:qFormat/>
    <w:rsid w:val="007D03D9"/>
    <w:pPr>
      <w:spacing w:after="240"/>
    </w:pPr>
  </w:style>
  <w:style w:type="character" w:customStyle="1" w:styleId="Heading1Char">
    <w:name w:val="Heading 1 Char"/>
    <w:basedOn w:val="DefaultParagraphFont"/>
    <w:link w:val="Heading1"/>
    <w:uiPriority w:val="9"/>
    <w:rsid w:val="003A548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A5482"/>
  </w:style>
  <w:style w:type="paragraph" w:styleId="ListParagraph">
    <w:name w:val="List Paragraph"/>
    <w:basedOn w:val="Normal"/>
    <w:uiPriority w:val="34"/>
    <w:qFormat/>
    <w:rsid w:val="00325F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637945">
      <w:bodyDiv w:val="1"/>
      <w:marLeft w:val="0"/>
      <w:marRight w:val="0"/>
      <w:marTop w:val="0"/>
      <w:marBottom w:val="0"/>
      <w:divBdr>
        <w:top w:val="none" w:sz="0" w:space="0" w:color="auto"/>
        <w:left w:val="none" w:sz="0" w:space="0" w:color="auto"/>
        <w:bottom w:val="none" w:sz="0" w:space="0" w:color="auto"/>
        <w:right w:val="none" w:sz="0" w:space="0" w:color="auto"/>
      </w:divBdr>
    </w:div>
    <w:div w:id="221916446">
      <w:bodyDiv w:val="1"/>
      <w:marLeft w:val="0"/>
      <w:marRight w:val="0"/>
      <w:marTop w:val="0"/>
      <w:marBottom w:val="0"/>
      <w:divBdr>
        <w:top w:val="none" w:sz="0" w:space="0" w:color="auto"/>
        <w:left w:val="none" w:sz="0" w:space="0" w:color="auto"/>
        <w:bottom w:val="none" w:sz="0" w:space="0" w:color="auto"/>
        <w:right w:val="none" w:sz="0" w:space="0" w:color="auto"/>
      </w:divBdr>
    </w:div>
    <w:div w:id="270091294">
      <w:bodyDiv w:val="1"/>
      <w:marLeft w:val="0"/>
      <w:marRight w:val="0"/>
      <w:marTop w:val="0"/>
      <w:marBottom w:val="0"/>
      <w:divBdr>
        <w:top w:val="none" w:sz="0" w:space="0" w:color="auto"/>
        <w:left w:val="none" w:sz="0" w:space="0" w:color="auto"/>
        <w:bottom w:val="none" w:sz="0" w:space="0" w:color="auto"/>
        <w:right w:val="none" w:sz="0" w:space="0" w:color="auto"/>
      </w:divBdr>
    </w:div>
    <w:div w:id="541210052">
      <w:bodyDiv w:val="1"/>
      <w:marLeft w:val="0"/>
      <w:marRight w:val="0"/>
      <w:marTop w:val="0"/>
      <w:marBottom w:val="0"/>
      <w:divBdr>
        <w:top w:val="none" w:sz="0" w:space="0" w:color="auto"/>
        <w:left w:val="none" w:sz="0" w:space="0" w:color="auto"/>
        <w:bottom w:val="none" w:sz="0" w:space="0" w:color="auto"/>
        <w:right w:val="none" w:sz="0" w:space="0" w:color="auto"/>
      </w:divBdr>
      <w:divsChild>
        <w:div w:id="629365864">
          <w:marLeft w:val="432"/>
          <w:marRight w:val="0"/>
          <w:marTop w:val="106"/>
          <w:marBottom w:val="0"/>
          <w:divBdr>
            <w:top w:val="none" w:sz="0" w:space="0" w:color="auto"/>
            <w:left w:val="none" w:sz="0" w:space="0" w:color="auto"/>
            <w:bottom w:val="none" w:sz="0" w:space="0" w:color="auto"/>
            <w:right w:val="none" w:sz="0" w:space="0" w:color="auto"/>
          </w:divBdr>
        </w:div>
      </w:divsChild>
    </w:div>
    <w:div w:id="600726522">
      <w:bodyDiv w:val="1"/>
      <w:marLeft w:val="0"/>
      <w:marRight w:val="0"/>
      <w:marTop w:val="0"/>
      <w:marBottom w:val="0"/>
      <w:divBdr>
        <w:top w:val="none" w:sz="0" w:space="0" w:color="auto"/>
        <w:left w:val="none" w:sz="0" w:space="0" w:color="auto"/>
        <w:bottom w:val="none" w:sz="0" w:space="0" w:color="auto"/>
        <w:right w:val="none" w:sz="0" w:space="0" w:color="auto"/>
      </w:divBdr>
    </w:div>
    <w:div w:id="617837502">
      <w:bodyDiv w:val="1"/>
      <w:marLeft w:val="0"/>
      <w:marRight w:val="0"/>
      <w:marTop w:val="0"/>
      <w:marBottom w:val="0"/>
      <w:divBdr>
        <w:top w:val="none" w:sz="0" w:space="0" w:color="auto"/>
        <w:left w:val="none" w:sz="0" w:space="0" w:color="auto"/>
        <w:bottom w:val="none" w:sz="0" w:space="0" w:color="auto"/>
        <w:right w:val="none" w:sz="0" w:space="0" w:color="auto"/>
      </w:divBdr>
    </w:div>
    <w:div w:id="632953986">
      <w:bodyDiv w:val="1"/>
      <w:marLeft w:val="0"/>
      <w:marRight w:val="0"/>
      <w:marTop w:val="0"/>
      <w:marBottom w:val="0"/>
      <w:divBdr>
        <w:top w:val="none" w:sz="0" w:space="0" w:color="auto"/>
        <w:left w:val="none" w:sz="0" w:space="0" w:color="auto"/>
        <w:bottom w:val="none" w:sz="0" w:space="0" w:color="auto"/>
        <w:right w:val="none" w:sz="0" w:space="0" w:color="auto"/>
      </w:divBdr>
    </w:div>
    <w:div w:id="710500115">
      <w:bodyDiv w:val="1"/>
      <w:marLeft w:val="0"/>
      <w:marRight w:val="0"/>
      <w:marTop w:val="0"/>
      <w:marBottom w:val="0"/>
      <w:divBdr>
        <w:top w:val="none" w:sz="0" w:space="0" w:color="auto"/>
        <w:left w:val="none" w:sz="0" w:space="0" w:color="auto"/>
        <w:bottom w:val="none" w:sz="0" w:space="0" w:color="auto"/>
        <w:right w:val="none" w:sz="0" w:space="0" w:color="auto"/>
      </w:divBdr>
    </w:div>
    <w:div w:id="803931674">
      <w:bodyDiv w:val="1"/>
      <w:marLeft w:val="0"/>
      <w:marRight w:val="0"/>
      <w:marTop w:val="0"/>
      <w:marBottom w:val="0"/>
      <w:divBdr>
        <w:top w:val="none" w:sz="0" w:space="0" w:color="auto"/>
        <w:left w:val="none" w:sz="0" w:space="0" w:color="auto"/>
        <w:bottom w:val="none" w:sz="0" w:space="0" w:color="auto"/>
        <w:right w:val="none" w:sz="0" w:space="0" w:color="auto"/>
      </w:divBdr>
    </w:div>
    <w:div w:id="887885897">
      <w:bodyDiv w:val="1"/>
      <w:marLeft w:val="0"/>
      <w:marRight w:val="0"/>
      <w:marTop w:val="0"/>
      <w:marBottom w:val="0"/>
      <w:divBdr>
        <w:top w:val="none" w:sz="0" w:space="0" w:color="auto"/>
        <w:left w:val="none" w:sz="0" w:space="0" w:color="auto"/>
        <w:bottom w:val="none" w:sz="0" w:space="0" w:color="auto"/>
        <w:right w:val="none" w:sz="0" w:space="0" w:color="auto"/>
      </w:divBdr>
    </w:div>
    <w:div w:id="918446596">
      <w:bodyDiv w:val="1"/>
      <w:marLeft w:val="0"/>
      <w:marRight w:val="0"/>
      <w:marTop w:val="0"/>
      <w:marBottom w:val="0"/>
      <w:divBdr>
        <w:top w:val="none" w:sz="0" w:space="0" w:color="auto"/>
        <w:left w:val="none" w:sz="0" w:space="0" w:color="auto"/>
        <w:bottom w:val="none" w:sz="0" w:space="0" w:color="auto"/>
        <w:right w:val="none" w:sz="0" w:space="0" w:color="auto"/>
      </w:divBdr>
    </w:div>
    <w:div w:id="1043558437">
      <w:bodyDiv w:val="1"/>
      <w:marLeft w:val="0"/>
      <w:marRight w:val="0"/>
      <w:marTop w:val="0"/>
      <w:marBottom w:val="0"/>
      <w:divBdr>
        <w:top w:val="none" w:sz="0" w:space="0" w:color="auto"/>
        <w:left w:val="none" w:sz="0" w:space="0" w:color="auto"/>
        <w:bottom w:val="none" w:sz="0" w:space="0" w:color="auto"/>
        <w:right w:val="none" w:sz="0" w:space="0" w:color="auto"/>
      </w:divBdr>
    </w:div>
    <w:div w:id="1222013982">
      <w:bodyDiv w:val="1"/>
      <w:marLeft w:val="0"/>
      <w:marRight w:val="0"/>
      <w:marTop w:val="0"/>
      <w:marBottom w:val="0"/>
      <w:divBdr>
        <w:top w:val="none" w:sz="0" w:space="0" w:color="auto"/>
        <w:left w:val="none" w:sz="0" w:space="0" w:color="auto"/>
        <w:bottom w:val="none" w:sz="0" w:space="0" w:color="auto"/>
        <w:right w:val="none" w:sz="0" w:space="0" w:color="auto"/>
      </w:divBdr>
    </w:div>
    <w:div w:id="1237931570">
      <w:bodyDiv w:val="1"/>
      <w:marLeft w:val="0"/>
      <w:marRight w:val="0"/>
      <w:marTop w:val="0"/>
      <w:marBottom w:val="0"/>
      <w:divBdr>
        <w:top w:val="none" w:sz="0" w:space="0" w:color="auto"/>
        <w:left w:val="none" w:sz="0" w:space="0" w:color="auto"/>
        <w:bottom w:val="none" w:sz="0" w:space="0" w:color="auto"/>
        <w:right w:val="none" w:sz="0" w:space="0" w:color="auto"/>
      </w:divBdr>
    </w:div>
    <w:div w:id="1331785792">
      <w:bodyDiv w:val="1"/>
      <w:marLeft w:val="0"/>
      <w:marRight w:val="0"/>
      <w:marTop w:val="0"/>
      <w:marBottom w:val="0"/>
      <w:divBdr>
        <w:top w:val="none" w:sz="0" w:space="0" w:color="auto"/>
        <w:left w:val="none" w:sz="0" w:space="0" w:color="auto"/>
        <w:bottom w:val="none" w:sz="0" w:space="0" w:color="auto"/>
        <w:right w:val="none" w:sz="0" w:space="0" w:color="auto"/>
      </w:divBdr>
    </w:div>
    <w:div w:id="1350060519">
      <w:bodyDiv w:val="1"/>
      <w:marLeft w:val="0"/>
      <w:marRight w:val="0"/>
      <w:marTop w:val="0"/>
      <w:marBottom w:val="0"/>
      <w:divBdr>
        <w:top w:val="none" w:sz="0" w:space="0" w:color="auto"/>
        <w:left w:val="none" w:sz="0" w:space="0" w:color="auto"/>
        <w:bottom w:val="none" w:sz="0" w:space="0" w:color="auto"/>
        <w:right w:val="none" w:sz="0" w:space="0" w:color="auto"/>
      </w:divBdr>
    </w:div>
    <w:div w:id="1381518125">
      <w:bodyDiv w:val="1"/>
      <w:marLeft w:val="0"/>
      <w:marRight w:val="0"/>
      <w:marTop w:val="0"/>
      <w:marBottom w:val="0"/>
      <w:divBdr>
        <w:top w:val="none" w:sz="0" w:space="0" w:color="auto"/>
        <w:left w:val="none" w:sz="0" w:space="0" w:color="auto"/>
        <w:bottom w:val="none" w:sz="0" w:space="0" w:color="auto"/>
        <w:right w:val="none" w:sz="0" w:space="0" w:color="auto"/>
      </w:divBdr>
    </w:div>
    <w:div w:id="1401366824">
      <w:bodyDiv w:val="1"/>
      <w:marLeft w:val="0"/>
      <w:marRight w:val="0"/>
      <w:marTop w:val="0"/>
      <w:marBottom w:val="0"/>
      <w:divBdr>
        <w:top w:val="none" w:sz="0" w:space="0" w:color="auto"/>
        <w:left w:val="none" w:sz="0" w:space="0" w:color="auto"/>
        <w:bottom w:val="none" w:sz="0" w:space="0" w:color="auto"/>
        <w:right w:val="none" w:sz="0" w:space="0" w:color="auto"/>
      </w:divBdr>
    </w:div>
    <w:div w:id="1404599077">
      <w:bodyDiv w:val="1"/>
      <w:marLeft w:val="0"/>
      <w:marRight w:val="0"/>
      <w:marTop w:val="0"/>
      <w:marBottom w:val="0"/>
      <w:divBdr>
        <w:top w:val="none" w:sz="0" w:space="0" w:color="auto"/>
        <w:left w:val="none" w:sz="0" w:space="0" w:color="auto"/>
        <w:bottom w:val="none" w:sz="0" w:space="0" w:color="auto"/>
        <w:right w:val="none" w:sz="0" w:space="0" w:color="auto"/>
      </w:divBdr>
      <w:divsChild>
        <w:div w:id="2095973345">
          <w:marLeft w:val="432"/>
          <w:marRight w:val="0"/>
          <w:marTop w:val="106"/>
          <w:marBottom w:val="0"/>
          <w:divBdr>
            <w:top w:val="none" w:sz="0" w:space="0" w:color="auto"/>
            <w:left w:val="none" w:sz="0" w:space="0" w:color="auto"/>
            <w:bottom w:val="none" w:sz="0" w:space="0" w:color="auto"/>
            <w:right w:val="none" w:sz="0" w:space="0" w:color="auto"/>
          </w:divBdr>
        </w:div>
      </w:divsChild>
    </w:div>
    <w:div w:id="1457021936">
      <w:bodyDiv w:val="1"/>
      <w:marLeft w:val="0"/>
      <w:marRight w:val="0"/>
      <w:marTop w:val="0"/>
      <w:marBottom w:val="0"/>
      <w:divBdr>
        <w:top w:val="none" w:sz="0" w:space="0" w:color="auto"/>
        <w:left w:val="none" w:sz="0" w:space="0" w:color="auto"/>
        <w:bottom w:val="none" w:sz="0" w:space="0" w:color="auto"/>
        <w:right w:val="none" w:sz="0" w:space="0" w:color="auto"/>
      </w:divBdr>
    </w:div>
    <w:div w:id="1486043990">
      <w:bodyDiv w:val="1"/>
      <w:marLeft w:val="0"/>
      <w:marRight w:val="0"/>
      <w:marTop w:val="0"/>
      <w:marBottom w:val="0"/>
      <w:divBdr>
        <w:top w:val="none" w:sz="0" w:space="0" w:color="auto"/>
        <w:left w:val="none" w:sz="0" w:space="0" w:color="auto"/>
        <w:bottom w:val="none" w:sz="0" w:space="0" w:color="auto"/>
        <w:right w:val="none" w:sz="0" w:space="0" w:color="auto"/>
      </w:divBdr>
    </w:div>
    <w:div w:id="1583295780">
      <w:bodyDiv w:val="1"/>
      <w:marLeft w:val="0"/>
      <w:marRight w:val="0"/>
      <w:marTop w:val="0"/>
      <w:marBottom w:val="0"/>
      <w:divBdr>
        <w:top w:val="none" w:sz="0" w:space="0" w:color="auto"/>
        <w:left w:val="none" w:sz="0" w:space="0" w:color="auto"/>
        <w:bottom w:val="none" w:sz="0" w:space="0" w:color="auto"/>
        <w:right w:val="none" w:sz="0" w:space="0" w:color="auto"/>
      </w:divBdr>
    </w:div>
    <w:div w:id="1596135452">
      <w:bodyDiv w:val="1"/>
      <w:marLeft w:val="0"/>
      <w:marRight w:val="0"/>
      <w:marTop w:val="0"/>
      <w:marBottom w:val="0"/>
      <w:divBdr>
        <w:top w:val="none" w:sz="0" w:space="0" w:color="auto"/>
        <w:left w:val="none" w:sz="0" w:space="0" w:color="auto"/>
        <w:bottom w:val="none" w:sz="0" w:space="0" w:color="auto"/>
        <w:right w:val="none" w:sz="0" w:space="0" w:color="auto"/>
      </w:divBdr>
    </w:div>
    <w:div w:id="1691833256">
      <w:bodyDiv w:val="1"/>
      <w:marLeft w:val="0"/>
      <w:marRight w:val="0"/>
      <w:marTop w:val="0"/>
      <w:marBottom w:val="0"/>
      <w:divBdr>
        <w:top w:val="none" w:sz="0" w:space="0" w:color="auto"/>
        <w:left w:val="none" w:sz="0" w:space="0" w:color="auto"/>
        <w:bottom w:val="none" w:sz="0" w:space="0" w:color="auto"/>
        <w:right w:val="none" w:sz="0" w:space="0" w:color="auto"/>
      </w:divBdr>
    </w:div>
    <w:div w:id="1711294942">
      <w:bodyDiv w:val="1"/>
      <w:marLeft w:val="0"/>
      <w:marRight w:val="0"/>
      <w:marTop w:val="0"/>
      <w:marBottom w:val="0"/>
      <w:divBdr>
        <w:top w:val="none" w:sz="0" w:space="0" w:color="auto"/>
        <w:left w:val="none" w:sz="0" w:space="0" w:color="auto"/>
        <w:bottom w:val="none" w:sz="0" w:space="0" w:color="auto"/>
        <w:right w:val="none" w:sz="0" w:space="0" w:color="auto"/>
      </w:divBdr>
    </w:div>
    <w:div w:id="1848909299">
      <w:bodyDiv w:val="1"/>
      <w:marLeft w:val="0"/>
      <w:marRight w:val="0"/>
      <w:marTop w:val="0"/>
      <w:marBottom w:val="0"/>
      <w:divBdr>
        <w:top w:val="none" w:sz="0" w:space="0" w:color="auto"/>
        <w:left w:val="none" w:sz="0" w:space="0" w:color="auto"/>
        <w:bottom w:val="none" w:sz="0" w:space="0" w:color="auto"/>
        <w:right w:val="none" w:sz="0" w:space="0" w:color="auto"/>
      </w:divBdr>
    </w:div>
    <w:div w:id="1934316720">
      <w:bodyDiv w:val="1"/>
      <w:marLeft w:val="0"/>
      <w:marRight w:val="0"/>
      <w:marTop w:val="0"/>
      <w:marBottom w:val="0"/>
      <w:divBdr>
        <w:top w:val="none" w:sz="0" w:space="0" w:color="auto"/>
        <w:left w:val="none" w:sz="0" w:space="0" w:color="auto"/>
        <w:bottom w:val="none" w:sz="0" w:space="0" w:color="auto"/>
        <w:right w:val="none" w:sz="0" w:space="0" w:color="auto"/>
      </w:divBdr>
    </w:div>
    <w:div w:id="1940987017">
      <w:bodyDiv w:val="1"/>
      <w:marLeft w:val="0"/>
      <w:marRight w:val="0"/>
      <w:marTop w:val="0"/>
      <w:marBottom w:val="0"/>
      <w:divBdr>
        <w:top w:val="none" w:sz="0" w:space="0" w:color="auto"/>
        <w:left w:val="none" w:sz="0" w:space="0" w:color="auto"/>
        <w:bottom w:val="none" w:sz="0" w:space="0" w:color="auto"/>
        <w:right w:val="none" w:sz="0" w:space="0" w:color="auto"/>
      </w:divBdr>
    </w:div>
    <w:div w:id="19476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Nei07</b:Tag>
    <b:SourceType>Book</b:SourceType>
    <b:Guid>{5FCC23C1-C4B3-4761-9B0D-33155BBFFADF}</b:Guid>
    <b:LCID>en-GB</b:LCID>
    <b:Author>
      <b:Author>
        <b:NameList>
          <b:Person>
            <b:Last>Thomson</b:Last>
            <b:First>Neil</b:First>
          </b:Person>
        </b:NameList>
      </b:Author>
    </b:Author>
    <b:Title>Power and Empowerment</b:Title>
    <b:Year>2007</b:Year>
    <b:City>Lyme Regis</b:City>
    <b:Publisher>Russel House</b:Publisher>
    <b:RefOrder>1</b:RefOrder>
  </b:Source>
  <b:Source>
    <b:Tag>Fri</b:Tag>
    <b:SourceType>Book</b:SourceType>
    <b:Guid>{8BBFE20A-47A6-4AFA-A709-006667BC2B04}</b:Guid>
    <b:Author>
      <b:Author>
        <b:NameList>
          <b:Person>
            <b:Last>Friere</b:Last>
            <b:First>Paulo</b:First>
          </b:Person>
        </b:NameList>
      </b:Author>
      <b:Translator>
        <b:NameList>
          <b:Person>
            <b:Last>Ramos</b:Last>
            <b:First>Myra</b:First>
            <b:Middle>Bergman</b:Middle>
          </b:Person>
        </b:NameList>
      </b:Translator>
    </b:Author>
    <b:Title>Pedagogy of the Oppressed</b:Title>
    <b:Publisher>Bloomsbury</b:Publisher>
    <b:Edition>30th Anniversary</b:Edition>
    <b:RefOrder>2</b:RefOrder>
  </b:Source>
  <b:Source>
    <b:Tag>DRo</b:Tag>
    <b:SourceType>Book</b:SourceType>
    <b:Guid>{D32FD4AA-238F-4D74-A093-195015EE4EE3}</b:Guid>
    <b:Author>
      <b:Author>
        <b:NameList>
          <b:Person>
            <b:Last>Robotham</b:Last>
            <b:First>D</b:First>
          </b:Person>
        </b:NameList>
      </b:Author>
    </b:Author>
    <b:Title>Culture, Society, Ecomony and Globilization and all its Alternatives</b:Title>
    <b:City>London</b:City>
    <b:Publisher>Sage</b:Publisher>
    <b:Year>2005</b:Year>
    <b:RefOrder>3</b:RefOrder>
  </b:Source>
  <b:Source>
    <b:Tag>Gin76</b:Tag>
    <b:SourceType>Book</b:SourceType>
    <b:Guid>{29DCE90C-D948-470F-A3AC-93AFEB18705C}</b:Guid>
    <b:Author>
      <b:Author>
        <b:NameList>
          <b:Person>
            <b:Last>Gintis</b:Last>
            <b:First>S</b:First>
            <b:Middle>Bowles &amp; H</b:Middle>
          </b:Person>
        </b:NameList>
      </b:Author>
    </b:Author>
    <b:Title>Schooling in a capitalist America: Educational reform and the contradictions of economic life</b:Title>
    <b:Year>1976</b:Year>
    <b:City>New York</b:City>
    <b:Publisher>Basic Books Inc</b:Publisher>
    <b:RefOrder>4</b:RefOrder>
  </b:Source>
  <b:Source>
    <b:Tag>Kit90</b:Tag>
    <b:SourceType>Book</b:SourceType>
    <b:Guid>{CA9F1CA3-EB25-4630-836E-7A9039AC5B63}</b:Guid>
    <b:Author>
      <b:Author>
        <b:NameList>
          <b:Person>
            <b:Last>Kitzinger</b:Last>
          </b:Person>
        </b:NameList>
      </b:Author>
    </b:Author>
    <b:Year>1990</b:Year>
    <b:Pages>173</b:Pages>
    <b:RefOrder>5</b:RefOrder>
  </b:Source>
  <b:Source>
    <b:Tag>Soc14</b:Tag>
    <b:SourceType>Book</b:SourceType>
    <b:Guid>{9D3BD057-B795-42A1-A6CD-05ECCA3A775B}</b:Guid>
    <b:Author>
      <b:Author>
        <b:NameList>
          <b:Person>
            <b:Last>(Wales)</b:Last>
            <b:First>Social</b:First>
            <b:Middle>Services and Wellbeing Act</b:Middle>
          </b:Person>
        </b:NameList>
      </b:Author>
    </b:Author>
    <b:Year>2014</b:Year>
    <b:Edition>Section 182</b:Edition>
    <b:RefOrder>6</b:RefOrder>
  </b:Source>
  <b:Source>
    <b:Tag>Hen01</b:Tag>
    <b:SourceType>Book</b:SourceType>
    <b:Guid>{88B17856-3C3E-4FFA-8EBB-9668300F614A}</b:Guid>
    <b:Author>
      <b:Author>
        <b:NameList>
          <b:Person>
            <b:Last>Giroux</b:Last>
            <b:First>Henry</b:First>
            <b:Middle>A</b:Middle>
          </b:Person>
        </b:NameList>
      </b:Author>
    </b:Author>
    <b:Title>Theory and Resistance in Education: Towards a Pedagogy for the Opposition</b:Title>
    <b:Year>2001</b:Year>
    <b:RefOrder>7</b:RefOrder>
  </b:Source>
  <b:Source>
    <b:Tag>Ste04</b:Tag>
    <b:SourceType>Book</b:SourceType>
    <b:Guid>{75497158-4F61-4F84-B5B6-AD35EEA4BD63}</b:Guid>
    <b:Title>Deviant and non-deviant identities in the classroom: patrolling the boundaries of the normal social world</b:Title>
    <b:Year>2004</b:Year>
    <b:Author>
      <b:Author>
        <b:NameList>
          <b:Person>
            <b:Last>Waterhouse</b:Last>
            <b:First>Stephen</b:First>
          </b:Person>
        </b:NameList>
      </b:Author>
    </b:Author>
    <b:Pages>69-84 </b:Pages>
    <b:URL>https://www.tandfonline.com/doi/ref/10.1080/0885626032000167151?scroll=top</b:URL>
    <b:DOI>https://doi.org/10.1080/0885626032000167151</b:DOI>
    <b:RefOrder>8</b:RefOrder>
  </b:Source>
  <b:Source>
    <b:Tag>Pie90</b:Tag>
    <b:SourceType>Book</b:SourceType>
    <b:Guid>{BFE376E2-1A7B-4261-AD69-F3A06BFE4C8E}</b:Guid>
    <b:Author>
      <b:Author>
        <b:NameList>
          <b:Person>
            <b:Last>Passeron</b:Last>
            <b:First>Pierre</b:First>
            <b:Middle>Bourdieu &amp; Jean</b:Middle>
          </b:Person>
        </b:NameList>
      </b:Author>
    </b:Author>
    <b:Title>Reproduction in Education, Society and Culture (Published in association with Theory, Culture &amp; Society)</b:Title>
    <b:Year>1990</b:Year>
    <b:Publisher>Sage Publications</b:Publisher>
    <b:Edition>2nd</b:Edition>
    <b:RefOrder>9</b:RefOrder>
  </b:Source>
  <b:Source>
    <b:Tag>Sam99</b:Tag>
    <b:SourceType>Book</b:SourceType>
    <b:Guid>{AE1C3EEA-B1AB-43D1-84E0-458A8EA25EFF}</b:Guid>
    <b:Title>The Long Shadow of Work: Education, the Family, and the Reproduction of the Social Division of Labor</b:Title>
    <b:Year>1999</b:Year>
    <b:Author>
      <b:Author>
        <b:NameList>
          <b:Person>
            <b:Last>Samuel Bowles</b:Last>
            <b:First>Herbert</b:First>
            <b:Middle>Gintis, Peter Meyer</b:Middle>
          </b:Person>
        </b:NameList>
      </b:Author>
    </b:Author>
    <b:Volume>25</b:Volume>
    <b:URL>http://journals.sagepub.com/doi/10.1177/08969205990250021701</b:URL>
    <b:DOI>The Long Shadow of Work: Education, the Family, and the Reproduction of the Social Division of Labor</b:DOI>
    <b:RefOrder>10</b:RefOrder>
  </b:Source>
  <b:Source>
    <b:Tag>Don05</b:Tag>
    <b:SourceType>Book</b:SourceType>
    <b:Guid>{27D91CDE-951C-48CE-AD8B-566DC854A296}</b:Guid>
    <b:Author>
      <b:Author>
        <b:NameList>
          <b:Person>
            <b:Last>Robothan</b:Last>
            <b:First>Don</b:First>
          </b:Person>
        </b:NameList>
      </b:Author>
    </b:Author>
    <b:Title>Culture, Society, Economy</b:Title>
    <b:Year>2005</b:Year>
    <b:City>New York, USA</b:City>
    <b:Publisher>Sage Publications</b:Publisher>
    <b:RefOrder>11</b:RefOrder>
  </b:Source>
  <b:Source>
    <b:Tag>Lou08</b:Tag>
    <b:SourceType>Book</b:SourceType>
    <b:Guid>{9F2A93C5-FD38-4AA5-9F89-639EDF050954}</b:Guid>
    <b:Author>
      <b:Author>
        <b:NameList>
          <b:Person>
            <b:Last>Althusser</b:Last>
            <b:First>Louis</b:First>
          </b:Person>
        </b:NameList>
      </b:Author>
    </b:Author>
    <b:Title>On Ideology ( Radical Thinkers Series 3)</b:Title>
    <b:Year>2008</b:Year>
    <b:Publisher>Verso</b:Publisher>
    <b:RefOrder>12</b:RefOrder>
  </b:Source>
</b:Sources>
</file>

<file path=customXml/itemProps1.xml><?xml version="1.0" encoding="utf-8"?>
<ds:datastoreItem xmlns:ds="http://schemas.openxmlformats.org/officeDocument/2006/customXml" ds:itemID="{1580DD4D-3869-4DF4-88EE-A89C7C74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5</Pages>
  <Words>1301</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Davies</dc:creator>
  <cp:keywords/>
  <dc:description/>
  <cp:lastModifiedBy>Jen Davies</cp:lastModifiedBy>
  <cp:revision>25</cp:revision>
  <dcterms:created xsi:type="dcterms:W3CDTF">2018-09-25T14:55:00Z</dcterms:created>
  <dcterms:modified xsi:type="dcterms:W3CDTF">2018-10-24T17:47:00Z</dcterms:modified>
</cp:coreProperties>
</file>