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40"/>
          <w:szCs w:val="40"/>
          <w:shd w:fill="606060" w:val="clear"/>
        </w:rPr>
      </w:pPr>
      <w:r w:rsidDel="00000000" w:rsidR="00000000" w:rsidRPr="00000000">
        <w:rPr/>
        <w:drawing>
          <wp:inline distB="114300" distT="114300" distL="114300" distR="114300">
            <wp:extent cx="2209800" cy="74930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9300"/>
                    </a:xfrm>
                    <a:prstGeom prst="rect"/>
                    <a:ln/>
                  </pic:spPr>
                </pic:pic>
              </a:graphicData>
            </a:graphic>
          </wp:inline>
        </w:drawing>
      </w:r>
      <w:r w:rsidDel="00000000" w:rsidR="00000000" w:rsidRPr="00000000">
        <w:rPr>
          <w:sz w:val="40"/>
          <w:szCs w:val="40"/>
          <w:shd w:fill="606060" w:val="clear"/>
          <w:rtl w:val="0"/>
        </w:rPr>
        <w:t xml:space="preserve"> </w:t>
      </w:r>
    </w:p>
    <w:p w:rsidR="00000000" w:rsidDel="00000000" w:rsidP="00000000" w:rsidRDefault="00000000" w:rsidRPr="00000000" w14:paraId="00000002">
      <w:pPr>
        <w:spacing w:after="165"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Abigail Williams McCann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2430838</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No:</w:t>
            </w:r>
          </w:p>
        </w:tc>
        <w:tc>
          <w:tcPr/>
          <w:p w:rsidR="00000000" w:rsidDel="00000000" w:rsidP="00000000" w:rsidRDefault="00000000" w:rsidRPr="00000000" w14:paraId="00000008">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BMSK5010</w:t>
            </w:r>
          </w:p>
        </w:tc>
      </w:tr>
      <w:tr>
        <w:trPr>
          <w:cantSplit w:val="0"/>
          <w:trHeight w:val="798.515625" w:hRule="atLeast"/>
          <w:tblHeader w:val="0"/>
        </w:trPr>
        <w:tc>
          <w:tcPr>
            <w:shd w:fill="d9d9d9" w:val="clear"/>
          </w:tcPr>
          <w:p w:rsidR="00000000" w:rsidDel="00000000" w:rsidP="00000000" w:rsidRDefault="00000000" w:rsidRPr="00000000" w14:paraId="00000009">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Title:</w:t>
            </w:r>
          </w:p>
        </w:tc>
        <w:tc>
          <w:tcPr/>
          <w:p w:rsidR="00000000" w:rsidDel="00000000" w:rsidP="00000000" w:rsidRDefault="00000000" w:rsidRPr="00000000" w14:paraId="0000000A">
            <w:pPr>
              <w:spacing w:line="288"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Developing the Learning Organisation</w:t>
            </w:r>
          </w:p>
          <w:p w:rsidR="00000000" w:rsidDel="00000000" w:rsidP="00000000" w:rsidRDefault="00000000" w:rsidRPr="00000000" w14:paraId="0000000B">
            <w:pPr>
              <w:spacing w:after="120" w:before="120" w:line="360" w:lineRule="auto"/>
              <w:rPr>
                <w:rFonts w:ascii="Times New Roman" w:cs="Times New Roman" w:eastAsia="Times New Roman" w:hAnsi="Times New Roman"/>
                <w:color w:val="ff0000"/>
                <w:sz w:val="32"/>
                <w:szCs w:val="32"/>
              </w:rPr>
            </w:pPr>
            <w:r w:rsidDel="00000000" w:rsidR="00000000" w:rsidRPr="00000000">
              <w:rPr>
                <w:rtl w:val="0"/>
              </w:rPr>
            </w:r>
          </w:p>
        </w:tc>
      </w:tr>
    </w:tbl>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sz w:val="24"/>
          <w:szCs w:val="24"/>
          <w:shd w:fill="606060" w:val="clear"/>
        </w:rPr>
      </w:pPr>
      <w:r w:rsidDel="00000000" w:rsidR="00000000" w:rsidRPr="00000000">
        <w:rPr>
          <w:b w:val="1"/>
          <w:bCs w:val="1"/>
          <w:sz w:val="24"/>
          <w:szCs w:val="24"/>
          <w:rtl w:val="0"/>
        </w:rPr>
        <w:t xml:space="preserve">Statement of Confirmation of Authenticity</w:t>
      </w:r>
      <w:r w:rsidDel="00000000" w:rsidR="00000000" w:rsidRPr="00000000">
        <w:rPr>
          <w:sz w:val="24"/>
          <w:szCs w:val="24"/>
          <w:shd w:fill="606060" w:val="clear"/>
          <w:rtl w:val="0"/>
        </w:rPr>
        <w:t xml:space="preserve">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sz w:val="24"/>
          <w:szCs w:val="24"/>
          <w:shd w:fill="606060" w:val="clear"/>
        </w:rPr>
      </w:pPr>
      <w:r w:rsidDel="00000000" w:rsidR="00000000" w:rsidRPr="00000000">
        <w:rPr>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Del="00000000" w:rsidR="00000000" w:rsidRPr="00000000">
        <w:rPr>
          <w:sz w:val="24"/>
          <w:szCs w:val="24"/>
          <w:shd w:fill="606060" w:val="clear"/>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sz w:val="24"/>
          <w:szCs w:val="24"/>
          <w:shd w:fill="606060" w:val="clear"/>
        </w:rPr>
      </w:pPr>
      <w:r w:rsidDel="00000000" w:rsidR="00000000" w:rsidRPr="00000000">
        <w:rPr>
          <w:sz w:val="24"/>
          <w:szCs w:val="24"/>
          <w:rtl w:val="0"/>
        </w:rPr>
        <w:t xml:space="preserve">Attention is drawn to the plagiarism and unfair practice policies of both the University and of ILM.</w:t>
      </w:r>
      <w:r w:rsidDel="00000000" w:rsidR="00000000" w:rsidRPr="00000000">
        <w:rPr>
          <w:sz w:val="24"/>
          <w:szCs w:val="24"/>
          <w:shd w:fill="606060" w:val="clear"/>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AI Declaration:</w:t>
      </w:r>
      <w:r w:rsidDel="00000000" w:rsidR="00000000" w:rsidRPr="00000000">
        <w:rPr>
          <w:sz w:val="24"/>
          <w:szCs w:val="24"/>
          <w:rtl w:val="0"/>
        </w:rPr>
        <w:t xml:space="preserve"> I confirm that </w:t>
      </w:r>
      <w:r w:rsidDel="00000000" w:rsidR="00000000" w:rsidRPr="00000000">
        <w:rPr>
          <w:b w:val="1"/>
          <w:bCs w:val="1"/>
          <w:sz w:val="24"/>
          <w:szCs w:val="24"/>
          <w:rtl w:val="0"/>
        </w:rPr>
        <w:t xml:space="preserve">I have not used Generative AI</w:t>
      </w:r>
      <w:r w:rsidDel="00000000" w:rsidR="00000000" w:rsidRPr="00000000">
        <w:rPr>
          <w:sz w:val="24"/>
          <w:szCs w:val="24"/>
          <w:rtl w:val="0"/>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r w:rsidDel="00000000" w:rsidR="00000000" w:rsidRPr="00000000">
        <w:rPr>
          <w:sz w:val="24"/>
          <w:szCs w:val="24"/>
          <w:shd w:fill="606060" w:val="clear"/>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b w:val="1"/>
          <w:bCs w:val="1"/>
          <w:shd w:fill="606060" w:val="clear"/>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rPr>
          <w:b w:val="1"/>
          <w:bCs w:val="1"/>
          <w:shd w:fill="606060" w:val="clear"/>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b w:val="1"/>
          <w:bCs w:val="1"/>
          <w:shd w:fill="606060" w:val="clear"/>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b w:val="1"/>
          <w:bCs w:val="1"/>
          <w:shd w:fill="606060" w:val="clear"/>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b w:val="1"/>
          <w:bCs w:val="1"/>
          <w:shd w:fill="606060" w:val="clear"/>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rtl w:val="0"/>
        </w:rPr>
        <w:t xml:space="preserve">​​</w:t>
      </w:r>
      <w:r w:rsidDel="00000000" w:rsidR="00000000" w:rsidRPr="00000000">
        <w:rPr>
          <w:rtl w:val="0"/>
        </w:rPr>
        <w:t xml:space="preserve"> </w:t>
      </w:r>
    </w:p>
    <w:sdt>
      <w:sdtPr>
        <w:id w:val="1472888766"/>
        <w:docPartObj>
          <w:docPartGallery w:val="Table of Contents"/>
          <w:docPartUnique w:val="1"/>
        </w:docPartObj>
      </w:sdtPr>
      <w:sdtContent>
        <w:p w:rsidR="00000000" w:rsidDel="00000000" w:rsidP="00000000" w:rsidRDefault="00000000" w:rsidRPr="00000000" w14:paraId="00000016">
          <w:pPr>
            <w:widowControl w:val="0"/>
            <w:tabs>
              <w:tab w:val="right" w:leader="none" w:pos="9025.511811023624"/>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vwn3lwnct6bd">
            <w:r w:rsidDel="00000000" w:rsidR="00000000" w:rsidRPr="00000000">
              <w:rPr>
                <w:b w:val="1"/>
                <w:bCs w:val="1"/>
                <w:color w:val="000000"/>
                <w:u w:val="none"/>
                <w:rtl w:val="0"/>
              </w:rPr>
              <w:t xml:space="preserve">Table of Contents</w:t>
              <w:tab/>
            </w:r>
          </w:hyperlink>
          <w:r w:rsidDel="00000000" w:rsidR="00000000" w:rsidRPr="00000000">
            <w:fldChar w:fldCharType="begin"/>
            <w:instrText xml:space="preserve"> PAGEREF _vwn3lwnct6bd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025.511811023624"/>
            </w:tabs>
            <w:spacing w:before="60" w:line="240" w:lineRule="auto"/>
            <w:rPr>
              <w:b w:val="1"/>
              <w:bCs w:val="1"/>
              <w:color w:val="000000"/>
              <w:u w:val="none"/>
            </w:rPr>
          </w:pPr>
          <w:hyperlink w:anchor="_mu9bujb064a5">
            <w:r w:rsidDel="00000000" w:rsidR="00000000" w:rsidRPr="00000000">
              <w:rPr>
                <w:b w:val="1"/>
                <w:bCs w:val="1"/>
                <w:color w:val="000000"/>
                <w:u w:val="none"/>
                <w:rtl w:val="0"/>
              </w:rPr>
              <w:t xml:space="preserve">1.0 Employee Development: Balancing Individual Growth and Organisational Performance</w:t>
              <w:tab/>
            </w:r>
          </w:hyperlink>
          <w:r w:rsidDel="00000000" w:rsidR="00000000" w:rsidRPr="00000000">
            <w:fldChar w:fldCharType="begin"/>
            <w:instrText xml:space="preserve"> PAGEREF _mu9bujb064a5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025.511811023624"/>
            </w:tabs>
            <w:spacing w:before="60" w:line="240" w:lineRule="auto"/>
            <w:ind w:left="360" w:firstLine="0"/>
            <w:rPr>
              <w:color w:val="000000"/>
              <w:u w:val="none"/>
            </w:rPr>
          </w:pPr>
          <w:hyperlink w:anchor="_4gzagkbuk858">
            <w:r w:rsidDel="00000000" w:rsidR="00000000" w:rsidRPr="00000000">
              <w:rPr>
                <w:color w:val="000000"/>
                <w:u w:val="none"/>
                <w:rtl w:val="0"/>
              </w:rPr>
              <w:t xml:space="preserve">1.1  Employee Development and Organisational Performance</w:t>
              <w:tab/>
            </w:r>
          </w:hyperlink>
          <w:r w:rsidDel="00000000" w:rsidR="00000000" w:rsidRPr="00000000">
            <w:fldChar w:fldCharType="begin"/>
            <w:instrText xml:space="preserve"> PAGEREF _4gzagkbuk858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025.511811023624"/>
            </w:tabs>
            <w:spacing w:before="60" w:line="240" w:lineRule="auto"/>
            <w:ind w:left="360" w:firstLine="0"/>
            <w:rPr>
              <w:color w:val="000000"/>
              <w:u w:val="none"/>
            </w:rPr>
          </w:pPr>
          <w:hyperlink w:anchor="_yklcplbjgd84">
            <w:r w:rsidDel="00000000" w:rsidR="00000000" w:rsidRPr="00000000">
              <w:rPr>
                <w:color w:val="000000"/>
                <w:u w:val="none"/>
                <w:rtl w:val="0"/>
              </w:rPr>
              <w:t xml:space="preserve">1.2 Benefits to individual employees</w:t>
              <w:tab/>
            </w:r>
          </w:hyperlink>
          <w:r w:rsidDel="00000000" w:rsidR="00000000" w:rsidRPr="00000000">
            <w:fldChar w:fldCharType="begin"/>
            <w:instrText xml:space="preserve"> PAGEREF _yklcplbjgd84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025.511811023624"/>
            </w:tabs>
            <w:spacing w:before="60" w:line="240" w:lineRule="auto"/>
            <w:rPr>
              <w:b w:val="1"/>
              <w:bCs w:val="1"/>
              <w:color w:val="000000"/>
              <w:u w:val="none"/>
            </w:rPr>
          </w:pPr>
          <w:hyperlink w:anchor="_qreboi7qyg4m">
            <w:r w:rsidDel="00000000" w:rsidR="00000000" w:rsidRPr="00000000">
              <w:rPr>
                <w:b w:val="1"/>
                <w:bCs w:val="1"/>
                <w:color w:val="000000"/>
                <w:u w:val="none"/>
                <w:rtl w:val="0"/>
              </w:rPr>
              <w:t xml:space="preserve">2.0 Managing Individual Expectations of Personal Development</w:t>
              <w:tab/>
            </w:r>
          </w:hyperlink>
          <w:r w:rsidDel="00000000" w:rsidR="00000000" w:rsidRPr="00000000">
            <w:fldChar w:fldCharType="begin"/>
            <w:instrText xml:space="preserve"> PAGEREF _qreboi7qyg4m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025.511811023624"/>
            </w:tabs>
            <w:spacing w:before="60" w:line="240" w:lineRule="auto"/>
            <w:ind w:left="360" w:firstLine="0"/>
            <w:rPr>
              <w:color w:val="000000"/>
              <w:u w:val="none"/>
            </w:rPr>
          </w:pPr>
          <w:hyperlink w:anchor="_melbx5legz5m">
            <w:r w:rsidDel="00000000" w:rsidR="00000000" w:rsidRPr="00000000">
              <w:rPr>
                <w:color w:val="000000"/>
                <w:u w:val="none"/>
                <w:rtl w:val="0"/>
              </w:rPr>
              <w:t xml:space="preserve">2.1 Identifying Individual Development Expectations</w:t>
              <w:tab/>
            </w:r>
          </w:hyperlink>
          <w:r w:rsidDel="00000000" w:rsidR="00000000" w:rsidRPr="00000000">
            <w:fldChar w:fldCharType="begin"/>
            <w:instrText xml:space="preserve"> PAGEREF _melbx5legz5m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025.511811023624"/>
            </w:tabs>
            <w:spacing w:before="60" w:line="240" w:lineRule="auto"/>
            <w:ind w:left="360" w:firstLine="0"/>
            <w:rPr>
              <w:color w:val="000000"/>
              <w:u w:val="none"/>
            </w:rPr>
          </w:pPr>
          <w:hyperlink w:anchor="_rm4hecaonm2t">
            <w:r w:rsidDel="00000000" w:rsidR="00000000" w:rsidRPr="00000000">
              <w:rPr>
                <w:color w:val="000000"/>
                <w:u w:val="none"/>
                <w:rtl w:val="0"/>
              </w:rPr>
              <w:t xml:space="preserve">2.2 Aligning individual ambitions with organisational objectives</w:t>
              <w:tab/>
            </w:r>
          </w:hyperlink>
          <w:r w:rsidDel="00000000" w:rsidR="00000000" w:rsidRPr="00000000">
            <w:fldChar w:fldCharType="begin"/>
            <w:instrText xml:space="preserve"> PAGEREF _rm4hecaonm2t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025.511811023624"/>
            </w:tabs>
            <w:spacing w:before="60" w:line="240" w:lineRule="auto"/>
            <w:ind w:left="360" w:firstLine="0"/>
            <w:rPr>
              <w:color w:val="000000"/>
              <w:u w:val="none"/>
            </w:rPr>
          </w:pPr>
          <w:hyperlink w:anchor="_dnia02nmvb8y">
            <w:r w:rsidDel="00000000" w:rsidR="00000000" w:rsidRPr="00000000">
              <w:rPr>
                <w:color w:val="000000"/>
                <w:u w:val="none"/>
                <w:rtl w:val="0"/>
              </w:rPr>
              <w:t xml:space="preserve">2.3 Managing expectations through Career Development opportunities</w:t>
              <w:tab/>
            </w:r>
          </w:hyperlink>
          <w:r w:rsidDel="00000000" w:rsidR="00000000" w:rsidRPr="00000000">
            <w:fldChar w:fldCharType="begin"/>
            <w:instrText xml:space="preserve"> PAGEREF _dnia02nmvb8y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025.511811023624"/>
            </w:tabs>
            <w:spacing w:before="60" w:line="240" w:lineRule="auto"/>
            <w:rPr>
              <w:b w:val="1"/>
              <w:bCs w:val="1"/>
              <w:color w:val="000000"/>
              <w:u w:val="none"/>
            </w:rPr>
          </w:pPr>
          <w:hyperlink w:anchor="_9pckyohbg4mj">
            <w:r w:rsidDel="00000000" w:rsidR="00000000" w:rsidRPr="00000000">
              <w:rPr>
                <w:b w:val="1"/>
                <w:bCs w:val="1"/>
                <w:color w:val="000000"/>
                <w:u w:val="none"/>
                <w:rtl w:val="0"/>
              </w:rPr>
              <w:t xml:space="preserve">3.0 Critical Evaluation of Workplace Development Methods</w:t>
              <w:tab/>
            </w:r>
          </w:hyperlink>
          <w:r w:rsidDel="00000000" w:rsidR="00000000" w:rsidRPr="00000000">
            <w:fldChar w:fldCharType="begin"/>
            <w:instrText xml:space="preserve"> PAGEREF _9pckyohbg4mj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025.511811023624"/>
            </w:tabs>
            <w:spacing w:before="60" w:line="240" w:lineRule="auto"/>
            <w:ind w:left="360" w:firstLine="0"/>
            <w:rPr>
              <w:color w:val="000000"/>
              <w:u w:val="none"/>
            </w:rPr>
          </w:pPr>
          <w:hyperlink w:anchor="_hcljrezbh0rl">
            <w:r w:rsidDel="00000000" w:rsidR="00000000" w:rsidRPr="00000000">
              <w:rPr>
                <w:color w:val="000000"/>
                <w:u w:val="none"/>
                <w:rtl w:val="0"/>
              </w:rPr>
              <w:t xml:space="preserve">3.1 Formal Training and Structured Learning</w:t>
              <w:tab/>
            </w:r>
          </w:hyperlink>
          <w:r w:rsidDel="00000000" w:rsidR="00000000" w:rsidRPr="00000000">
            <w:fldChar w:fldCharType="begin"/>
            <w:instrText xml:space="preserve"> PAGEREF _hcljrezbh0rl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025.511811023624"/>
            </w:tabs>
            <w:spacing w:before="60" w:line="240" w:lineRule="auto"/>
            <w:ind w:left="360" w:firstLine="0"/>
            <w:rPr>
              <w:color w:val="000000"/>
              <w:u w:val="none"/>
            </w:rPr>
          </w:pPr>
          <w:hyperlink w:anchor="_dhq9b0mcgu0a">
            <w:r w:rsidDel="00000000" w:rsidR="00000000" w:rsidRPr="00000000">
              <w:rPr>
                <w:color w:val="000000"/>
                <w:u w:val="none"/>
                <w:rtl w:val="0"/>
              </w:rPr>
              <w:t xml:space="preserve">3.3 Job Shadowing and Observational Learning</w:t>
              <w:tab/>
            </w:r>
          </w:hyperlink>
          <w:r w:rsidDel="00000000" w:rsidR="00000000" w:rsidRPr="00000000">
            <w:fldChar w:fldCharType="begin"/>
            <w:instrText xml:space="preserve"> PAGEREF _dhq9b0mcgu0a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025.511811023624"/>
            </w:tabs>
            <w:spacing w:before="60" w:line="240" w:lineRule="auto"/>
            <w:ind w:left="360" w:firstLine="0"/>
            <w:rPr>
              <w:color w:val="000000"/>
              <w:u w:val="none"/>
            </w:rPr>
          </w:pPr>
          <w:hyperlink w:anchor="_xzk6krybo6wh">
            <w:r w:rsidDel="00000000" w:rsidR="00000000" w:rsidRPr="00000000">
              <w:rPr>
                <w:color w:val="000000"/>
                <w:u w:val="none"/>
                <w:rtl w:val="0"/>
              </w:rPr>
              <w:t xml:space="preserve">3.4 Self-Directed Learning and Continuing Professional Development</w:t>
              <w:tab/>
            </w:r>
          </w:hyperlink>
          <w:r w:rsidDel="00000000" w:rsidR="00000000" w:rsidRPr="00000000">
            <w:fldChar w:fldCharType="begin"/>
            <w:instrText xml:space="preserve"> PAGEREF _xzk6krybo6wh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025.511811023624"/>
            </w:tabs>
            <w:spacing w:before="60" w:line="240" w:lineRule="auto"/>
            <w:ind w:left="360" w:firstLine="0"/>
            <w:rPr>
              <w:color w:val="000000"/>
              <w:u w:val="none"/>
            </w:rPr>
          </w:pPr>
          <w:hyperlink w:anchor="_gbtwf4ffwhhy">
            <w:r w:rsidDel="00000000" w:rsidR="00000000" w:rsidRPr="00000000">
              <w:rPr>
                <w:color w:val="000000"/>
                <w:u w:val="none"/>
                <w:rtl w:val="0"/>
              </w:rPr>
              <w:t xml:space="preserve">3.5 Performance Feedback and Cross-Departmental Development</w:t>
              <w:tab/>
            </w:r>
          </w:hyperlink>
          <w:r w:rsidDel="00000000" w:rsidR="00000000" w:rsidRPr="00000000">
            <w:fldChar w:fldCharType="begin"/>
            <w:instrText xml:space="preserve"> PAGEREF _gbtwf4ffwhhy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025.511811023624"/>
            </w:tabs>
            <w:spacing w:before="60" w:line="240" w:lineRule="auto"/>
            <w:rPr>
              <w:b w:val="1"/>
              <w:bCs w:val="1"/>
              <w:color w:val="000000"/>
              <w:u w:val="none"/>
            </w:rPr>
          </w:pPr>
          <w:hyperlink w:anchor="_rtgqs17qxmzy">
            <w:r w:rsidDel="00000000" w:rsidR="00000000" w:rsidRPr="00000000">
              <w:rPr>
                <w:b w:val="1"/>
                <w:bCs w:val="1"/>
                <w:color w:val="000000"/>
                <w:u w:val="none"/>
                <w:rtl w:val="0"/>
              </w:rPr>
              <w:t xml:space="preserve">4.0 Individual Development Planning and Performance Management</w:t>
              <w:tab/>
            </w:r>
          </w:hyperlink>
          <w:r w:rsidDel="00000000" w:rsidR="00000000" w:rsidRPr="00000000">
            <w:fldChar w:fldCharType="begin"/>
            <w:instrText xml:space="preserve"> PAGEREF _rtgqs17qxmzy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025.511811023624"/>
            </w:tabs>
            <w:spacing w:before="60" w:line="240" w:lineRule="auto"/>
            <w:ind w:left="360" w:firstLine="0"/>
            <w:rPr>
              <w:color w:val="000000"/>
              <w:u w:val="none"/>
            </w:rPr>
          </w:pPr>
          <w:hyperlink w:anchor="_pfb2ydik7fw2">
            <w:r w:rsidDel="00000000" w:rsidR="00000000" w:rsidRPr="00000000">
              <w:rPr>
                <w:color w:val="000000"/>
                <w:u w:val="none"/>
                <w:rtl w:val="0"/>
              </w:rPr>
              <w:t xml:space="preserve">4.1 Identifying Individual Development Needs</w:t>
              <w:tab/>
            </w:r>
          </w:hyperlink>
          <w:r w:rsidDel="00000000" w:rsidR="00000000" w:rsidRPr="00000000">
            <w:fldChar w:fldCharType="begin"/>
            <w:instrText xml:space="preserve"> PAGEREF _pfb2ydik7fw2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025.511811023624"/>
            </w:tabs>
            <w:spacing w:before="60" w:line="240" w:lineRule="auto"/>
            <w:rPr>
              <w:b w:val="1"/>
              <w:bCs w:val="1"/>
              <w:color w:val="000000"/>
              <w:u w:val="none"/>
            </w:rPr>
          </w:pPr>
          <w:hyperlink w:anchor="_osvayrx3h8x5">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_osvayrx3h8x5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100" w:lineRule="auto"/>
        <w:ind w:left="220" w:firstLine="0"/>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100" w:lineRule="auto"/>
        <w:ind w:left="220" w:firstLine="0"/>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100" w:lineRule="auto"/>
        <w:ind w:left="220" w:firstLine="0"/>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100" w:lineRule="auto"/>
        <w:rPr/>
      </w:pPr>
      <w:r w:rsidDel="00000000" w:rsidR="00000000" w:rsidRPr="00000000">
        <w:rPr>
          <w:b w:val="1"/>
          <w:bCs w:val="1"/>
          <w:u w:val="single"/>
          <w:rtl w:val="0"/>
        </w:rPr>
        <w:t xml:space="preserve">​</w:t>
      </w:r>
      <w:r w:rsidDel="00000000" w:rsidR="00000000" w:rsidRPr="00000000">
        <w:rPr>
          <w:rtl w:val="0"/>
        </w:rPr>
        <w:t xml:space="preserve">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pPr>
      <w:r w:rsidDel="00000000" w:rsidR="00000000" w:rsidRPr="00000000">
        <w:rPr>
          <w:rtl w:val="0"/>
        </w:rPr>
        <w:t xml:space="preserve">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pPr>
      <w:r w:rsidDel="00000000" w:rsidR="00000000" w:rsidRPr="00000000">
        <w:rPr>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ectPr>
          <w:headerReference r:id="rId7" w:type="default"/>
          <w:footerReference r:id="rId8" w:type="default"/>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p w:rsidR="00000000" w:rsidDel="00000000" w:rsidP="00000000" w:rsidRDefault="00000000" w:rsidRPr="00000000" w14:paraId="00000035">
      <w:pPr>
        <w:pStyle w:val="Heading1"/>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sz w:val="22"/>
          <w:szCs w:val="22"/>
        </w:rPr>
      </w:pPr>
      <w:bookmarkStart w:colFirst="0" w:colLast="0" w:name="_mu9bujb064a5" w:id="0"/>
      <w:bookmarkEnd w:id="0"/>
      <w:r w:rsidDel="00000000" w:rsidR="00000000" w:rsidRPr="00000000">
        <w:rPr>
          <w:sz w:val="22"/>
          <w:szCs w:val="22"/>
          <w:rtl w:val="0"/>
        </w:rPr>
        <w:t xml:space="preserve">1.0 Employee Development: Balancing Individual Growth and Organisational Performance</w:t>
      </w: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ind w:left="360" w:firstLine="0"/>
        <w:rPr/>
      </w:pPr>
      <w:r w:rsidDel="00000000" w:rsidR="00000000" w:rsidRPr="00000000">
        <w:rPr>
          <w:rtl w:val="0"/>
        </w:rPr>
        <w:t xml:space="preserve">Employee development has a much larger scope than acquiring the skills required to perform an existing role. It is a continuously evolving process of improving one's professional knowledge, competencies, and career prospects, not only to contribute to the organisation, but also to improve the individual's wider employability. Nanakova &amp; Dopita (2025) observe that investing in employees can benefit organisations by improving productivity and capabilities. However, these benefits are not guaranteed; results depend on how an organisation implements this knowledge and continuously supports the team in applying their development. Cassidy (2026) supports this view, suggesting that unless employees apply information and training in practice, they can forget much of it. Senge (1990) builds on this by identifying personal mastery as one of the five disciplines of a learning organisation, emphasising the importance of continuous individual learning to support the wider organisation. However, this is necessary for organisational learning; it doesn't automatically produce wider organisational improvement. To assess the effectiveness of employee development investments, organisations must link improvements in workplace capabilities and individual knowledge to measurable benefits in practice.</w:t>
      </w:r>
      <w:r w:rsidDel="00000000" w:rsidR="00000000" w:rsidRPr="00000000">
        <w:rPr>
          <w:rtl w:val="0"/>
        </w:rPr>
      </w:r>
    </w:p>
    <w:p w:rsidR="00000000" w:rsidDel="00000000" w:rsidP="00000000" w:rsidRDefault="00000000" w:rsidRPr="00000000" w14:paraId="00000037">
      <w:pPr>
        <w:pStyle w:val="Heading2"/>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2"/>
          <w:szCs w:val="22"/>
        </w:rPr>
      </w:pPr>
      <w:bookmarkStart w:colFirst="0" w:colLast="0" w:name="_4gzagkbuk858" w:id="1"/>
      <w:bookmarkEnd w:id="1"/>
      <w:r w:rsidDel="00000000" w:rsidR="00000000" w:rsidRPr="00000000">
        <w:rPr>
          <w:sz w:val="22"/>
          <w:szCs w:val="22"/>
          <w:rtl w:val="0"/>
        </w:rPr>
        <w:t xml:space="preserve">1.1 </w:t>
      </w:r>
      <w:r w:rsidDel="00000000" w:rsidR="00000000" w:rsidRPr="00000000">
        <w:rPr>
          <w:sz w:val="22"/>
          <w:szCs w:val="22"/>
          <w:rtl w:val="0"/>
        </w:rPr>
        <w:t xml:space="preserve"> </w:t>
      </w:r>
      <w:r w:rsidDel="00000000" w:rsidR="00000000" w:rsidRPr="00000000">
        <w:rPr>
          <w:sz w:val="22"/>
          <w:szCs w:val="22"/>
          <w:rtl w:val="0"/>
        </w:rPr>
        <w:t xml:space="preserve">Employee Development and Organisational Performance</w:t>
      </w: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As</w:t>
      </w:r>
      <w:r w:rsidDel="00000000" w:rsidR="00000000" w:rsidRPr="00000000">
        <w:rPr>
          <w:rtl w:val="0"/>
        </w:rPr>
        <w:t xml:space="preserve"> a business development manager at Information Security Media Group (ISMG), an international organisation specialising in cyber security media and events, I identified, recruited, and secured suitable delegates for specialist roundtables. To do this effectively, I needed to demonstrate strong communication, relationship management, and the ability to meet specific performance indicators. To develop these competencies, ISMG offered several development opportunities, including shadowing, formal training, and mentoring.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 A potential benefit of employee development is improved productivity. My experience at ISMG highlighted mentoring as a particularly effective method because it gave me access to an experienced colleague who could explain technical processes, resolve my difficulties, and share practical experience. As a result, I navigated unfamiliar systems and completed my tasks more efficiently. The organisation also benefited: greater employee competence reduced my errors, increased my independence, and helped me operate more efficiently. However, a clear distinction is needed between individual efficiency and improved organisational performance; one does not automatically lead to the other. Noe and Schmidt (1986) identified employee attitudes, motivation, and career planning as key factors in training outcomes. Even with comprehensive training, its effectiveness depends on the individual's willingness to apply what they learn in their role. 1 potential benefit for the organisation is increased employee engagement. Organisations that provide development opportunities may encourage employees to view their employment as a longer-term career investment rather than simply a job. Siri et al. (2023) did a systematic review of 27 studies, where it was identified that there was an Association between continuing professional development and the employees' intentions to remain in their roles; however, much of that evidence was from Healthcare settings, meaning that those findings cannot establish whether the development opportunities directly reduced employee turnover at ISMG. ISMG offered a comprehensive package of development opportunities, such as mentoring, cross-department exposure, and independent professional learning, which encouraged students to broaden their skills in many different ways. It's important to justify the benefits of these investments because development programs require resources, including employee time, management attention, and training expenditure. Mentoring can be particularly beneficial, but it can temporarily reduce employee availability and pull them away from their own responsibilities.</w:t>
      </w:r>
    </w:p>
    <w:p w:rsidR="00000000" w:rsidDel="00000000" w:rsidP="00000000" w:rsidRDefault="00000000" w:rsidRPr="00000000" w14:paraId="0000003A">
      <w:pPr>
        <w:pStyle w:val="Heading2"/>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2"/>
          <w:szCs w:val="22"/>
        </w:rPr>
      </w:pPr>
      <w:bookmarkStart w:colFirst="0" w:colLast="0" w:name="_yklcplbjgd84" w:id="2"/>
      <w:bookmarkEnd w:id="2"/>
      <w:r w:rsidDel="00000000" w:rsidR="00000000" w:rsidRPr="00000000">
        <w:rPr>
          <w:sz w:val="22"/>
          <w:szCs w:val="22"/>
          <w:rtl w:val="0"/>
        </w:rPr>
        <w:t xml:space="preserve">1.2 Benefits to individual employees.</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From an individual perspective, workplace development can improve professional confidence and further career opportunities. This was illustrated by my experience at ISMG at 22. I communicated regularly with highly experienced cybersecurity professionals at major organisations. This exposure helped me develop my interpersonal skills and industry awareness, and I gained confidence when engaging with senior professionals. A particularly important factor in this was my mentorship. My mentor held regular online meetings and was available throughout the workday, so I could ask questions whenever necessary. This not only helped me with my tactical processes, but also helped me develop greater independence and confidence in a highly specialised professional environment.</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Passmore et al. (2026) suggest that digital coaching, while it may have barriers including rapport, communication, and technological issues, can produce outcomes comparable to face-to-face coaching. Whilst Mentoring and Coaching are different approaches in their own right, this finding offers useful context for understanding professional support delivered remotely. It is demonstrated in my experience that supportive relationships can develop without ever having to physically enter the workplace, although coaching findings cannot establish the effectiveness of mentoring specifically.</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Developing transferable skills such as communication, research and professional judgment may create opportunities for an employee to progress within the organisation or to find employment elsewhere. At ISMG, I was able to maintain my motivation not only through performance-related commission but also through the opportunities of establishing a long-term career in business development that could have been within ISMG or another company; however, the training and mentorship they provided increased my employability. There were strict requirements for our delegates to meet the eligibility for the Round Tables, and this could create considerable pressure. My success depended not only on the training I was provided with but alsoon  my persistence and persuasive communication. It is important to know that working from home, as I did for ISMG, created problems with communication and concentration. The usual office etiquette of popping into someone's office to ask a quick question doesn't exist when you're working from home. In my role, it was especially important to have my mentor and my manager to maintain professional relationships; regular daily check-ins were conducted via Zoom. There is an opportunity for employee development to not only improve individual competence but also create increased organisational capability; however, this is dependent on appropriate support and opportunities to apply newly acquired knowledge. My experience demonstrates the value of combining formal learning with interpersonal Support while also highlighting the importance of balancing performance demands with the needs of the individual and wider organisation.</w:t>
      </w:r>
    </w:p>
    <w:p w:rsidR="00000000" w:rsidDel="00000000" w:rsidP="00000000" w:rsidRDefault="00000000" w:rsidRPr="00000000" w14:paraId="0000003F">
      <w:pPr>
        <w:pStyle w:val="Heading1"/>
        <w:shd w:fill="ffffff" w:val="clear"/>
        <w:spacing w:after="200" w:before="200" w:lineRule="auto"/>
        <w:rPr>
          <w:sz w:val="22"/>
          <w:szCs w:val="22"/>
        </w:rPr>
      </w:pPr>
      <w:bookmarkStart w:colFirst="0" w:colLast="0" w:name="_qreboi7qyg4m" w:id="3"/>
      <w:bookmarkEnd w:id="3"/>
      <w:r w:rsidDel="00000000" w:rsidR="00000000" w:rsidRPr="00000000">
        <w:rPr>
          <w:sz w:val="22"/>
          <w:szCs w:val="22"/>
          <w:rtl w:val="0"/>
        </w:rPr>
        <w:t xml:space="preserve">2.0 Managing Individual Expectations of Personal Development</w:t>
      </w:r>
    </w:p>
    <w:p w:rsidR="00000000" w:rsidDel="00000000" w:rsidP="00000000" w:rsidRDefault="00000000" w:rsidRPr="00000000" w14:paraId="00000040">
      <w:pPr>
        <w:shd w:fill="ffffff" w:val="clear"/>
        <w:spacing w:after="200" w:before="200" w:lineRule="auto"/>
        <w:rPr/>
      </w:pPr>
      <w:r w:rsidDel="00000000" w:rsidR="00000000" w:rsidRPr="00000000">
        <w:rPr>
          <w:rtl w:val="0"/>
        </w:rPr>
        <w:t xml:space="preserve">One important aspect of employee development is the ability to manage individual expectations. A balance is needed between personal career aspirations and operational objectives. Plenty of employees will seek greater responsibility, financial rewards or career growth; however, the organisation must ensure that any training activities contribute towards the wider organisational objectives. Employees should be able to participate equally with management to set realistic objectives and to provide regular feedback. It is then the responsibility of management to ensure that employees' career development contributes to the business's productivity and overall effectiveness.</w:t>
      </w:r>
    </w:p>
    <w:p w:rsidR="00000000" w:rsidDel="00000000" w:rsidP="00000000" w:rsidRDefault="00000000" w:rsidRPr="00000000" w14:paraId="00000041">
      <w:pPr>
        <w:shd w:fill="ffffff" w:val="clear"/>
        <w:spacing w:after="200" w:before="200" w:lineRule="auto"/>
        <w:rPr/>
      </w:pPr>
      <w:r w:rsidDel="00000000" w:rsidR="00000000" w:rsidRPr="00000000">
        <w:rPr>
          <w:rtl w:val="0"/>
        </w:rPr>
        <w:t xml:space="preserve">Rousseau’s (1989) Psychological Contract Theory provides us with a useful framework to understand how these relationships work. Formal employee contracts and psychological contracts can tell an employee's perceptions of the reciprocal obligations between themselves and their employer. It is essential to communicate realistic development opportunities, as there may be an expectation thatemployees's commitment and Performance would translate into career progression. It is important to distinguish the two.</w:t>
      </w:r>
    </w:p>
    <w:p w:rsidR="00000000" w:rsidDel="00000000" w:rsidP="00000000" w:rsidRDefault="00000000" w:rsidRPr="00000000" w14:paraId="00000042">
      <w:pPr>
        <w:pStyle w:val="Heading2"/>
        <w:shd w:fill="ffffff" w:val="clear"/>
        <w:spacing w:after="200" w:before="200" w:lineRule="auto"/>
        <w:rPr>
          <w:sz w:val="22"/>
          <w:szCs w:val="22"/>
        </w:rPr>
      </w:pPr>
      <w:bookmarkStart w:colFirst="0" w:colLast="0" w:name="_melbx5legz5m" w:id="4"/>
      <w:bookmarkEnd w:id="4"/>
      <w:r w:rsidDel="00000000" w:rsidR="00000000" w:rsidRPr="00000000">
        <w:rPr>
          <w:sz w:val="22"/>
          <w:szCs w:val="22"/>
          <w:rtl w:val="0"/>
        </w:rPr>
        <w:t xml:space="preserve">2.1 Identifying Individual Development Expectations</w:t>
      </w:r>
    </w:p>
    <w:p w:rsidR="00000000" w:rsidDel="00000000" w:rsidP="00000000" w:rsidRDefault="00000000" w:rsidRPr="00000000" w14:paraId="00000043">
      <w:pPr>
        <w:shd w:fill="ffffff" w:val="clear"/>
        <w:spacing w:after="200" w:before="200" w:lineRule="auto"/>
        <w:rPr/>
      </w:pPr>
      <w:r w:rsidDel="00000000" w:rsidR="00000000" w:rsidRPr="00000000">
        <w:rPr>
          <w:rtl w:val="0"/>
        </w:rPr>
        <w:t xml:space="preserve">Professional development at ISMG is encouraged through a personal development plan (PDP). It is the responsibility of the employee to complete their own PDPs and to identify their own personal strengths and weaknesses, in order to encourage individual responsibility for professional growth. My own expectations for my PDP were to progress into a senior position within three years. I wanted to develop greater confidence and professional competence in business development. My ambitions were discussed with management,t and they were considered alongside my responsibilities for recruiting delegates to cyber security roundtables. This was a particularly effective approach to self-directed development whereby an employee actively participates in identifying their own learning requirements rather than relying exclusively on management's perception of them. Deci and Ryan’s (1985) theory is that the psychological needs associated with motivation are autonomy and competence. Allowing an employee to design their own personal development plan may therefore encourage greater engagement. This approach boosts motivation because it still requires organisational guidance. Unchecked ambition does not necessarily translate into the experience, competency or performance standards needed to achieve them. Personal development planning should involve collaboration between the employee and senior management to establish realistic expectations. </w:t>
      </w:r>
    </w:p>
    <w:p w:rsidR="00000000" w:rsidDel="00000000" w:rsidP="00000000" w:rsidRDefault="00000000" w:rsidRPr="00000000" w14:paraId="00000044">
      <w:pPr>
        <w:pStyle w:val="Heading2"/>
        <w:shd w:fill="ffffff" w:val="clear"/>
        <w:spacing w:after="200" w:before="200" w:lineRule="auto"/>
        <w:rPr>
          <w:sz w:val="22"/>
          <w:szCs w:val="22"/>
        </w:rPr>
      </w:pPr>
      <w:bookmarkStart w:colFirst="0" w:colLast="0" w:name="_rm4hecaonm2t" w:id="5"/>
      <w:bookmarkEnd w:id="5"/>
      <w:r w:rsidDel="00000000" w:rsidR="00000000" w:rsidRPr="00000000">
        <w:rPr>
          <w:sz w:val="22"/>
          <w:szCs w:val="22"/>
          <w:rtl w:val="0"/>
        </w:rPr>
        <w:t xml:space="preserve">2.2 Aligning individual ambitions with organisational objectives </w:t>
      </w:r>
    </w:p>
    <w:p w:rsidR="00000000" w:rsidDel="00000000" w:rsidP="00000000" w:rsidRDefault="00000000" w:rsidRPr="00000000" w14:paraId="00000045">
      <w:pPr>
        <w:shd w:fill="ffffff" w:val="clear"/>
        <w:spacing w:after="200" w:before="200" w:lineRule="auto"/>
        <w:rPr/>
      </w:pPr>
      <w:r w:rsidDel="00000000" w:rsidR="00000000" w:rsidRPr="00000000">
        <w:rPr>
          <w:rtl w:val="0"/>
        </w:rPr>
        <w:t xml:space="preserve">At ISMG, we held performance reviews every two months via Zoom. Management supported individual development, and these meetings provided opportunities to discuss progress and identify strengths and weaknesses. To measure performance in the role, management established key performance indicators (KPIs). These included outreach volume, connect rates, and registration conversion rates. These not only provided measurable evidence of our activity but also the effectiveness of the individual performing them. If an employee had made 100 calls and no conversion, they may need to work on their interpersonal skills and phone manner. If an individual set a per-second meeting with 10 delegates but none showed up to the Round Table, the employee may need to work on retention. Locke and Latham’s (2002) argue that setting specific, challenging objectives has a positive influence on performance, especially when employees receive appropriate feedback and are able to remain committed to achieving the goal. ISMG KPIs reflect this approach by establishing clear performance indicators.</w:t>
      </w:r>
    </w:p>
    <w:p w:rsidR="00000000" w:rsidDel="00000000" w:rsidP="00000000" w:rsidRDefault="00000000" w:rsidRPr="00000000" w14:paraId="00000046">
      <w:pPr>
        <w:shd w:fill="ffffff" w:val="clear"/>
        <w:spacing w:after="200" w:before="200" w:lineRule="auto"/>
        <w:rPr/>
      </w:pPr>
      <w:r w:rsidDel="00000000" w:rsidR="00000000" w:rsidRPr="00000000">
        <w:rPr>
          <w:rtl w:val="0"/>
        </w:rPr>
        <w:t xml:space="preserve">Setting clear objectives for employees creates pressure when it is limited to a fixed nature, particularly when successful recruitment depends on external factors such as their availability and willingness. A broader approach recognises that employees can contribute organisational value through their behaviours and competencies,s and these may not be accurately represented by performance indicators. There are potential challenges when evaluating subjective qualities such as an employee's motivation and ability to work within a team. Kefan and Levy 2000 examined the reactions of employees to their performance appraisals, highlighting the importance of how individuals perceive and respond to the process of evaluation. Considering broader professional attributes should be accompanied by transparent assessment criteria and opportunities for employees to provide feedback to management on how their development is supported. </w:t>
      </w:r>
      <w:r w:rsidDel="00000000" w:rsidR="00000000" w:rsidRPr="00000000">
        <w:rPr>
          <w:rtl w:val="0"/>
        </w:rPr>
      </w:r>
    </w:p>
    <w:p w:rsidR="00000000" w:rsidDel="00000000" w:rsidP="00000000" w:rsidRDefault="00000000" w:rsidRPr="00000000" w14:paraId="00000047">
      <w:pPr>
        <w:pStyle w:val="Heading2"/>
        <w:shd w:fill="ffffff" w:val="clear"/>
        <w:spacing w:after="200" w:before="200" w:lineRule="auto"/>
        <w:rPr>
          <w:sz w:val="22"/>
          <w:szCs w:val="22"/>
        </w:rPr>
      </w:pPr>
      <w:bookmarkStart w:colFirst="0" w:colLast="0" w:name="_dnia02nmvb8y" w:id="6"/>
      <w:bookmarkEnd w:id="6"/>
      <w:r w:rsidDel="00000000" w:rsidR="00000000" w:rsidRPr="00000000">
        <w:rPr>
          <w:sz w:val="22"/>
          <w:szCs w:val="22"/>
          <w:rtl w:val="0"/>
        </w:rPr>
        <w:t xml:space="preserve">2.3 Managing expectations through Career Development opportunities</w:t>
      </w:r>
    </w:p>
    <w:p w:rsidR="00000000" w:rsidDel="00000000" w:rsidP="00000000" w:rsidRDefault="00000000" w:rsidRPr="00000000" w14:paraId="00000048">
      <w:pPr>
        <w:shd w:fill="ffffff" w:val="clear"/>
        <w:spacing w:after="200" w:before="200" w:lineRule="auto"/>
        <w:rPr/>
      </w:pPr>
      <w:r w:rsidDel="00000000" w:rsidR="00000000" w:rsidRPr="00000000">
        <w:rPr>
          <w:rtl w:val="0"/>
        </w:rPr>
        <w:t xml:space="preserve">I</w:t>
      </w:r>
      <w:r w:rsidDel="00000000" w:rsidR="00000000" w:rsidRPr="00000000">
        <w:rPr>
          <w:rtl w:val="0"/>
        </w:rPr>
        <w:t xml:space="preserve">SMG has a dedicated approach to career development, and that extends well beyond progression within an employee's existing department. ISMG has clear values that emphasise curiosity, continuous learning, creative collaboration and employee belonging (Information Security Media Group [ISMG], n.d.). These values are reflected in the organisation's commitment to supporting professional growth and maintaining a collaborative work environment. My experience of structured Career Development was broadly consistent with these principles and values. There were structured opportunities available for employees to experience alternative departments, allowing them to explore different working environments while remaining under the umbrella of ISMG. From my experience, internal Korean mobility was encouraged across the organisation; if an employee was unhappy within their department or wasn't meeting the necessary requirements to carry out their role, a simple solution could be to change departments. This was better for ISMG, as it meant their employees still had the technical workings of the organisation, but a move may have better supported their growth. Ng et al. (2024) use meta- analysis to examine the relationship between employees of sponsored Career Development and employees' relationships with their organisation, even when employee development had improved their external employability. This provides a useful explanation for its emphasis on internal career mobility. It is important to consider that development opportunities do not eliminate every factor influencing employee retention. I ultimately left ISMG voluntarily because of a change in childcare responsibilities, despite positive relationships with management and opportunities for progression.  Self-employment ultimately suited my current needs. This highlights the need for effective expectation management and the ability to consider employees' changing needs beyond their career ambitions. Even supportive organisations can experience employee turnover when individual circumstances and organisational requirements do not align. Overall, ISMG has an effective combination of self-directed development planning, regular performance reviews and internal progression opportunities. To balance individual expectations and business requirements, however, successful management requires ongoing communication, fair assessment, and recognition that employees' personal priorities can change over time. </w:t>
      </w:r>
    </w:p>
    <w:p w:rsidR="00000000" w:rsidDel="00000000" w:rsidP="00000000" w:rsidRDefault="00000000" w:rsidRPr="00000000" w14:paraId="00000049">
      <w:pPr>
        <w:pStyle w:val="Heading1"/>
        <w:shd w:fill="ffffff" w:val="clear"/>
        <w:spacing w:after="200" w:before="200" w:lineRule="auto"/>
        <w:rPr>
          <w:sz w:val="22"/>
          <w:szCs w:val="22"/>
        </w:rPr>
      </w:pPr>
      <w:bookmarkStart w:colFirst="0" w:colLast="0" w:name="_9pckyohbg4mj" w:id="7"/>
      <w:bookmarkEnd w:id="7"/>
      <w:r w:rsidDel="00000000" w:rsidR="00000000" w:rsidRPr="00000000">
        <w:rPr>
          <w:sz w:val="22"/>
          <w:szCs w:val="22"/>
          <w:rtl w:val="0"/>
        </w:rPr>
        <w:t xml:space="preserve">3.0 Critical Evaluation of Workplace Development Methods</w:t>
      </w:r>
    </w:p>
    <w:p w:rsidR="00000000" w:rsidDel="00000000" w:rsidP="00000000" w:rsidRDefault="00000000" w:rsidRPr="00000000" w14:paraId="0000004A">
      <w:pPr>
        <w:shd w:fill="ffffff" w:val="clear"/>
        <w:spacing w:after="200" w:before="200" w:lineRule="auto"/>
        <w:rPr/>
      </w:pPr>
      <w:r w:rsidDel="00000000" w:rsidR="00000000" w:rsidRPr="00000000">
        <w:rPr>
          <w:rtl w:val="0"/>
        </w:rPr>
        <w:t xml:space="preserve">There are various methods available to organisations to enhance employee competence. However, organisations must consider individual learning requirements and Resources required to apply knowledge when considering the effectiveness of the development methods. At Information and Security Media Group, employee development incorporated formal training, shadowing, mentoring, self-directed learning and cross-departmental experience to enhance development. Although these methods were valuable opportunities for professional growth, their suitability and effectiveness varied according to the specific Development Goals. </w:t>
      </w:r>
    </w:p>
    <w:p w:rsidR="00000000" w:rsidDel="00000000" w:rsidP="00000000" w:rsidRDefault="00000000" w:rsidRPr="00000000" w14:paraId="0000004B">
      <w:pPr>
        <w:pStyle w:val="Heading2"/>
        <w:shd w:fill="ffffff" w:val="clear"/>
        <w:spacing w:after="200" w:before="200" w:lineRule="auto"/>
        <w:rPr>
          <w:sz w:val="22"/>
          <w:szCs w:val="22"/>
        </w:rPr>
      </w:pPr>
      <w:bookmarkStart w:colFirst="0" w:colLast="0" w:name="_hcljrezbh0rl" w:id="8"/>
      <w:bookmarkEnd w:id="8"/>
      <w:r w:rsidDel="00000000" w:rsidR="00000000" w:rsidRPr="00000000">
        <w:rPr>
          <w:sz w:val="22"/>
          <w:szCs w:val="22"/>
          <w:rtl w:val="0"/>
        </w:rPr>
        <w:t xml:space="preserve">3.1 Formal Training and Structured Learning</w:t>
      </w:r>
    </w:p>
    <w:p w:rsidR="00000000" w:rsidDel="00000000" w:rsidP="00000000" w:rsidRDefault="00000000" w:rsidRPr="00000000" w14:paraId="0000004C">
      <w:pPr>
        <w:shd w:fill="ffffff" w:val="clear"/>
        <w:spacing w:after="200" w:before="200" w:lineRule="auto"/>
        <w:rPr/>
      </w:pPr>
      <w:r w:rsidDel="00000000" w:rsidR="00000000" w:rsidRPr="00000000">
        <w:rPr>
          <w:rtl w:val="0"/>
        </w:rPr>
        <w:t xml:space="preserve">Organisation-provided</w:t>
      </w:r>
      <w:r w:rsidDel="00000000" w:rsidR="00000000" w:rsidRPr="00000000">
        <w:rPr>
          <w:rtl w:val="0"/>
        </w:rPr>
        <w:t xml:space="preserve"> formal training gives employees structured learning opportunities that are designed to develop their knowledge and competencies required for their roles. At ISMG, formal training supported employees to understand operational procedures and Performance expectations, as well as competencies using technology to recruit delegates for security roundtables. An advantage of this type of formal training is consistency, ensuring employees receive standardised information across the organisation about procedures and expectations. Training effectiveness depends on whether its content sufficiently addresses the demands of the role. The training I received at ISMG highlighted opportunities for improvement. Practically, it did not cover structured training on prospect identification, objection handling and conversion techniques; these may have strengthened my ability to achieve the required KPIs.  Kolb’s (1984) Experiential Learning Theory suggests that learning develops through a continuous cycle of experience, reflection, conceptualisation and experimentation. Kolb’s perspective on this leads us to believe that formal instruction may be insufficient unless the employees have the opportunity to practice their game knowledge and evaluate its effectiveness. A recent podcast by Cassidy discusses the idea that sustained performance depends less on the Learning Event itself and more on the environment in which it is applied. This point was further examined by Hamza et al 2025 suggesting that formal training in delegate recruitment would be more effective if a company provides practical exercise opportunities to apply these new techniques and continued managerial support. Consequently, a combination of practical workplace application and the organisation-provided training may be more appropriate for developing competencies. </w:t>
      </w:r>
    </w:p>
    <w:p w:rsidR="00000000" w:rsidDel="00000000" w:rsidP="00000000" w:rsidRDefault="00000000" w:rsidRPr="00000000" w14:paraId="0000004D">
      <w:pPr>
        <w:pStyle w:val="Heading2"/>
        <w:shd w:fill="ffffff" w:val="clear"/>
        <w:spacing w:after="200" w:before="200" w:lineRule="auto"/>
        <w:rPr>
          <w:sz w:val="22"/>
          <w:szCs w:val="22"/>
        </w:rPr>
      </w:pPr>
      <w:bookmarkStart w:colFirst="0" w:colLast="0" w:name="_dhq9b0mcgu0a" w:id="9"/>
      <w:bookmarkEnd w:id="9"/>
      <w:r w:rsidDel="00000000" w:rsidR="00000000" w:rsidRPr="00000000">
        <w:rPr>
          <w:sz w:val="22"/>
          <w:szCs w:val="22"/>
          <w:rtl w:val="0"/>
        </w:rPr>
        <w:t xml:space="preserve">3.3 Job Shadowing and Observational Learning</w:t>
      </w:r>
    </w:p>
    <w:p w:rsidR="00000000" w:rsidDel="00000000" w:rsidP="00000000" w:rsidRDefault="00000000" w:rsidRPr="00000000" w14:paraId="0000004E">
      <w:pPr>
        <w:shd w:fill="ffffff" w:val="clear"/>
        <w:spacing w:after="200" w:before="200" w:lineRule="auto"/>
        <w:rPr/>
      </w:pPr>
      <w:r w:rsidDel="00000000" w:rsidR="00000000" w:rsidRPr="00000000">
        <w:rPr>
          <w:rtl w:val="0"/>
        </w:rPr>
        <w:t xml:space="preserve">Bandura’s (1977) Social Learning Theory provides an explanation for observational learning, suggesting that individuals can acquire skills and learned behaviours through the observation of others. Job shadowing highlights this point particularly when employees are given the opportunity to observe experienced colleagues performing workplace tasks; I was given the opportunity to listen to successful delegate conversation calls to understand how experienced employees communicated with attendees. This was particularly beneficial because it demonstrated practical techniques that were difficult to understand through formal instruction. Employees can observe how conversations are developed, how delegates are engaged and how registrations are secured simply by listening to another colleague fulfil these tasks. This approach has limitations: it lacks structured explanations after the observed calls, and employees at ISMG were expected to independently identify why particular conversations were successful. This meant there was a risk of misunderstanding an experienced employee's communication techniques. Observational learning doesn't necessarily ensure that an employee could reproduce the successful behaviours in their own role. A more structured approach incorporating reflection and opportunities to practice techniques could improve the learning outcomes. That would also align closely with experiential learning principles by connecting observation with reflection and finally into practical application.</w:t>
      </w:r>
    </w:p>
    <w:p w:rsidR="00000000" w:rsidDel="00000000" w:rsidP="00000000" w:rsidRDefault="00000000" w:rsidRPr="00000000" w14:paraId="0000004F">
      <w:pPr>
        <w:pStyle w:val="Heading2"/>
        <w:shd w:fill="ffffff" w:val="clear"/>
        <w:spacing w:after="200" w:before="200" w:lineRule="auto"/>
        <w:rPr>
          <w:sz w:val="22"/>
          <w:szCs w:val="22"/>
        </w:rPr>
      </w:pPr>
      <w:bookmarkStart w:colFirst="0" w:colLast="0" w:name="_xzk6krybo6wh" w:id="10"/>
      <w:bookmarkEnd w:id="10"/>
      <w:r w:rsidDel="00000000" w:rsidR="00000000" w:rsidRPr="00000000">
        <w:rPr>
          <w:sz w:val="22"/>
          <w:szCs w:val="22"/>
          <w:rtl w:val="0"/>
        </w:rPr>
        <w:t xml:space="preserve">3.4 Self-Directed Learning and Continuing Professional Development</w:t>
      </w:r>
    </w:p>
    <w:p w:rsidR="00000000" w:rsidDel="00000000" w:rsidP="00000000" w:rsidRDefault="00000000" w:rsidRPr="00000000" w14:paraId="00000050">
      <w:pPr>
        <w:shd w:fill="ffffff" w:val="clear"/>
        <w:spacing w:after="200" w:before="200" w:lineRule="auto"/>
        <w:rPr/>
      </w:pPr>
      <w:r w:rsidDel="00000000" w:rsidR="00000000" w:rsidRPr="00000000">
        <w:rPr>
          <w:rtl w:val="0"/>
        </w:rPr>
        <w:t xml:space="preserve">An integral part of its employee development was the encouragement to independently develop their own knowledge of cyber security through industry newsletter resources provided by the company and professional platforms including LinkedIn Learning and Open University courses. This kind of self-directed learning can support continuous professional development by allowing employees to look beyond the immediate requirements of their position and broaden their knowledge of the industry. I found this particularly relevant within cybersecurity, where emerging threats and technology continually influence the subject matter of the events; however, independent learning requires motivation and sufficient opportunity to engage with available resources. In my experience, maintaining concentration while working remotely could be challenging, particularly with the expectation that professional learning was expected to take place outside of normal working hours. It's clear that self-directed learning encourages independence; however , employees with different personal responsibilities or learning preferences may experience unequal opportunities to participate in this kind of training. Therefore, organisations should not rely exclusively on individual initiative; they should be supported in place within working arrangements and the acknowledgement that offering resources alone does not guarantee that employees will acquire or effectively be able to apply that new knowledge. Shukla et al. (2024) have said that digital literacy and the organisational environment are important factors influencing the transfer of online training. It is suggested that providing online resources alone is insufficient to ensure that employees are able to apply newly acquired knowledge within their roles it would have supported my role within ISMG to have allocated time specifically for development and learning, and offering regular learning support could have then improved the effectiveness of self-directed development </w:t>
      </w:r>
    </w:p>
    <w:p w:rsidR="00000000" w:rsidDel="00000000" w:rsidP="00000000" w:rsidRDefault="00000000" w:rsidRPr="00000000" w14:paraId="00000051">
      <w:pPr>
        <w:pStyle w:val="Heading2"/>
        <w:shd w:fill="ffffff" w:val="clear"/>
        <w:spacing w:after="200" w:before="200" w:lineRule="auto"/>
        <w:rPr>
          <w:sz w:val="22"/>
          <w:szCs w:val="22"/>
        </w:rPr>
      </w:pPr>
      <w:bookmarkStart w:colFirst="0" w:colLast="0" w:name="_gbtwf4ffwhhy" w:id="11"/>
      <w:bookmarkEnd w:id="11"/>
      <w:r w:rsidDel="00000000" w:rsidR="00000000" w:rsidRPr="00000000">
        <w:rPr>
          <w:sz w:val="22"/>
          <w:szCs w:val="22"/>
          <w:rtl w:val="0"/>
        </w:rPr>
        <w:t xml:space="preserve">3.5 Performance Feedback and Cross-Departmental Development</w:t>
      </w:r>
    </w:p>
    <w:p w:rsidR="00000000" w:rsidDel="00000000" w:rsidP="00000000" w:rsidRDefault="00000000" w:rsidRPr="00000000" w14:paraId="00000052">
      <w:pPr>
        <w:shd w:fill="ffffff" w:val="clear"/>
        <w:spacing w:after="200" w:before="200" w:lineRule="auto"/>
        <w:rPr/>
      </w:pPr>
      <w:r w:rsidDel="00000000" w:rsidR="00000000" w:rsidRPr="00000000">
        <w:rPr>
          <w:rtl w:val="0"/>
        </w:rPr>
        <w:t xml:space="preserve">A method used by ISMG to monitor performance was regular call monitoring and Performance reviews to identify employees' areas that required improvement. Occasionally, managers listen to delegate recruitment calls and provide constructive feedback concerning telephone manner and pitch. Unlike purely numerical KPI assessments, this type of Direct observation enabled management to be able to evaluate communication methods and identify specific development needs. This was a valuable connection between the assessment of performance and professional learning. It was important to do this irregularly and spontaneously because employee knowledge of excessive monitoring could increase pressure within an already results-driven working environment. Its effectiveness therefore depends on whether feedback is delivered constructively and used to support improvement rather than solely to assess performance. Kluger and DeNisi (1996), in a meta-analysis of feedback interventions, found that feedback generally improved employee performance; one-third of interventions produced negative effects, and this challenges the assumption that management's real feedback is automatically beneficial and also suggests that ISMG's core monitoring should focus on achievable improvements rather than an opportunity for criticism that may have undermined employee confidence.</w:t>
      </w:r>
    </w:p>
    <w:p w:rsidR="00000000" w:rsidDel="00000000" w:rsidP="00000000" w:rsidRDefault="00000000" w:rsidRPr="00000000" w14:paraId="00000053">
      <w:pPr>
        <w:shd w:fill="ffffff" w:val="clear"/>
        <w:spacing w:after="200" w:before="200" w:lineRule="auto"/>
        <w:rPr/>
      </w:pPr>
      <w:r w:rsidDel="00000000" w:rsidR="00000000" w:rsidRPr="00000000">
        <w:rPr>
          <w:rtl w:val="0"/>
        </w:rPr>
        <w:t xml:space="preserve">ISMG also offered its employees the opportunity to experience other departments; this was with the view of broadening their understanding of the whole organisational activities and also providing them with alternative career pathways where individuals who wish to pursue different responsibilities could trial this within the company by transferring to a different department. Although cross-departmental development can increase adaptability and support employees' attention, many temporary replacements within a business may cause operational disruption, and they require additional supervision across all departments. </w:t>
      </w:r>
    </w:p>
    <w:p w:rsidR="00000000" w:rsidDel="00000000" w:rsidP="00000000" w:rsidRDefault="00000000" w:rsidRPr="00000000" w14:paraId="00000054">
      <w:pPr>
        <w:shd w:fill="ffffff" w:val="clear"/>
        <w:spacing w:after="200" w:before="200" w:lineRule="auto"/>
        <w:rPr/>
      </w:pPr>
      <w:r w:rsidDel="00000000" w:rsidR="00000000" w:rsidRPr="00000000">
        <w:rPr>
          <w:rtl w:val="0"/>
        </w:rPr>
        <w:t xml:space="preserve">Rather than relying on one approach, a blended strategy which incorporates on-the-job experience, mentoring, feedback and independent learning offers a more comprehensive means of supporting employee competence and sustained performance improvement overall. Using a combination of development methods has demonstrated the importance of aligning individual needs with organisational objectives when offering employees specific learning opportunities. In my experience, personalised mentoring and practical observation were especially beneficial for my role, although I felt formal training would have strengthened the development process rather than relying on one approach. </w:t>
      </w:r>
    </w:p>
    <w:p w:rsidR="00000000" w:rsidDel="00000000" w:rsidP="00000000" w:rsidRDefault="00000000" w:rsidRPr="00000000" w14:paraId="00000055">
      <w:pPr>
        <w:pStyle w:val="Heading1"/>
        <w:shd w:fill="ffffff" w:val="clear"/>
        <w:spacing w:after="200" w:before="200" w:lineRule="auto"/>
        <w:rPr>
          <w:sz w:val="22"/>
          <w:szCs w:val="22"/>
        </w:rPr>
      </w:pPr>
      <w:bookmarkStart w:colFirst="0" w:colLast="0" w:name="_rtgqs17qxmzy" w:id="12"/>
      <w:bookmarkEnd w:id="12"/>
      <w:r w:rsidDel="00000000" w:rsidR="00000000" w:rsidRPr="00000000">
        <w:rPr>
          <w:sz w:val="22"/>
          <w:szCs w:val="22"/>
          <w:rtl w:val="0"/>
        </w:rPr>
        <w:t xml:space="preserve">4.0 Individual Development Planning and Performance Management</w:t>
      </w:r>
    </w:p>
    <w:p w:rsidR="00000000" w:rsidDel="00000000" w:rsidP="00000000" w:rsidRDefault="00000000" w:rsidRPr="00000000" w14:paraId="00000056">
      <w:pPr>
        <w:shd w:fill="ffffff" w:val="clear"/>
        <w:spacing w:after="200" w:before="200" w:lineRule="auto"/>
        <w:rPr/>
      </w:pPr>
      <w:r w:rsidDel="00000000" w:rsidR="00000000" w:rsidRPr="00000000">
        <w:rPr>
          <w:rtl w:val="0"/>
        </w:rPr>
        <w:t xml:space="preserve">To improve workplace performance, individual development planning provides a structured approach to identify skill gaps, establish professional objectives and monitor progress. An effective development plan should balance organisational requirements with individual career aspirations, ensuring that any learning opportunities offered to the employee support their professional growth and the business's objectives. At ISMG, I was offered personal development plans, performance indicators and regular appraisal meetings to support my development. Drawing upon this experience, I have proposed a six-month development plan specifically created for a business development manager with the view of improving delicate recruitment communication skills and overall professional development.</w:t>
      </w:r>
    </w:p>
    <w:p w:rsidR="00000000" w:rsidDel="00000000" w:rsidP="00000000" w:rsidRDefault="00000000" w:rsidRPr="00000000" w14:paraId="00000057">
      <w:pPr>
        <w:pStyle w:val="Heading2"/>
        <w:shd w:fill="ffffff" w:val="clear"/>
        <w:spacing w:after="200" w:before="200" w:lineRule="auto"/>
        <w:rPr>
          <w:sz w:val="22"/>
          <w:szCs w:val="22"/>
        </w:rPr>
      </w:pPr>
      <w:bookmarkStart w:colFirst="0" w:colLast="0" w:name="_pfb2ydik7fw2" w:id="13"/>
      <w:bookmarkEnd w:id="13"/>
      <w:r w:rsidDel="00000000" w:rsidR="00000000" w:rsidRPr="00000000">
        <w:rPr>
          <w:sz w:val="22"/>
          <w:szCs w:val="22"/>
          <w:rtl w:val="0"/>
        </w:rPr>
        <w:t xml:space="preserve">4.1 Identifying Individual Development Needs</w:t>
      </w:r>
    </w:p>
    <w:p w:rsidR="00000000" w:rsidDel="00000000" w:rsidP="00000000" w:rsidRDefault="00000000" w:rsidRPr="00000000" w14:paraId="00000058">
      <w:pPr>
        <w:shd w:fill="ffffff" w:val="clear"/>
        <w:spacing w:after="200" w:before="200" w:lineRule="auto"/>
        <w:rPr/>
      </w:pPr>
      <w:r w:rsidDel="00000000" w:rsidR="00000000" w:rsidRPr="00000000">
        <w:rPr>
          <w:rtl w:val="0"/>
        </w:rPr>
        <w:t xml:space="preserve">An effective personal development plan can only be accomplished when development needs are identified. The process of identifying these should involve examining existing competencies and evaluating performance against the organisational expectations, with the incorporation of the employee's self-assessment. During my role at ISMG, we were encouraged to complete our own PDP’s to reflect on our own personal strengths, weaknesses and future career aspirations. We would discuss these with management bimonthly via Zoom review meetings. This allowed our individual expectations to be considered alongside performance requirements. I received formal training, mentoring, and opportunities to observe experienced colleagues. Reflection upon my experience has identified several areas where additional support could have improved my effectiveness. It would have been beneficial to receive recruitment conversion techniques, the ability to identify suitable delegates, and a work-based approach to develop a deeper understanding of cybersecurity topics, rather than expecting us to do this in our own time. An effective assessment should combine KPI information with self-reflection; this would enable more comprehensive assessment of an employee's development needs.</w:t>
      </w:r>
    </w:p>
    <w:p w:rsidR="00000000" w:rsidDel="00000000" w:rsidP="00000000" w:rsidRDefault="00000000" w:rsidRPr="00000000" w14:paraId="00000059">
      <w:pPr>
        <w:shd w:fill="ffffff" w:val="clear"/>
        <w:spacing w:after="200" w:before="200" w:lineRule="auto"/>
        <w:rPr/>
      </w:pPr>
      <w:r w:rsidDel="00000000" w:rsidR="00000000" w:rsidRPr="00000000">
        <w:rPr>
          <w:color w:val="222222"/>
          <w:rtl w:val="0"/>
        </w:rPr>
        <w:t xml:space="preserve">4.2 Proposed Individual Development Plan</w:t>
      </w:r>
      <w:r w:rsidDel="00000000" w:rsidR="00000000" w:rsidRPr="00000000">
        <w:rPr>
          <w:rtl w:val="0"/>
        </w:rPr>
      </w:r>
    </w:p>
    <w:p w:rsidR="00000000" w:rsidDel="00000000" w:rsidP="00000000" w:rsidRDefault="00000000" w:rsidRPr="00000000" w14:paraId="0000005A">
      <w:pPr>
        <w:shd w:fill="ffffff" w:val="clear"/>
        <w:spacing w:after="200" w:before="200" w:lineRule="auto"/>
        <w:rPr/>
      </w:pPr>
      <w:r w:rsidDel="00000000" w:rsidR="00000000" w:rsidRPr="00000000">
        <w:rPr>
          <w:rtl w:val="0"/>
        </w:rPr>
        <w:t xml:space="preserve">The proposed PDP incorporates </w:t>
      </w:r>
      <w:r w:rsidDel="00000000" w:rsidR="00000000" w:rsidRPr="00000000">
        <w:rPr>
          <w:b w:val="1"/>
          <w:bCs w:val="1"/>
          <w:rtl w:val="0"/>
        </w:rPr>
        <w:t xml:space="preserve">* Appendix A,</w:t>
      </w:r>
      <w:r w:rsidDel="00000000" w:rsidR="00000000" w:rsidRPr="00000000">
        <w:rPr>
          <w:rtl w:val="0"/>
        </w:rPr>
        <w:t xml:space="preserve"> the SMART approach introduced by Doran (1981). This provides us with a structured basis to be able to establish and review development objectives over the course of six months. The objectives are designed to improve performance within the role and support longer-term professional development. Integrated within the plan is formal learning with practical experience reflecting Kolb’s 1984 experiential learning theory. An example of this is formal instruction in delegate identification, which could provide the employee with the knowledge required to improve prospect research; therefore, employees could subsequently apply these techniques within their existing responsibilities and reflect upon the outcomes, meaning they are able to adapt their approach through mentor feedback. The combination addresses difficulties identified within my previous personal development, where I noted that the observation of successful colleagues was useful, but it did not always provide me with structured explanations of the techniques these individuals had come to learn. </w:t>
      </w:r>
    </w:p>
    <w:p w:rsidR="00000000" w:rsidDel="00000000" w:rsidP="00000000" w:rsidRDefault="00000000" w:rsidRPr="00000000" w14:paraId="0000005B">
      <w:pPr>
        <w:shd w:fill="ffffff" w:val="clear"/>
        <w:spacing w:after="200" w:before="200" w:lineRule="auto"/>
        <w:rPr/>
      </w:pPr>
      <w:r w:rsidDel="00000000" w:rsidR="00000000" w:rsidRPr="00000000">
        <w:rPr>
          <w:color w:val="222222"/>
          <w:rtl w:val="0"/>
        </w:rPr>
        <w:t xml:space="preserve">4.3 Implementation, Monitoring and Feedback</w:t>
      </w:r>
      <w:r w:rsidDel="00000000" w:rsidR="00000000" w:rsidRPr="00000000">
        <w:rPr>
          <w:rtl w:val="0"/>
        </w:rPr>
      </w:r>
    </w:p>
    <w:p w:rsidR="00000000" w:rsidDel="00000000" w:rsidP="00000000" w:rsidRDefault="00000000" w:rsidRPr="00000000" w14:paraId="0000005C">
      <w:pPr>
        <w:shd w:fill="ffffff" w:val="clear"/>
        <w:spacing w:after="200" w:before="200" w:lineRule="auto"/>
        <w:rPr/>
      </w:pPr>
      <w:r w:rsidDel="00000000" w:rsidR="00000000" w:rsidRPr="00000000">
        <w:rPr>
          <w:rtl w:val="0"/>
        </w:rPr>
        <w:t xml:space="preserve">The successful implementation of any personal development plan requires clear responsibility for development activities and regular opportunities for the employee to review progress alongside management observations. The employee maintains ownership of their own PDP and is responsible for documenting completed activities, reflections and evidence of their improvement. The manager's role is to provide support and to ensure appropriate learning resources are available and evaluate the progress against agreed objectives. The proposed plan shall be reviewed on a two-monthly basis, where there will be formal performance reviews as an opportunity to assess employees' development; this should be supported by shorter monthly check-ins where appropriate. The numerical KPI data could be obtained through CRM reports and conversion statistics, and this could be further evidenced by managerial call observations and finally supported by the employee's own self-assessment. The combination of these approaches would enable a comprehensive, measurable result and identify the behaviours that contribute to performance.</w:t>
      </w:r>
    </w:p>
    <w:p w:rsidR="00000000" w:rsidDel="00000000" w:rsidP="00000000" w:rsidRDefault="00000000" w:rsidRPr="00000000" w14:paraId="0000005D">
      <w:pPr>
        <w:shd w:fill="ffffff" w:val="clear"/>
        <w:spacing w:after="200" w:before="200" w:lineRule="auto"/>
        <w:rPr>
          <w:color w:val="222222"/>
        </w:rPr>
      </w:pPr>
      <w:r w:rsidDel="00000000" w:rsidR="00000000" w:rsidRPr="00000000">
        <w:rPr>
          <w:rtl w:val="0"/>
        </w:rPr>
        <w:t xml:space="preserve"> </w:t>
      </w:r>
      <w:r w:rsidDel="00000000" w:rsidR="00000000" w:rsidRPr="00000000">
        <w:rPr>
          <w:color w:val="222222"/>
          <w:rtl w:val="0"/>
        </w:rPr>
        <w:t xml:space="preserve">Locke and Latham (2002) emphasise the importance of setting specific goals and regular opportunities for feedback to support motivation and Performance. It should be considered that the effectiveness of development objectives is also dependent on an individual's ability. An increase in pitch-to-registration conversion could depend on the availability and willingness of suitable delegates; consequently, a failure to achieve a numerical target should not be an automatic indication that an employee has failed to develop the necessary skills to gain those delegates. Instead, management should consider whether improvements have been made in communication and accuracy in the application of newly acquired skills. Therefore, regular feedback should remain constructive and confidential, and development records should be accessible only to appropriate individuals. </w:t>
      </w:r>
    </w:p>
    <w:p w:rsidR="00000000" w:rsidDel="00000000" w:rsidP="00000000" w:rsidRDefault="00000000" w:rsidRPr="00000000" w14:paraId="0000005E">
      <w:pPr>
        <w:shd w:fill="ffffff" w:val="clear"/>
        <w:spacing w:after="200" w:before="200" w:lineRule="auto"/>
        <w:rPr>
          <w:color w:val="222222"/>
        </w:rPr>
      </w:pPr>
      <w:r w:rsidDel="00000000" w:rsidR="00000000" w:rsidRPr="00000000">
        <w:rPr>
          <w:color w:val="222222"/>
          <w:rtl w:val="0"/>
        </w:rPr>
        <w:t xml:space="preserve">4.4 Evaluating Development Effectiveness</w:t>
      </w:r>
    </w:p>
    <w:p w:rsidR="00000000" w:rsidDel="00000000" w:rsidP="00000000" w:rsidRDefault="00000000" w:rsidRPr="00000000" w14:paraId="0000005F">
      <w:pPr>
        <w:shd w:fill="ffffff" w:val="clear"/>
        <w:spacing w:after="200" w:before="200" w:lineRule="auto"/>
        <w:rPr>
          <w:color w:val="222222"/>
        </w:rPr>
      </w:pPr>
      <w:r w:rsidDel="00000000" w:rsidR="00000000" w:rsidRPr="00000000">
        <w:rPr>
          <w:color w:val="222222"/>
          <w:rtl w:val="0"/>
        </w:rPr>
        <w:t xml:space="preserve">Individual learning outcomes and Improvements in organisational performance should be evaluated together to assess the effectiveness of the proposed PDP. A model proposed by kick Patrick tells us that a four-level training evaluation model provides a framework for considering participant reactions, behaviour, and the results (Kirkpatrick &amp; Kirkpatrick, 2006).</w:t>
      </w:r>
    </w:p>
    <w:p w:rsidR="00000000" w:rsidDel="00000000" w:rsidP="00000000" w:rsidRDefault="00000000" w:rsidRPr="00000000" w14:paraId="00000060">
      <w:pPr>
        <w:shd w:fill="ffffff" w:val="clear"/>
        <w:spacing w:after="200" w:before="200" w:lineRule="auto"/>
        <w:rPr>
          <w:color w:val="222222"/>
        </w:rPr>
      </w:pPr>
      <w:r w:rsidDel="00000000" w:rsidR="00000000" w:rsidRPr="00000000">
        <w:rPr>
          <w:color w:val="222222"/>
          <w:rtl w:val="0"/>
        </w:rPr>
        <w:t xml:space="preserve">Employee feedback would establish reactions to the proposed activities and whether they were relevant and accessible; this could support learning through demonstrations of improved delegate identification, industry knowledge, and recruitment techniques. An examination of behaviour would show us whether these competencies were consistently applied during workplace activities. Blume et al. (2010) have provided a meta-analysis of training transfer and have identified relationships between the application of learning and the workplace environment; therefore, we must consider that evaluating the proposed PDP should include consideration of employees having sufficient opportunities and organisational support to use their developing skills rather than measuring performance alone. Finally, organisational results could be assessed through changes in conversion rates, database quality, and overall delegate recruitment performance. </w:t>
      </w:r>
    </w:p>
    <w:p w:rsidR="00000000" w:rsidDel="00000000" w:rsidP="00000000" w:rsidRDefault="00000000" w:rsidRPr="00000000" w14:paraId="00000061">
      <w:pPr>
        <w:shd w:fill="ffffff" w:val="clear"/>
        <w:spacing w:after="200" w:before="200" w:lineRule="auto"/>
        <w:rPr>
          <w:color w:val="222222"/>
        </w:rPr>
      </w:pPr>
      <w:r w:rsidDel="00000000" w:rsidR="00000000" w:rsidRPr="00000000">
        <w:rPr>
          <w:color w:val="222222"/>
          <w:rtl w:val="0"/>
        </w:rPr>
        <w:t xml:space="preserve">Ardondi et al. (2026), in a systematic scoping review of 45 studies, found considerable variation in the instruments organisations use to measure workplace training transfer. The findings reinforce the importance of selecting evaluation methods that distinguish between employees' knowledge gained during training and its application in their roles. The proposed ISMG development plan supports combining performance reports with observations of individual behaviours and employee reactions. However, an improvement in KPIs should not necessarily be attributed exclusively to training and development activities; there may be external factors, including changes in the topic of the event, the Recruitment criteria and the availability of delegates, that could influence the outcomes; therefore, any evaluations should incorporate qualitative evidence and recognise the limitations of performance statistics. This proposed six-month review should assess progress against the agreed objectives, identify any remaining development requirements, and establish learning objectives for the next PDP cycle; it should also consider progress toward longer-term career aspirations, recognising that professional development extends beyond an employee’s media responsibilities. This proposed PDP demonstrates how structured training, mentoring and practical experience can support employee development within ISMG. The combination of measurable performance indicators and individual reflection provides a more balanced approach to managing performance while supporting the employee's longer-term career aspirations. </w:t>
      </w:r>
    </w:p>
    <w:p w:rsidR="00000000" w:rsidDel="00000000" w:rsidP="00000000" w:rsidRDefault="00000000" w:rsidRPr="00000000" w14:paraId="00000062">
      <w:pPr>
        <w:shd w:fill="ffffff" w:val="clear"/>
        <w:spacing w:after="200" w:before="200" w:lineRule="auto"/>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br w:type="page"/>
      </w: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p w:rsidR="00000000" w:rsidDel="00000000" w:rsidP="00000000" w:rsidRDefault="00000000" w:rsidRPr="00000000" w14:paraId="00000066">
      <w:pPr>
        <w:pStyle w:val="Heading1"/>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bookmarkStart w:colFirst="0" w:colLast="0" w:name="_osvayrx3h8x5" w:id="14"/>
      <w:bookmarkEnd w:id="14"/>
      <w:r w:rsidDel="00000000" w:rsidR="00000000" w:rsidRPr="00000000">
        <w:rPr>
          <w:sz w:val="24"/>
          <w:szCs w:val="24"/>
          <w:rtl w:val="0"/>
        </w:rPr>
        <w:t xml:space="preserve">References </w:t>
      </w:r>
    </w:p>
    <w:p w:rsidR="00000000" w:rsidDel="00000000" w:rsidP="00000000" w:rsidRDefault="00000000" w:rsidRPr="00000000" w14:paraId="00000067">
      <w:pPr>
        <w:shd w:fill="ffffff" w:val="clear"/>
        <w:spacing w:after="200" w:before="200" w:lineRule="auto"/>
        <w:rPr>
          <w:u w:val="single"/>
        </w:rPr>
      </w:pPr>
      <w:r w:rsidDel="00000000" w:rsidR="00000000" w:rsidRPr="00000000">
        <w:rPr>
          <w:rtl w:val="0"/>
        </w:rPr>
        <w:t xml:space="preserve">Allen, T. D., Eby, L. T., Poteet, M. L., Lentz, E., &amp; Lima, L. (2004). Career benefits associated with mentoring for protégés: A meta-analysis. Journal of Applied Psychology, 89(1), 127–136.</w:t>
      </w:r>
      <w:hyperlink r:id="rId9">
        <w:r w:rsidDel="00000000" w:rsidR="00000000" w:rsidRPr="00000000">
          <w:rPr>
            <w:rtl w:val="0"/>
          </w:rPr>
          <w:t xml:space="preserve"> </w:t>
        </w:r>
      </w:hyperlink>
      <w:hyperlink r:id="rId10">
        <w:r w:rsidDel="00000000" w:rsidR="00000000" w:rsidRPr="00000000">
          <w:rPr>
            <w:u w:val="single"/>
            <w:rtl w:val="0"/>
          </w:rPr>
          <w:t xml:space="preserve">https://doi.org/10.1037/0021-9010.89.1.127</w:t>
        </w:r>
      </w:hyperlink>
      <w:r w:rsidDel="00000000" w:rsidR="00000000" w:rsidRPr="00000000">
        <w:rPr>
          <w:rtl w:val="0"/>
        </w:rPr>
      </w:r>
    </w:p>
    <w:p w:rsidR="00000000" w:rsidDel="00000000" w:rsidP="00000000" w:rsidRDefault="00000000" w:rsidRPr="00000000" w14:paraId="00000068">
      <w:pPr>
        <w:shd w:fill="ffffff" w:val="clear"/>
        <w:spacing w:after="200" w:before="200" w:lineRule="auto"/>
        <w:rPr>
          <w:u w:val="single"/>
        </w:rPr>
      </w:pPr>
      <w:r w:rsidDel="00000000" w:rsidR="00000000" w:rsidRPr="00000000">
        <w:rPr>
          <w:rtl w:val="0"/>
        </w:rPr>
        <w:t xml:space="preserve">Ardondi, M., Fortunato, E., Ruozi, C., Di Fronzo, P., Saffioti, A., Ferrari, I., Bassi, M. C., Ghirotto, L., &amp; Pedroni, C. (2026). Workplace training transfer: A systematic scoping review of evaluation tools for adult learning. Journal of Workplace Learning, 38(1), 1–21.</w:t>
      </w:r>
      <w:hyperlink r:id="rId11">
        <w:r w:rsidDel="00000000" w:rsidR="00000000" w:rsidRPr="00000000">
          <w:rPr>
            <w:rtl w:val="0"/>
          </w:rPr>
          <w:t xml:space="preserve"> </w:t>
        </w:r>
      </w:hyperlink>
      <w:hyperlink r:id="rId12">
        <w:r w:rsidDel="00000000" w:rsidR="00000000" w:rsidRPr="00000000">
          <w:rPr>
            <w:u w:val="single"/>
            <w:rtl w:val="0"/>
          </w:rPr>
          <w:t xml:space="preserve">https://doi.org/10.1108/JWL-03-2025-0068</w:t>
        </w:r>
      </w:hyperlink>
      <w:r w:rsidDel="00000000" w:rsidR="00000000" w:rsidRPr="00000000">
        <w:rPr>
          <w:rtl w:val="0"/>
        </w:rPr>
      </w:r>
    </w:p>
    <w:p w:rsidR="00000000" w:rsidDel="00000000" w:rsidP="00000000" w:rsidRDefault="00000000" w:rsidRPr="00000000" w14:paraId="00000069">
      <w:pPr>
        <w:shd w:fill="ffffff" w:val="clear"/>
        <w:spacing w:after="200" w:before="200" w:lineRule="auto"/>
        <w:rPr/>
      </w:pPr>
      <w:r w:rsidDel="00000000" w:rsidR="00000000" w:rsidRPr="00000000">
        <w:rPr>
          <w:rtl w:val="0"/>
        </w:rPr>
        <w:t xml:space="preserve">Bandura, A. (1977). Social learning theory. Prentice Hall.</w:t>
      </w:r>
    </w:p>
    <w:p w:rsidR="00000000" w:rsidDel="00000000" w:rsidP="00000000" w:rsidRDefault="00000000" w:rsidRPr="00000000" w14:paraId="0000006A">
      <w:pPr>
        <w:shd w:fill="ffffff" w:val="clear"/>
        <w:spacing w:after="200" w:before="200" w:lineRule="auto"/>
        <w:rPr>
          <w:u w:val="single"/>
        </w:rPr>
      </w:pPr>
      <w:r w:rsidDel="00000000" w:rsidR="00000000" w:rsidRPr="00000000">
        <w:rPr>
          <w:rtl w:val="0"/>
        </w:rPr>
        <w:t xml:space="preserve">Blume, B. D., Ford, J. K., Baldwin, T. T., &amp; Huang, J. L. (2010). Transfer of training: A meta-analytic review. Journal of Management, 36(4), 1065–1105.</w:t>
      </w:r>
      <w:hyperlink r:id="rId13">
        <w:r w:rsidDel="00000000" w:rsidR="00000000" w:rsidRPr="00000000">
          <w:rPr>
            <w:rtl w:val="0"/>
          </w:rPr>
          <w:t xml:space="preserve"> </w:t>
        </w:r>
      </w:hyperlink>
      <w:hyperlink r:id="rId14">
        <w:r w:rsidDel="00000000" w:rsidR="00000000" w:rsidRPr="00000000">
          <w:rPr>
            <w:u w:val="single"/>
            <w:rtl w:val="0"/>
          </w:rPr>
          <w:t xml:space="preserve">https://doi.org/10.1177/0149206309352880</w:t>
        </w:r>
      </w:hyperlink>
      <w:r w:rsidDel="00000000" w:rsidR="00000000" w:rsidRPr="00000000">
        <w:rPr>
          <w:rtl w:val="0"/>
        </w:rPr>
      </w:r>
    </w:p>
    <w:p w:rsidR="00000000" w:rsidDel="00000000" w:rsidP="00000000" w:rsidRDefault="00000000" w:rsidRPr="00000000" w14:paraId="0000006B">
      <w:pPr>
        <w:shd w:fill="ffffff" w:val="clear"/>
        <w:spacing w:after="200" w:before="200" w:lineRule="auto"/>
        <w:rPr>
          <w:u w:val="single"/>
        </w:rPr>
      </w:pPr>
      <w:r w:rsidDel="00000000" w:rsidR="00000000" w:rsidRPr="00000000">
        <w:rPr>
          <w:rtl w:val="0"/>
        </w:rPr>
        <w:t xml:space="preserve">Cassidy, N. (Host). (2026, February 18). How to make learning stick and drive performance (No. 227) [Audio podcast episode]. In CIPD podcasts. Chartered Institute of Personnel and Development.</w:t>
      </w:r>
      <w:hyperlink r:id="rId15">
        <w:r w:rsidDel="00000000" w:rsidR="00000000" w:rsidRPr="00000000">
          <w:rPr>
            <w:rtl w:val="0"/>
          </w:rPr>
          <w:t xml:space="preserve"> </w:t>
        </w:r>
      </w:hyperlink>
      <w:hyperlink r:id="rId16">
        <w:r w:rsidDel="00000000" w:rsidR="00000000" w:rsidRPr="00000000">
          <w:rPr>
            <w:u w:val="single"/>
            <w:rtl w:val="0"/>
          </w:rPr>
          <w:t xml:space="preserve">https://www.cipd.org/uk/knowledge/podcasts/how-to-make-learning-stick-and-drive-performance/</w:t>
        </w:r>
      </w:hyperlink>
      <w:r w:rsidDel="00000000" w:rsidR="00000000" w:rsidRPr="00000000">
        <w:rPr>
          <w:rtl w:val="0"/>
        </w:rPr>
      </w:r>
    </w:p>
    <w:p w:rsidR="00000000" w:rsidDel="00000000" w:rsidP="00000000" w:rsidRDefault="00000000" w:rsidRPr="00000000" w14:paraId="0000006C">
      <w:pPr>
        <w:shd w:fill="ffffff" w:val="clear"/>
        <w:spacing w:after="200" w:before="200" w:lineRule="auto"/>
        <w:rPr>
          <w:u w:val="single"/>
        </w:rPr>
      </w:pPr>
      <w:r w:rsidDel="00000000" w:rsidR="00000000" w:rsidRPr="00000000">
        <w:rPr>
          <w:rtl w:val="0"/>
        </w:rPr>
        <w:t xml:space="preserve">Deci, E. L., &amp; Ryan, R. M. (1985). Intrinsic motivation and self-determination in human behavior. Plenum Press.</w:t>
      </w:r>
      <w:hyperlink r:id="rId17">
        <w:r w:rsidDel="00000000" w:rsidR="00000000" w:rsidRPr="00000000">
          <w:rPr>
            <w:rtl w:val="0"/>
          </w:rPr>
          <w:t xml:space="preserve"> </w:t>
        </w:r>
      </w:hyperlink>
      <w:hyperlink r:id="rId18">
        <w:r w:rsidDel="00000000" w:rsidR="00000000" w:rsidRPr="00000000">
          <w:rPr>
            <w:u w:val="single"/>
            <w:rtl w:val="0"/>
          </w:rPr>
          <w:t xml:space="preserve">https://doi.org/10.1007/978-1-4899-2271-7</w:t>
        </w:r>
      </w:hyperlink>
      <w:r w:rsidDel="00000000" w:rsidR="00000000" w:rsidRPr="00000000">
        <w:rPr>
          <w:rtl w:val="0"/>
        </w:rPr>
      </w:r>
    </w:p>
    <w:p w:rsidR="00000000" w:rsidDel="00000000" w:rsidP="00000000" w:rsidRDefault="00000000" w:rsidRPr="00000000" w14:paraId="0000006D">
      <w:pPr>
        <w:shd w:fill="ffffff" w:val="clear"/>
        <w:spacing w:after="200" w:before="200" w:lineRule="auto"/>
        <w:rPr/>
      </w:pPr>
      <w:r w:rsidDel="00000000" w:rsidR="00000000" w:rsidRPr="00000000">
        <w:rPr>
          <w:rtl w:val="0"/>
        </w:rPr>
        <w:t xml:space="preserve">Doran, G. T. (1981). There's a S.M.A.R.T. way to write management's goals and objectives. Management Review, 70(11), 35–36.</w:t>
      </w:r>
    </w:p>
    <w:p w:rsidR="00000000" w:rsidDel="00000000" w:rsidP="00000000" w:rsidRDefault="00000000" w:rsidRPr="00000000" w14:paraId="0000006E">
      <w:pPr>
        <w:shd w:fill="ffffff" w:val="clear"/>
        <w:spacing w:after="200" w:before="200" w:lineRule="auto"/>
        <w:rPr>
          <w:u w:val="single"/>
        </w:rPr>
      </w:pPr>
      <w:r w:rsidDel="00000000" w:rsidR="00000000" w:rsidRPr="00000000">
        <w:rPr>
          <w:rtl w:val="0"/>
        </w:rPr>
        <w:t xml:space="preserve">Hamzah, H. A., Marcinko, A. J., Stephens, B., &amp; Weick, M. (2025). Making soft skills 'stick': A systematic scoping review and integrated training transfer framework grounded in behavioural science. European Journal of Work and Organizational Psychology, 34(2), 237–250.</w:t>
      </w:r>
      <w:hyperlink r:id="rId19">
        <w:r w:rsidDel="00000000" w:rsidR="00000000" w:rsidRPr="00000000">
          <w:rPr>
            <w:rtl w:val="0"/>
          </w:rPr>
          <w:t xml:space="preserve"> </w:t>
        </w:r>
      </w:hyperlink>
      <w:hyperlink r:id="rId20">
        <w:r w:rsidDel="00000000" w:rsidR="00000000" w:rsidRPr="00000000">
          <w:rPr>
            <w:u w:val="single"/>
            <w:rtl w:val="0"/>
          </w:rPr>
          <w:t xml:space="preserve">https://doi.org/10.1080/1359432X.2024.2376909</w:t>
        </w:r>
      </w:hyperlink>
      <w:r w:rsidDel="00000000" w:rsidR="00000000" w:rsidRPr="00000000">
        <w:rPr>
          <w:rtl w:val="0"/>
        </w:rPr>
      </w:r>
    </w:p>
    <w:p w:rsidR="00000000" w:rsidDel="00000000" w:rsidP="00000000" w:rsidRDefault="00000000" w:rsidRPr="00000000" w14:paraId="0000006F">
      <w:pPr>
        <w:shd w:fill="ffffff" w:val="clear"/>
        <w:spacing w:after="200" w:before="200" w:lineRule="auto"/>
        <w:rPr>
          <w:u w:val="single"/>
        </w:rPr>
      </w:pPr>
      <w:r w:rsidDel="00000000" w:rsidR="00000000" w:rsidRPr="00000000">
        <w:rPr>
          <w:rtl w:val="0"/>
        </w:rPr>
        <w:t xml:space="preserve">Information Security Media Group. (n.d.). Life at ISMG.</w:t>
      </w:r>
      <w:hyperlink r:id="rId21">
        <w:r w:rsidDel="00000000" w:rsidR="00000000" w:rsidRPr="00000000">
          <w:rPr>
            <w:rtl w:val="0"/>
          </w:rPr>
          <w:t xml:space="preserve"> </w:t>
        </w:r>
      </w:hyperlink>
      <w:hyperlink r:id="rId22">
        <w:r w:rsidDel="00000000" w:rsidR="00000000" w:rsidRPr="00000000">
          <w:rPr>
            <w:u w:val="single"/>
            <w:rtl w:val="0"/>
          </w:rPr>
          <w:t xml:space="preserve">https://ismg.careers/life-at-ismg</w:t>
        </w:r>
      </w:hyperlink>
      <w:r w:rsidDel="00000000" w:rsidR="00000000" w:rsidRPr="00000000">
        <w:rPr>
          <w:rtl w:val="0"/>
        </w:rPr>
      </w:r>
    </w:p>
    <w:p w:rsidR="00000000" w:rsidDel="00000000" w:rsidP="00000000" w:rsidRDefault="00000000" w:rsidRPr="00000000" w14:paraId="00000070">
      <w:pPr>
        <w:shd w:fill="ffffff" w:val="clear"/>
        <w:spacing w:after="200" w:before="200" w:lineRule="auto"/>
        <w:rPr>
          <w:u w:val="single"/>
        </w:rPr>
      </w:pPr>
      <w:r w:rsidDel="00000000" w:rsidR="00000000" w:rsidRPr="00000000">
        <w:rPr>
          <w:rtl w:val="0"/>
        </w:rPr>
        <w:t xml:space="preserve">Keeping, L. M., &amp; Levy, P. E. (2000). Performance appraisal reactions: Measurement, modeling, and method bias. Journal of Applied Psychology, 85(5), 708–723.</w:t>
      </w:r>
      <w:hyperlink r:id="rId23">
        <w:r w:rsidDel="00000000" w:rsidR="00000000" w:rsidRPr="00000000">
          <w:rPr>
            <w:rtl w:val="0"/>
          </w:rPr>
          <w:t xml:space="preserve"> </w:t>
        </w:r>
      </w:hyperlink>
      <w:hyperlink r:id="rId24">
        <w:r w:rsidDel="00000000" w:rsidR="00000000" w:rsidRPr="00000000">
          <w:rPr>
            <w:u w:val="single"/>
            <w:rtl w:val="0"/>
          </w:rPr>
          <w:t xml:space="preserve">https://doi.org/10.1037/0021-9010.85.5.708</w:t>
        </w:r>
      </w:hyperlink>
      <w:r w:rsidDel="00000000" w:rsidR="00000000" w:rsidRPr="00000000">
        <w:rPr>
          <w:rtl w:val="0"/>
        </w:rPr>
      </w:r>
    </w:p>
    <w:p w:rsidR="00000000" w:rsidDel="00000000" w:rsidP="00000000" w:rsidRDefault="00000000" w:rsidRPr="00000000" w14:paraId="00000071">
      <w:pPr>
        <w:shd w:fill="ffffff" w:val="clear"/>
        <w:spacing w:after="200" w:before="200" w:lineRule="auto"/>
        <w:rPr/>
      </w:pPr>
      <w:r w:rsidDel="00000000" w:rsidR="00000000" w:rsidRPr="00000000">
        <w:rPr>
          <w:rtl w:val="0"/>
        </w:rPr>
        <w:t xml:space="preserve">Kirkpatrick, D. L., &amp; Kirkpatrick, J. D. (2006). Evaluating training programs: The four levels (3rd ed.). Berrett-Koehler Publishers.</w:t>
      </w:r>
    </w:p>
    <w:p w:rsidR="00000000" w:rsidDel="00000000" w:rsidP="00000000" w:rsidRDefault="00000000" w:rsidRPr="00000000" w14:paraId="00000072">
      <w:pPr>
        <w:shd w:fill="ffffff" w:val="clear"/>
        <w:spacing w:after="200" w:before="200" w:lineRule="auto"/>
        <w:rPr/>
      </w:pPr>
      <w:r w:rsidDel="00000000" w:rsidR="00000000" w:rsidRPr="00000000">
        <w:rPr>
          <w:rtl w:val="0"/>
        </w:rPr>
        <w:t xml:space="preserve">Kolb, D. A. (1984). Experiential learning: Experience as the source of learning and development. Prentice Hall.</w:t>
      </w:r>
    </w:p>
    <w:p w:rsidR="00000000" w:rsidDel="00000000" w:rsidP="00000000" w:rsidRDefault="00000000" w:rsidRPr="00000000" w14:paraId="00000073">
      <w:pPr>
        <w:shd w:fill="ffffff" w:val="clear"/>
        <w:spacing w:after="200" w:before="200" w:lineRule="auto"/>
        <w:rPr>
          <w:u w:val="single"/>
        </w:rPr>
      </w:pPr>
      <w:r w:rsidDel="00000000" w:rsidR="00000000" w:rsidRPr="00000000">
        <w:rPr>
          <w:rtl w:val="0"/>
        </w:rPr>
        <w:t xml:space="preserve">Kluger, A. N., &amp; DeNisi, A. (1996). The effects of feedback interventions on performance: A historical review, a meta-analysis, and a preliminary feedback intervention theory. Psychological Bulletin, 119(2), 254–284.</w:t>
      </w:r>
      <w:hyperlink r:id="rId25">
        <w:r w:rsidDel="00000000" w:rsidR="00000000" w:rsidRPr="00000000">
          <w:rPr>
            <w:rtl w:val="0"/>
          </w:rPr>
          <w:t xml:space="preserve"> </w:t>
        </w:r>
      </w:hyperlink>
      <w:hyperlink r:id="rId26">
        <w:r w:rsidDel="00000000" w:rsidR="00000000" w:rsidRPr="00000000">
          <w:rPr>
            <w:u w:val="single"/>
            <w:rtl w:val="0"/>
          </w:rPr>
          <w:t xml:space="preserve">https://doi.org/10.1037/0033-2909.119.2.254</w:t>
        </w:r>
      </w:hyperlink>
      <w:r w:rsidDel="00000000" w:rsidR="00000000" w:rsidRPr="00000000">
        <w:rPr>
          <w:rtl w:val="0"/>
        </w:rPr>
      </w:r>
    </w:p>
    <w:p w:rsidR="00000000" w:rsidDel="00000000" w:rsidP="00000000" w:rsidRDefault="00000000" w:rsidRPr="00000000" w14:paraId="00000074">
      <w:pPr>
        <w:shd w:fill="ffffff" w:val="clear"/>
        <w:spacing w:after="200" w:before="200" w:lineRule="auto"/>
        <w:rPr>
          <w:u w:val="single"/>
        </w:rPr>
      </w:pPr>
      <w:r w:rsidDel="00000000" w:rsidR="00000000" w:rsidRPr="00000000">
        <w:rPr>
          <w:rtl w:val="0"/>
        </w:rPr>
        <w:t xml:space="preserve">Locke, E. A., &amp; Latham, G. P. (2002). Building a practically useful theory of goal setting and task motivation: A 35-year odyssey. American Psychologist, 57(9), 705–717.</w:t>
      </w:r>
      <w:hyperlink r:id="rId27">
        <w:r w:rsidDel="00000000" w:rsidR="00000000" w:rsidRPr="00000000">
          <w:rPr>
            <w:rtl w:val="0"/>
          </w:rPr>
          <w:t xml:space="preserve"> </w:t>
        </w:r>
      </w:hyperlink>
      <w:hyperlink r:id="rId28">
        <w:r w:rsidDel="00000000" w:rsidR="00000000" w:rsidRPr="00000000">
          <w:rPr>
            <w:u w:val="single"/>
            <w:rtl w:val="0"/>
          </w:rPr>
          <w:t xml:space="preserve">https://doi.org/10.1037/0003-066X.57.9.705</w:t>
        </w:r>
      </w:hyperlink>
      <w:r w:rsidDel="00000000" w:rsidR="00000000" w:rsidRPr="00000000">
        <w:rPr>
          <w:rtl w:val="0"/>
        </w:rPr>
      </w:r>
    </w:p>
    <w:p w:rsidR="00000000" w:rsidDel="00000000" w:rsidP="00000000" w:rsidRDefault="00000000" w:rsidRPr="00000000" w14:paraId="00000075">
      <w:pPr>
        <w:shd w:fill="ffffff" w:val="clear"/>
        <w:spacing w:after="200" w:before="200" w:lineRule="auto"/>
        <w:rPr>
          <w:u w:val="single"/>
        </w:rPr>
      </w:pPr>
      <w:r w:rsidDel="00000000" w:rsidR="00000000" w:rsidRPr="00000000">
        <w:rPr>
          <w:rtl w:val="0"/>
        </w:rPr>
        <w:t xml:space="preserve">Nanakova, N., &amp; Dopita, M. (2025). Utilization of theories in talent development: Mapping the field of HRD. European Journal of Training and Development, 49(1/2), 240–259.</w:t>
      </w:r>
      <w:hyperlink r:id="rId29">
        <w:r w:rsidDel="00000000" w:rsidR="00000000" w:rsidRPr="00000000">
          <w:rPr>
            <w:rtl w:val="0"/>
          </w:rPr>
          <w:t xml:space="preserve"> </w:t>
        </w:r>
      </w:hyperlink>
      <w:hyperlink r:id="rId30">
        <w:r w:rsidDel="00000000" w:rsidR="00000000" w:rsidRPr="00000000">
          <w:rPr>
            <w:u w:val="single"/>
            <w:rtl w:val="0"/>
          </w:rPr>
          <w:t xml:space="preserve">https://doi.org/10.1108/EJTD-10-2023-0165</w:t>
        </w:r>
      </w:hyperlink>
      <w:r w:rsidDel="00000000" w:rsidR="00000000" w:rsidRPr="00000000">
        <w:rPr>
          <w:rtl w:val="0"/>
        </w:rPr>
      </w:r>
    </w:p>
    <w:p w:rsidR="00000000" w:rsidDel="00000000" w:rsidP="00000000" w:rsidRDefault="00000000" w:rsidRPr="00000000" w14:paraId="00000076">
      <w:pPr>
        <w:shd w:fill="ffffff" w:val="clear"/>
        <w:spacing w:after="200" w:before="200" w:lineRule="auto"/>
        <w:rPr>
          <w:u w:val="single"/>
        </w:rPr>
      </w:pPr>
      <w:r w:rsidDel="00000000" w:rsidR="00000000" w:rsidRPr="00000000">
        <w:rPr>
          <w:rtl w:val="0"/>
        </w:rPr>
        <w:t xml:space="preserve">Ng, T. W. H., Yim, F. H. K., Chen, H., &amp; Zou, Y. (2024). Employer-sponsored career development practices and employee performance and turnover: A meta-analysis. Journal of Management, 50(2), 685–721.</w:t>
      </w:r>
      <w:hyperlink r:id="rId31">
        <w:r w:rsidDel="00000000" w:rsidR="00000000" w:rsidRPr="00000000">
          <w:rPr>
            <w:rtl w:val="0"/>
          </w:rPr>
          <w:t xml:space="preserve"> </w:t>
        </w:r>
      </w:hyperlink>
      <w:hyperlink r:id="rId32">
        <w:r w:rsidDel="00000000" w:rsidR="00000000" w:rsidRPr="00000000">
          <w:rPr>
            <w:u w:val="single"/>
            <w:rtl w:val="0"/>
          </w:rPr>
          <w:t xml:space="preserve">https://doi.org/10.1177/01492063221125143</w:t>
        </w:r>
      </w:hyperlink>
      <w:r w:rsidDel="00000000" w:rsidR="00000000" w:rsidRPr="00000000">
        <w:rPr>
          <w:rtl w:val="0"/>
        </w:rPr>
      </w:r>
    </w:p>
    <w:p w:rsidR="00000000" w:rsidDel="00000000" w:rsidP="00000000" w:rsidRDefault="00000000" w:rsidRPr="00000000" w14:paraId="00000077">
      <w:pPr>
        <w:shd w:fill="ffffff" w:val="clear"/>
        <w:spacing w:after="200" w:before="200" w:lineRule="auto"/>
        <w:rPr>
          <w:u w:val="single"/>
        </w:rPr>
      </w:pPr>
      <w:r w:rsidDel="00000000" w:rsidR="00000000" w:rsidRPr="00000000">
        <w:rPr>
          <w:rtl w:val="0"/>
        </w:rPr>
        <w:t xml:space="preserve">Noe, R. A., &amp; Schmitt, N. (1986). The influence of trainee attitudes on training effectiveness: Test of a model. Personnel Psychology, 39(3), 497–523.</w:t>
      </w:r>
      <w:hyperlink r:id="rId33">
        <w:r w:rsidDel="00000000" w:rsidR="00000000" w:rsidRPr="00000000">
          <w:rPr>
            <w:rtl w:val="0"/>
          </w:rPr>
          <w:t xml:space="preserve"> </w:t>
        </w:r>
      </w:hyperlink>
      <w:hyperlink r:id="rId34">
        <w:r w:rsidDel="00000000" w:rsidR="00000000" w:rsidRPr="00000000">
          <w:rPr>
            <w:u w:val="single"/>
            <w:rtl w:val="0"/>
          </w:rPr>
          <w:t xml:space="preserve">https://doi.org/10.1111/j.1744-6570.1986.tb00950.x</w:t>
        </w:r>
      </w:hyperlink>
      <w:r w:rsidDel="00000000" w:rsidR="00000000" w:rsidRPr="00000000">
        <w:rPr>
          <w:rtl w:val="0"/>
        </w:rPr>
      </w:r>
    </w:p>
    <w:p w:rsidR="00000000" w:rsidDel="00000000" w:rsidP="00000000" w:rsidRDefault="00000000" w:rsidRPr="00000000" w14:paraId="00000078">
      <w:pPr>
        <w:shd w:fill="ffffff" w:val="clear"/>
        <w:spacing w:after="200" w:before="200" w:lineRule="auto"/>
        <w:rPr>
          <w:u w:val="single"/>
        </w:rPr>
      </w:pPr>
      <w:r w:rsidDel="00000000" w:rsidR="00000000" w:rsidRPr="00000000">
        <w:rPr>
          <w:rtl w:val="0"/>
        </w:rPr>
        <w:t xml:space="preserve">Passmore, J., Memmolo, F., &amp; Tee, D. (2026). A systematic literature review of digital coaching: Insights for learning and development in the workplace. Journal of Work-Applied Management, 18(1), 2–16.</w:t>
      </w:r>
      <w:hyperlink r:id="rId35">
        <w:r w:rsidDel="00000000" w:rsidR="00000000" w:rsidRPr="00000000">
          <w:rPr>
            <w:rtl w:val="0"/>
          </w:rPr>
          <w:t xml:space="preserve"> </w:t>
        </w:r>
      </w:hyperlink>
      <w:hyperlink r:id="rId36">
        <w:r w:rsidDel="00000000" w:rsidR="00000000" w:rsidRPr="00000000">
          <w:rPr>
            <w:u w:val="single"/>
            <w:rtl w:val="0"/>
          </w:rPr>
          <w:t xml:space="preserve">https://doi.org/10.1108/JWAM-04-2025-0061</w:t>
        </w:r>
      </w:hyperlink>
      <w:r w:rsidDel="00000000" w:rsidR="00000000" w:rsidRPr="00000000">
        <w:rPr>
          <w:rtl w:val="0"/>
        </w:rPr>
      </w:r>
    </w:p>
    <w:p w:rsidR="00000000" w:rsidDel="00000000" w:rsidP="00000000" w:rsidRDefault="00000000" w:rsidRPr="00000000" w14:paraId="00000079">
      <w:pPr>
        <w:shd w:fill="ffffff" w:val="clear"/>
        <w:spacing w:after="200" w:before="200" w:lineRule="auto"/>
        <w:rPr>
          <w:u w:val="single"/>
        </w:rPr>
      </w:pPr>
      <w:r w:rsidDel="00000000" w:rsidR="00000000" w:rsidRPr="00000000">
        <w:rPr>
          <w:rtl w:val="0"/>
        </w:rPr>
        <w:t xml:space="preserve">Rousseau, D. M. (1989). Psychological and implied contracts in organizations. Employee Responsibilities and Rights Journal, 2, 121–139.</w:t>
      </w:r>
      <w:hyperlink r:id="rId37">
        <w:r w:rsidDel="00000000" w:rsidR="00000000" w:rsidRPr="00000000">
          <w:rPr>
            <w:rtl w:val="0"/>
          </w:rPr>
          <w:t xml:space="preserve"> </w:t>
        </w:r>
      </w:hyperlink>
      <w:hyperlink r:id="rId38">
        <w:r w:rsidDel="00000000" w:rsidR="00000000" w:rsidRPr="00000000">
          <w:rPr>
            <w:u w:val="single"/>
            <w:rtl w:val="0"/>
          </w:rPr>
          <w:t xml:space="preserve">https://doi.org/10.1007/BF01384942</w:t>
        </w:r>
      </w:hyperlink>
      <w:r w:rsidDel="00000000" w:rsidR="00000000" w:rsidRPr="00000000">
        <w:rPr>
          <w:rtl w:val="0"/>
        </w:rPr>
      </w:r>
    </w:p>
    <w:p w:rsidR="00000000" w:rsidDel="00000000" w:rsidP="00000000" w:rsidRDefault="00000000" w:rsidRPr="00000000" w14:paraId="0000007A">
      <w:pPr>
        <w:shd w:fill="ffffff" w:val="clear"/>
        <w:spacing w:after="200" w:before="200" w:lineRule="auto"/>
        <w:rPr/>
      </w:pPr>
      <w:r w:rsidDel="00000000" w:rsidR="00000000" w:rsidRPr="00000000">
        <w:rPr>
          <w:rtl w:val="0"/>
        </w:rPr>
        <w:t xml:space="preserve">Senge, P. M. (1990). The fifth discipline: The art and practice of the learning organisation. Doubleday.</w:t>
      </w:r>
    </w:p>
    <w:p w:rsidR="00000000" w:rsidDel="00000000" w:rsidP="00000000" w:rsidRDefault="00000000" w:rsidRPr="00000000" w14:paraId="0000007B">
      <w:pPr>
        <w:shd w:fill="ffffff" w:val="clear"/>
        <w:spacing w:after="200" w:before="200" w:lineRule="auto"/>
        <w:rPr>
          <w:u w:val="single"/>
        </w:rPr>
      </w:pPr>
      <w:r w:rsidDel="00000000" w:rsidR="00000000" w:rsidRPr="00000000">
        <w:rPr>
          <w:rtl w:val="0"/>
        </w:rPr>
        <w:t xml:space="preserve">Shiri, R., El-Metwally, A., Sallinen, M., Pöyry, M., Härmä, M., &amp; Toppinen-Tanner, S. (2023). The role of continuing professional training or development in maintaining current employment: A systematic review. Healthcare, 11(21), Article 2900.</w:t>
      </w:r>
      <w:hyperlink r:id="rId39">
        <w:r w:rsidDel="00000000" w:rsidR="00000000" w:rsidRPr="00000000">
          <w:rPr>
            <w:rtl w:val="0"/>
          </w:rPr>
          <w:t xml:space="preserve"> </w:t>
        </w:r>
      </w:hyperlink>
      <w:hyperlink r:id="rId40">
        <w:r w:rsidDel="00000000" w:rsidR="00000000" w:rsidRPr="00000000">
          <w:rPr>
            <w:u w:val="single"/>
            <w:rtl w:val="0"/>
          </w:rPr>
          <w:t xml:space="preserve">https://doi.org/10.3390/healthcare11212900</w:t>
        </w:r>
      </w:hyperlink>
      <w:r w:rsidDel="00000000" w:rsidR="00000000" w:rsidRPr="00000000">
        <w:rPr>
          <w:rtl w:val="0"/>
        </w:rPr>
      </w:r>
    </w:p>
    <w:p w:rsidR="00000000" w:rsidDel="00000000" w:rsidP="00000000" w:rsidRDefault="00000000" w:rsidRPr="00000000" w14:paraId="0000007C">
      <w:pPr>
        <w:shd w:fill="ffffff" w:val="clear"/>
        <w:spacing w:after="200" w:before="200" w:lineRule="auto"/>
        <w:rPr>
          <w:u w:val="single"/>
        </w:rPr>
      </w:pPr>
      <w:r w:rsidDel="00000000" w:rsidR="00000000" w:rsidRPr="00000000">
        <w:rPr>
          <w:rtl w:val="0"/>
        </w:rPr>
        <w:t xml:space="preserve">Shukla, A., Dash, S., &amp; Kumar, A. (2024). Factors affecting transfer of online training: A systematic literature review and proposed taxonomy. Human Resource Development Quarterly, 35(3), 363–390.</w:t>
      </w:r>
      <w:hyperlink r:id="rId41">
        <w:r w:rsidDel="00000000" w:rsidR="00000000" w:rsidRPr="00000000">
          <w:rPr>
            <w:rtl w:val="0"/>
          </w:rPr>
          <w:t xml:space="preserve"> </w:t>
        </w:r>
      </w:hyperlink>
      <w:hyperlink r:id="rId42">
        <w:r w:rsidDel="00000000" w:rsidR="00000000" w:rsidRPr="00000000">
          <w:rPr>
            <w:u w:val="single"/>
            <w:rtl w:val="0"/>
          </w:rPr>
          <w:t xml:space="preserve">https://doi.org/10.1002/hrdq.21518</w:t>
        </w:r>
      </w:hyperlink>
      <w:r w:rsidDel="00000000" w:rsidR="00000000" w:rsidRPr="00000000">
        <w:rPr>
          <w:rtl w:val="0"/>
        </w:rPr>
      </w:r>
    </w:p>
    <w:p w:rsidR="00000000" w:rsidDel="00000000" w:rsidP="00000000" w:rsidRDefault="00000000" w:rsidRPr="00000000" w14:paraId="0000007D">
      <w:pPr>
        <w:shd w:fill="ffffff" w:val="clear"/>
        <w:spacing w:after="200" w:before="200" w:lineRule="auto"/>
        <w:rPr>
          <w:u w:val="single"/>
        </w:rPr>
      </w:pPr>
      <w:r w:rsidDel="00000000" w:rsidR="00000000" w:rsidRPr="00000000">
        <w:rPr>
          <w:rtl w:val="0"/>
        </w:rPr>
        <w:t xml:space="preserve">Thurlow, J., Hardy, L., Snelling, I., &amp; Brown, H. (2020). Clinical leadership mentors – A pilot scheme to improve trainees' leadership opportunities and development in the workplace. BMJ Leader, 4(Suppl. 1), A3.</w:t>
      </w:r>
      <w:hyperlink r:id="rId43">
        <w:r w:rsidDel="00000000" w:rsidR="00000000" w:rsidRPr="00000000">
          <w:rPr>
            <w:rtl w:val="0"/>
          </w:rPr>
          <w:t xml:space="preserve"> </w:t>
        </w:r>
      </w:hyperlink>
      <w:hyperlink r:id="rId44">
        <w:r w:rsidDel="00000000" w:rsidR="00000000" w:rsidRPr="00000000">
          <w:rPr>
            <w:u w:val="single"/>
            <w:rtl w:val="0"/>
          </w:rPr>
          <w:t xml:space="preserve">https://doi.org/10.1136/leader-2020-FMLM.8</w:t>
        </w:r>
      </w:hyperlink>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Appendix A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tbl>
      <w:tblPr>
        <w:tblStyle w:val="Table2"/>
        <w:tblW w:w="10290.0" w:type="dxa"/>
        <w:jc w:val="left"/>
        <w:tblInd w:w="-5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1800"/>
        <w:gridCol w:w="2325"/>
        <w:gridCol w:w="2295"/>
        <w:gridCol w:w="1530"/>
        <w:tblGridChange w:id="0">
          <w:tblGrid>
            <w:gridCol w:w="2340"/>
            <w:gridCol w:w="1800"/>
            <w:gridCol w:w="2325"/>
            <w:gridCol w:w="2295"/>
            <w:gridCol w:w="15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Development need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rtl w:val="0"/>
              </w:rPr>
              <w:t xml:space="preserve">Smart 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Success measurement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 scale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Delegate Identification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Increase qualified delegates by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CRM training, Workshops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CRM Checks, Qualified Prospects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Months 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Conversion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conversion rate by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Formal training, call monitoring and practice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CRM reports, Manager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Months 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Industry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 two cybersecurity courses and demonstrate in conversation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Industry newsletters and online CPD.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Records complete, demonstrated understanding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Months 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Independent Performance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Reduce technical assistance requests by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Problem solving, exercises, mentoring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Own reflection, Manager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Months 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Career Development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Identify three skills required to progress to senior level and demonstrate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PDP, Feedback, cross-department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Competency review, Future objectives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 6</w:t>
            </w:r>
          </w:p>
        </w:tc>
      </w:tr>
    </w:tbl>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3390/healthcare11212900" TargetMode="External"/><Relationship Id="rId20" Type="http://schemas.openxmlformats.org/officeDocument/2006/relationships/hyperlink" Target="https://doi.org/10.1080/1359432X.2024.2376909" TargetMode="External"/><Relationship Id="rId42" Type="http://schemas.openxmlformats.org/officeDocument/2006/relationships/hyperlink" Target="https://doi.org/10.1002/hrdq.21518" TargetMode="External"/><Relationship Id="rId41" Type="http://schemas.openxmlformats.org/officeDocument/2006/relationships/hyperlink" Target="https://doi.org/10.1002/hrdq.21518" TargetMode="External"/><Relationship Id="rId22" Type="http://schemas.openxmlformats.org/officeDocument/2006/relationships/hyperlink" Target="https://ismg.careers/life-at-ismg" TargetMode="External"/><Relationship Id="rId44" Type="http://schemas.openxmlformats.org/officeDocument/2006/relationships/hyperlink" Target="https://doi.org/10.1136/leader-2020-FMLM.8" TargetMode="External"/><Relationship Id="rId21" Type="http://schemas.openxmlformats.org/officeDocument/2006/relationships/hyperlink" Target="https://ismg.careers/life-at-ismg" TargetMode="External"/><Relationship Id="rId43" Type="http://schemas.openxmlformats.org/officeDocument/2006/relationships/hyperlink" Target="https://doi.org/10.1136/leader-2020-FMLM.8" TargetMode="External"/><Relationship Id="rId24" Type="http://schemas.openxmlformats.org/officeDocument/2006/relationships/hyperlink" Target="https://doi.org/10.1037/0021-9010.85.5.708" TargetMode="External"/><Relationship Id="rId23" Type="http://schemas.openxmlformats.org/officeDocument/2006/relationships/hyperlink" Target="https://doi.org/10.1037/0021-9010.85.5.70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37/0021-9010.89.1.127" TargetMode="External"/><Relationship Id="rId26" Type="http://schemas.openxmlformats.org/officeDocument/2006/relationships/hyperlink" Target="https://doi.org/10.1037/0033-2909.119.2.254" TargetMode="External"/><Relationship Id="rId25" Type="http://schemas.openxmlformats.org/officeDocument/2006/relationships/hyperlink" Target="https://doi.org/10.1037/0033-2909.119.2.254" TargetMode="External"/><Relationship Id="rId28" Type="http://schemas.openxmlformats.org/officeDocument/2006/relationships/hyperlink" Target="https://doi.org/10.1037/0003-066X.57.9.705" TargetMode="External"/><Relationship Id="rId27" Type="http://schemas.openxmlformats.org/officeDocument/2006/relationships/hyperlink" Target="https://doi.org/10.1037/0003-066X.57.9.705"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108/EJTD-10-2023-0165" TargetMode="External"/><Relationship Id="rId7" Type="http://schemas.openxmlformats.org/officeDocument/2006/relationships/header" Target="header1.xml"/><Relationship Id="rId8" Type="http://schemas.openxmlformats.org/officeDocument/2006/relationships/footer" Target="footer1.xml"/><Relationship Id="rId31" Type="http://schemas.openxmlformats.org/officeDocument/2006/relationships/hyperlink" Target="https://doi.org/10.1177/01492063221125143" TargetMode="External"/><Relationship Id="rId30" Type="http://schemas.openxmlformats.org/officeDocument/2006/relationships/hyperlink" Target="https://doi.org/10.1108/EJTD-10-2023-0165" TargetMode="External"/><Relationship Id="rId11" Type="http://schemas.openxmlformats.org/officeDocument/2006/relationships/hyperlink" Target="https://doi.org/10.1108/JWL-03-2025-0068" TargetMode="External"/><Relationship Id="rId33" Type="http://schemas.openxmlformats.org/officeDocument/2006/relationships/hyperlink" Target="https://doi.org/10.1111/j.1744-6570.1986.tb00950.x" TargetMode="External"/><Relationship Id="rId10" Type="http://schemas.openxmlformats.org/officeDocument/2006/relationships/hyperlink" Target="https://doi.org/10.1037/0021-9010.89.1.127" TargetMode="External"/><Relationship Id="rId32" Type="http://schemas.openxmlformats.org/officeDocument/2006/relationships/hyperlink" Target="https://doi.org/10.1177/01492063221125143" TargetMode="External"/><Relationship Id="rId13" Type="http://schemas.openxmlformats.org/officeDocument/2006/relationships/hyperlink" Target="https://doi.org/10.1177/0149206309352880" TargetMode="External"/><Relationship Id="rId35" Type="http://schemas.openxmlformats.org/officeDocument/2006/relationships/hyperlink" Target="https://doi.org/10.1108/JWAM-04-2025-0061" TargetMode="External"/><Relationship Id="rId12" Type="http://schemas.openxmlformats.org/officeDocument/2006/relationships/hyperlink" Target="https://doi.org/10.1108/JWL-03-2025-0068" TargetMode="External"/><Relationship Id="rId34" Type="http://schemas.openxmlformats.org/officeDocument/2006/relationships/hyperlink" Target="https://doi.org/10.1111/j.1744-6570.1986.tb00950.x" TargetMode="External"/><Relationship Id="rId15" Type="http://schemas.openxmlformats.org/officeDocument/2006/relationships/hyperlink" Target="https://www.cipd.org/uk/knowledge/podcasts/how-to-make-learning-stick-and-drive-performance/" TargetMode="External"/><Relationship Id="rId37" Type="http://schemas.openxmlformats.org/officeDocument/2006/relationships/hyperlink" Target="https://doi.org/10.1007/BF01384942" TargetMode="External"/><Relationship Id="rId14" Type="http://schemas.openxmlformats.org/officeDocument/2006/relationships/hyperlink" Target="https://doi.org/10.1177/0149206309352880" TargetMode="External"/><Relationship Id="rId36" Type="http://schemas.openxmlformats.org/officeDocument/2006/relationships/hyperlink" Target="https://doi.org/10.1108/JWAM-04-2025-0061" TargetMode="External"/><Relationship Id="rId17" Type="http://schemas.openxmlformats.org/officeDocument/2006/relationships/hyperlink" Target="https://doi.org/10.1007/978-1-4899-2271-7" TargetMode="External"/><Relationship Id="rId39" Type="http://schemas.openxmlformats.org/officeDocument/2006/relationships/hyperlink" Target="https://doi.org/10.3390/healthcare11212900" TargetMode="External"/><Relationship Id="rId16" Type="http://schemas.openxmlformats.org/officeDocument/2006/relationships/hyperlink" Target="https://www.cipd.org/uk/knowledge/podcasts/how-to-make-learning-stick-and-drive-performance/" TargetMode="External"/><Relationship Id="rId38" Type="http://schemas.openxmlformats.org/officeDocument/2006/relationships/hyperlink" Target="https://doi.org/10.1007/BF01384942" TargetMode="External"/><Relationship Id="rId19" Type="http://schemas.openxmlformats.org/officeDocument/2006/relationships/hyperlink" Target="https://doi.org/10.1080/1359432X.2024.2376909" TargetMode="External"/><Relationship Id="rId18" Type="http://schemas.openxmlformats.org/officeDocument/2006/relationships/hyperlink" Target="https://doi.org/10.1007/978-1-4899-22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