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94F06" w:rsidRDefault="00694F06"/>
    <w:p w14:paraId="00000002" w14:textId="77777777" w:rsidR="00694F06" w:rsidRDefault="00694F06"/>
    <w:p w14:paraId="5AAA23A2" w14:textId="77777777" w:rsidR="00CB015A" w:rsidRDefault="00CB015A" w:rsidP="00CB015A">
      <w:pPr>
        <w:pStyle w:val="NormalWeb"/>
        <w:spacing w:before="0" w:beforeAutospacing="0" w:after="0" w:afterAutospacing="0"/>
        <w:ind w:left="-180" w:right="-334"/>
      </w:pPr>
      <w:r>
        <w:rPr>
          <w:noProof/>
          <w:lang w:eastAsia="en-GB"/>
        </w:rPr>
        <w:drawing>
          <wp:inline distT="0" distB="0" distL="0" distR="0" wp14:anchorId="3BA47AAE" wp14:editId="3003317D">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4C25D631" w14:textId="77777777" w:rsidR="00CB015A" w:rsidRDefault="00CB015A" w:rsidP="00CB015A">
      <w:pPr>
        <w:pStyle w:val="NormalWeb"/>
        <w:spacing w:before="0" w:beforeAutospacing="0" w:after="0" w:afterAutospacing="0"/>
        <w:ind w:left="-180" w:right="-334"/>
      </w:pPr>
    </w:p>
    <w:p w14:paraId="6296F58F" w14:textId="77777777" w:rsidR="00CB015A" w:rsidRDefault="00CB015A" w:rsidP="00CB015A">
      <w:pPr>
        <w:pStyle w:val="NormalWeb"/>
        <w:spacing w:before="0" w:beforeAutospacing="0" w:after="0" w:afterAutospacing="0"/>
        <w:ind w:left="-180" w:right="-334"/>
      </w:pPr>
    </w:p>
    <w:p w14:paraId="54574E08" w14:textId="77777777" w:rsidR="00CB015A" w:rsidRDefault="00CB015A" w:rsidP="00CB015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4597601" w14:textId="77777777" w:rsidR="00CB015A" w:rsidRPr="00230F35" w:rsidRDefault="00CB015A" w:rsidP="00CB015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710C9D2" w14:textId="77777777" w:rsidR="00CB015A" w:rsidRPr="00230F35" w:rsidRDefault="00CB015A" w:rsidP="00CB015A">
      <w:pPr>
        <w:rPr>
          <w:rFonts w:ascii="Arial" w:hAnsi="Arial" w:cs="Arial"/>
          <w:sz w:val="28"/>
          <w:szCs w:val="28"/>
          <w:lang w:val="cy-GB"/>
        </w:rPr>
      </w:pPr>
    </w:p>
    <w:p w14:paraId="0A1B65BE" w14:textId="77777777" w:rsidR="00CB015A" w:rsidRDefault="00CB015A" w:rsidP="00CB015A">
      <w:pPr>
        <w:pStyle w:val="Heading3"/>
        <w:rPr>
          <w:lang w:val="cy-GB"/>
        </w:rPr>
      </w:pPr>
      <w:r>
        <w:rPr>
          <w:lang w:val="cy-GB"/>
        </w:rPr>
        <w:t>THIS SHEET MUST BE THE FIRST PAGE OF THE ASSIGNMENT YOU ARE SUBMITTING  (DO NOT SEND AS A SEPARATE FILE)</w:t>
      </w:r>
    </w:p>
    <w:p w14:paraId="581AE571" w14:textId="77777777" w:rsidR="00CB015A" w:rsidRDefault="00CB015A" w:rsidP="00CB015A">
      <w:pPr>
        <w:pStyle w:val="Heading3"/>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B015A" w:rsidRPr="00230F35" w14:paraId="441BCEC9" w14:textId="77777777" w:rsidTr="001E4EB9">
        <w:trPr>
          <w:trHeight w:val="614"/>
        </w:trPr>
        <w:tc>
          <w:tcPr>
            <w:tcW w:w="8856" w:type="dxa"/>
            <w:gridSpan w:val="5"/>
          </w:tcPr>
          <w:p w14:paraId="1AE0FB77" w14:textId="77777777" w:rsidR="00CB015A" w:rsidRPr="00230F35" w:rsidRDefault="00CB015A" w:rsidP="001E4EB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B015A" w:rsidRPr="00230F35" w14:paraId="248519FE" w14:textId="77777777" w:rsidTr="001E4EB9">
        <w:trPr>
          <w:trHeight w:val="718"/>
        </w:trPr>
        <w:tc>
          <w:tcPr>
            <w:tcW w:w="8856" w:type="dxa"/>
            <w:gridSpan w:val="5"/>
          </w:tcPr>
          <w:p w14:paraId="79D8C497" w14:textId="77777777" w:rsidR="00CB015A" w:rsidRDefault="00CB015A" w:rsidP="001E4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Shelby Bundy</w:t>
            </w:r>
          </w:p>
          <w:p w14:paraId="0BFAD151" w14:textId="77777777" w:rsidR="00CB015A" w:rsidRPr="00230F35" w:rsidRDefault="00CB015A" w:rsidP="001E4EB9">
            <w:pPr>
              <w:pStyle w:val="NormalWeb"/>
              <w:spacing w:before="0" w:beforeAutospacing="0" w:after="0" w:afterAutospacing="0"/>
              <w:ind w:right="34"/>
              <w:rPr>
                <w:rFonts w:ascii="Arial" w:hAnsi="Arial" w:cs="Arial"/>
                <w:sz w:val="22"/>
                <w:szCs w:val="22"/>
              </w:rPr>
            </w:pPr>
          </w:p>
          <w:p w14:paraId="303CB8AA" w14:textId="77777777" w:rsidR="00CB015A" w:rsidRPr="00230F35" w:rsidRDefault="00CB015A" w:rsidP="001E4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3D5F72">
              <w:rPr>
                <w:rFonts w:ascii="Arial" w:hAnsi="Arial" w:cs="Arial"/>
                <w:sz w:val="22"/>
                <w:szCs w:val="22"/>
              </w:rPr>
              <w:t>2405345@student.uwtsd.ac.uk</w:t>
            </w:r>
          </w:p>
        </w:tc>
      </w:tr>
      <w:tr w:rsidR="00CB015A" w:rsidRPr="00230F35" w14:paraId="2A229672" w14:textId="77777777" w:rsidTr="001E4EB9">
        <w:trPr>
          <w:trHeight w:val="849"/>
        </w:trPr>
        <w:tc>
          <w:tcPr>
            <w:tcW w:w="4788" w:type="dxa"/>
          </w:tcPr>
          <w:p w14:paraId="2142DCA6" w14:textId="77777777" w:rsidR="00CB015A" w:rsidRDefault="00CB015A" w:rsidP="001E4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HPCA7027</w:t>
            </w:r>
          </w:p>
          <w:p w14:paraId="1D1788B3" w14:textId="77777777" w:rsidR="00CB015A" w:rsidRPr="00230F35" w:rsidRDefault="00CB015A" w:rsidP="001E4EB9">
            <w:pPr>
              <w:pStyle w:val="NormalWeb"/>
              <w:spacing w:before="0" w:beforeAutospacing="0" w:after="0" w:afterAutospacing="0"/>
              <w:ind w:right="34"/>
              <w:rPr>
                <w:rFonts w:ascii="Arial" w:hAnsi="Arial" w:cs="Arial"/>
                <w:sz w:val="22"/>
                <w:szCs w:val="22"/>
              </w:rPr>
            </w:pPr>
          </w:p>
          <w:p w14:paraId="2AE3FDF1" w14:textId="77777777" w:rsidR="00CB015A" w:rsidRDefault="00CB015A" w:rsidP="001E4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p>
          <w:p w14:paraId="0791C1E6" w14:textId="77777777" w:rsidR="00CB015A" w:rsidRPr="00230F35" w:rsidRDefault="00CB015A" w:rsidP="001E4EB9">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Cosmology, Magic and Divination </w:t>
            </w:r>
          </w:p>
        </w:tc>
        <w:tc>
          <w:tcPr>
            <w:tcW w:w="2266" w:type="dxa"/>
            <w:gridSpan w:val="3"/>
          </w:tcPr>
          <w:p w14:paraId="7DC842A2" w14:textId="77777777" w:rsidR="00CB015A" w:rsidRDefault="00CB015A" w:rsidP="001E4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p>
          <w:p w14:paraId="06B135E5" w14:textId="77777777" w:rsidR="00CB015A" w:rsidRPr="00230F35" w:rsidRDefault="00CB015A" w:rsidP="001E4EB9">
            <w:pPr>
              <w:pStyle w:val="NormalWeb"/>
              <w:spacing w:before="0" w:beforeAutospacing="0" w:after="0" w:afterAutospacing="0"/>
              <w:ind w:right="34"/>
              <w:rPr>
                <w:rFonts w:ascii="Arial" w:hAnsi="Arial" w:cs="Arial"/>
                <w:sz w:val="22"/>
                <w:szCs w:val="22"/>
              </w:rPr>
            </w:pPr>
            <w:r>
              <w:rPr>
                <w:rFonts w:ascii="Arial" w:hAnsi="Arial" w:cs="Arial"/>
                <w:sz w:val="22"/>
                <w:szCs w:val="22"/>
              </w:rPr>
              <w:t>2405345</w:t>
            </w:r>
          </w:p>
        </w:tc>
        <w:tc>
          <w:tcPr>
            <w:tcW w:w="1802" w:type="dxa"/>
          </w:tcPr>
          <w:p w14:paraId="576D3B2D" w14:textId="77777777" w:rsidR="00CB015A" w:rsidRPr="00230F35" w:rsidRDefault="00CB015A" w:rsidP="001E4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48414E7" w14:textId="77777777" w:rsidR="00CB015A" w:rsidRPr="00230F35" w:rsidRDefault="00CB015A" w:rsidP="001E4EB9">
            <w:pPr>
              <w:pStyle w:val="NormalWeb"/>
              <w:spacing w:before="0" w:beforeAutospacing="0" w:after="0" w:afterAutospacing="0"/>
              <w:ind w:right="34"/>
              <w:rPr>
                <w:rFonts w:ascii="Arial" w:hAnsi="Arial" w:cs="Arial"/>
                <w:sz w:val="22"/>
                <w:szCs w:val="22"/>
              </w:rPr>
            </w:pPr>
          </w:p>
        </w:tc>
      </w:tr>
      <w:tr w:rsidR="00CB015A" w:rsidRPr="00230F35" w14:paraId="6A541832" w14:textId="77777777" w:rsidTr="001E4EB9">
        <w:trPr>
          <w:trHeight w:val="1139"/>
        </w:trPr>
        <w:tc>
          <w:tcPr>
            <w:tcW w:w="8856" w:type="dxa"/>
            <w:gridSpan w:val="5"/>
          </w:tcPr>
          <w:p w14:paraId="0BF2538E" w14:textId="77777777" w:rsidR="00CB015A" w:rsidRPr="00230F35" w:rsidRDefault="00CB015A" w:rsidP="001E4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p>
          <w:p w14:paraId="1773E490" w14:textId="77777777" w:rsidR="00CB015A" w:rsidRDefault="00CB015A" w:rsidP="00CB015A">
            <w:pPr>
              <w:spacing w:line="240" w:lineRule="auto"/>
              <w:jc w:val="center"/>
              <w:rPr>
                <w:b/>
              </w:rPr>
            </w:pPr>
            <w:r>
              <w:rPr>
                <w:b/>
              </w:rPr>
              <w:t xml:space="preserve">What relevance </w:t>
            </w:r>
            <w:proofErr w:type="gramStart"/>
            <w:r>
              <w:rPr>
                <w:b/>
              </w:rPr>
              <w:t>do</w:t>
            </w:r>
            <w:proofErr w:type="gramEnd"/>
            <w:r>
              <w:rPr>
                <w:b/>
              </w:rPr>
              <w:t xml:space="preserve"> anthropological theories and observations have to the study of divination and magic in antiquity?</w:t>
            </w:r>
          </w:p>
          <w:p w14:paraId="2497B053" w14:textId="77777777" w:rsidR="00CB015A" w:rsidRPr="00230F35" w:rsidRDefault="00CB015A" w:rsidP="001E4EB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24/07/2025</w:t>
            </w:r>
          </w:p>
        </w:tc>
      </w:tr>
      <w:tr w:rsidR="00CB015A" w:rsidRPr="00230F35" w14:paraId="753C0E9D" w14:textId="77777777" w:rsidTr="001E4EB9">
        <w:trPr>
          <w:trHeight w:val="978"/>
        </w:trPr>
        <w:tc>
          <w:tcPr>
            <w:tcW w:w="8856" w:type="dxa"/>
            <w:gridSpan w:val="5"/>
            <w:tcBorders>
              <w:bottom w:val="single" w:sz="4" w:space="0" w:color="000000"/>
            </w:tcBorders>
          </w:tcPr>
          <w:p w14:paraId="37313146" w14:textId="77777777" w:rsidR="00CB015A" w:rsidRPr="00230F35" w:rsidRDefault="00CB015A" w:rsidP="001E4EB9">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1"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3"/>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CB015A" w:rsidRPr="00230F35" w14:paraId="1358D4F1" w14:textId="77777777" w:rsidTr="001E4EB9">
        <w:trPr>
          <w:trHeight w:val="978"/>
        </w:trPr>
        <w:tc>
          <w:tcPr>
            <w:tcW w:w="8856" w:type="dxa"/>
            <w:gridSpan w:val="5"/>
            <w:shd w:val="clear" w:color="auto" w:fill="D9D9D9"/>
          </w:tcPr>
          <w:p w14:paraId="1C09821E" w14:textId="77777777" w:rsidR="00CB015A" w:rsidRPr="00B728EA" w:rsidRDefault="00CB015A" w:rsidP="001E4EB9">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Plagiarism declaration</w:t>
            </w:r>
          </w:p>
          <w:p w14:paraId="33D16DB9" w14:textId="77777777" w:rsidR="00CB015A" w:rsidRPr="00B728EA" w:rsidRDefault="00CB015A" w:rsidP="001E4EB9">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046B2E39" w14:textId="77777777" w:rsidR="00CB015A" w:rsidRPr="00B728EA" w:rsidRDefault="00CB015A" w:rsidP="001E4EB9">
            <w:pPr>
              <w:pStyle w:val="NormalWeb"/>
              <w:spacing w:before="0" w:beforeAutospacing="0" w:after="0" w:afterAutospacing="0"/>
              <w:ind w:right="34"/>
              <w:rPr>
                <w:rFonts w:ascii="Arial" w:hAnsi="Arial" w:cs="Arial"/>
                <w:sz w:val="22"/>
                <w:szCs w:val="22"/>
              </w:rPr>
            </w:pPr>
          </w:p>
          <w:p w14:paraId="1ED8F648" w14:textId="77777777" w:rsidR="00CB015A" w:rsidRPr="00B728EA" w:rsidRDefault="00CB015A" w:rsidP="001E4EB9">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Artificial Intelligence (AI) declaration</w:t>
            </w:r>
          </w:p>
          <w:p w14:paraId="046CFD21" w14:textId="77777777" w:rsidR="00CB015A" w:rsidRPr="00B728EA" w:rsidRDefault="00CB015A" w:rsidP="001E4EB9">
            <w:pPr>
              <w:pStyle w:val="NormalWeb"/>
              <w:spacing w:before="0" w:beforeAutospacing="0" w:after="0" w:afterAutospacing="0"/>
              <w:ind w:right="34"/>
              <w:rPr>
                <w:rFonts w:ascii="Arial" w:hAnsi="Arial" w:cs="Arial"/>
                <w:color w:val="000000" w:themeColor="text1"/>
                <w:sz w:val="22"/>
                <w:szCs w:val="22"/>
              </w:rPr>
            </w:pPr>
            <w:r w:rsidRPr="00B728EA">
              <w:rPr>
                <w:rFonts w:ascii="Arial" w:hAnsi="Arial" w:cs="Arial"/>
                <w:sz w:val="22"/>
                <w:szCs w:val="22"/>
              </w:rPr>
              <w:lastRenderedPageBreak/>
              <w:t xml:space="preserve">For this assessment, you can use Generative AI to check your own text/creation for grammatical and syntactical mistakes, </w:t>
            </w:r>
            <w:r w:rsidRPr="00B728EA">
              <w:rPr>
                <w:rFonts w:ascii="Arial" w:hAnsi="Arial" w:cs="Arial"/>
                <w:color w:val="000000" w:themeColor="text1"/>
                <w:sz w:val="22"/>
                <w:szCs w:val="22"/>
              </w:rPr>
              <w:t xml:space="preserve">including rephrasing of your own work within specific </w:t>
            </w:r>
            <w:proofErr w:type="gramStart"/>
            <w:r w:rsidRPr="00B728EA">
              <w:rPr>
                <w:rFonts w:ascii="Arial" w:hAnsi="Arial" w:cs="Arial"/>
                <w:color w:val="000000" w:themeColor="text1"/>
                <w:sz w:val="22"/>
                <w:szCs w:val="22"/>
              </w:rPr>
              <w:t>standards.*</w:t>
            </w:r>
            <w:proofErr w:type="gramEnd"/>
          </w:p>
          <w:p w14:paraId="64378DB6" w14:textId="77777777" w:rsidR="00CB015A" w:rsidRPr="00B728EA" w:rsidRDefault="00CB015A" w:rsidP="001E4EB9">
            <w:pPr>
              <w:pStyle w:val="NormalWeb"/>
              <w:spacing w:before="0" w:beforeAutospacing="0" w:after="0" w:afterAutospacing="0"/>
              <w:ind w:right="34"/>
              <w:rPr>
                <w:rFonts w:ascii="Arial" w:hAnsi="Arial" w:cs="Arial"/>
                <w:color w:val="000000" w:themeColor="text1"/>
                <w:sz w:val="22"/>
                <w:szCs w:val="22"/>
              </w:rPr>
            </w:pPr>
          </w:p>
          <w:p w14:paraId="42447E32" w14:textId="77777777" w:rsidR="00CB015A" w:rsidRPr="00B728EA" w:rsidRDefault="00CB015A" w:rsidP="001E4EB9">
            <w:pPr>
              <w:pStyle w:val="NormalWeb"/>
              <w:spacing w:before="0" w:beforeAutospacing="0" w:after="0" w:afterAutospacing="0"/>
              <w:ind w:right="34"/>
              <w:rPr>
                <w:rFonts w:ascii="Times New Roman" w:hAnsi="Times New Roman"/>
                <w:color w:val="000000" w:themeColor="text1"/>
                <w:sz w:val="22"/>
                <w:szCs w:val="22"/>
              </w:rPr>
            </w:pPr>
            <w:r w:rsidRPr="00B728EA">
              <w:rPr>
                <w:rFonts w:ascii="Times New Roman" w:hAnsi="Times New Roman"/>
                <w:color w:val="000000" w:themeColor="text1"/>
                <w:sz w:val="22"/>
                <w:szCs w:val="22"/>
              </w:rPr>
              <w:t>*See separate guidance in the MA Writing Guidelines</w:t>
            </w:r>
          </w:p>
          <w:p w14:paraId="58AA2066" w14:textId="77777777" w:rsidR="00CB015A" w:rsidRPr="00B728EA" w:rsidRDefault="00CB015A" w:rsidP="001E4EB9">
            <w:pPr>
              <w:pStyle w:val="NormalWeb"/>
              <w:spacing w:before="0" w:beforeAutospacing="0" w:after="0" w:afterAutospacing="0"/>
              <w:ind w:right="34"/>
              <w:rPr>
                <w:rFonts w:ascii="Arial" w:hAnsi="Arial" w:cs="Arial"/>
                <w:sz w:val="22"/>
                <w:szCs w:val="22"/>
              </w:rPr>
            </w:pPr>
          </w:p>
          <w:p w14:paraId="11A9D9E6" w14:textId="77777777" w:rsidR="00CB015A" w:rsidRPr="00B728EA" w:rsidRDefault="00CB015A" w:rsidP="001E4EB9">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 xml:space="preserve">I confirm that I have not used any AI tools in the research and creation of this assignment, </w:t>
            </w:r>
            <w:r w:rsidRPr="00B728EA">
              <w:rPr>
                <w:rFonts w:ascii="Arial" w:hAnsi="Arial" w:cs="Arial"/>
                <w:color w:val="000000" w:themeColor="text1"/>
                <w:sz w:val="22"/>
                <w:szCs w:val="22"/>
              </w:rPr>
              <w:t>except as permitted above.</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3C191529" w14:textId="77777777" w:rsidR="00CB015A" w:rsidRPr="00B728EA" w:rsidRDefault="00CB015A" w:rsidP="001E4EB9">
            <w:pPr>
              <w:pStyle w:val="NormalWeb"/>
              <w:spacing w:before="0" w:beforeAutospacing="0" w:after="0" w:afterAutospacing="0"/>
              <w:ind w:right="34"/>
              <w:rPr>
                <w:rFonts w:ascii="Arial" w:hAnsi="Arial" w:cs="Arial"/>
                <w:sz w:val="22"/>
                <w:szCs w:val="22"/>
              </w:rPr>
            </w:pPr>
          </w:p>
          <w:p w14:paraId="294DA01C" w14:textId="77777777" w:rsidR="00CB015A" w:rsidRDefault="00CB015A" w:rsidP="001E4EB9">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Signed</w:t>
            </w:r>
            <w:r w:rsidRPr="003D5F72">
              <w:rPr>
                <w:rFonts w:ascii="Arial" w:hAnsi="Arial" w:cs="Arial"/>
                <w:sz w:val="40"/>
                <w:szCs w:val="40"/>
              </w:rPr>
              <w:t xml:space="preserve">: </w:t>
            </w:r>
            <w:r w:rsidRPr="003D5F72">
              <w:rPr>
                <w:rFonts w:ascii="Abramo Script" w:hAnsi="Abramo Script" w:cs="Abramo Script"/>
                <w:b/>
                <w:bCs/>
                <w:color w:val="auto"/>
                <w:sz w:val="40"/>
                <w:szCs w:val="40"/>
              </w:rPr>
              <w:t>Shelby Bundy</w:t>
            </w:r>
          </w:p>
          <w:p w14:paraId="22042053" w14:textId="77777777" w:rsidR="00CB015A" w:rsidRPr="00230F35" w:rsidRDefault="00CB015A" w:rsidP="001E4EB9">
            <w:pPr>
              <w:pStyle w:val="NormalWeb"/>
              <w:spacing w:before="0" w:beforeAutospacing="0" w:after="0" w:afterAutospacing="0"/>
              <w:ind w:right="34"/>
              <w:rPr>
                <w:rFonts w:ascii="Arial" w:hAnsi="Arial" w:cs="Arial"/>
                <w:sz w:val="22"/>
                <w:szCs w:val="22"/>
              </w:rPr>
            </w:pPr>
          </w:p>
        </w:tc>
      </w:tr>
      <w:tr w:rsidR="00CB015A" w:rsidRPr="00230F35" w14:paraId="4B5EE1CD" w14:textId="77777777" w:rsidTr="001E4EB9">
        <w:trPr>
          <w:trHeight w:val="3972"/>
        </w:trPr>
        <w:tc>
          <w:tcPr>
            <w:tcW w:w="8856" w:type="dxa"/>
            <w:gridSpan w:val="5"/>
          </w:tcPr>
          <w:p w14:paraId="51EDCB49" w14:textId="77777777" w:rsidR="00CB015A" w:rsidRDefault="00CB015A" w:rsidP="001E4EB9">
            <w:pPr>
              <w:rPr>
                <w:rFonts w:ascii="Arial" w:hAnsi="Arial"/>
                <w:b/>
              </w:rPr>
            </w:pPr>
          </w:p>
          <w:p w14:paraId="2A9C9007" w14:textId="77777777" w:rsidR="00CB015A" w:rsidRPr="00116CE6" w:rsidRDefault="00CB015A" w:rsidP="001E4EB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B015A" w:rsidRPr="00116CE6" w14:paraId="2CCF56B9" w14:textId="77777777" w:rsidTr="001E4EB9">
              <w:tc>
                <w:tcPr>
                  <w:tcW w:w="6970" w:type="dxa"/>
                </w:tcPr>
                <w:p w14:paraId="534E3495" w14:textId="77777777" w:rsidR="00CB015A" w:rsidRPr="00116CE6" w:rsidRDefault="00CB015A" w:rsidP="001E4EB9">
                  <w:pPr>
                    <w:rPr>
                      <w:rFonts w:ascii="Arial" w:hAnsi="Arial"/>
                      <w:sz w:val="20"/>
                      <w:szCs w:val="20"/>
                    </w:rPr>
                  </w:pPr>
                </w:p>
                <w:p w14:paraId="7A442260" w14:textId="77777777" w:rsidR="00CB015A" w:rsidRPr="00116CE6" w:rsidRDefault="00CB015A" w:rsidP="001E4EB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2E7AC72" w14:textId="77777777" w:rsidR="00CB015A" w:rsidRPr="00116CE6" w:rsidRDefault="00CB015A" w:rsidP="001E4EB9">
                  <w:pPr>
                    <w:rPr>
                      <w:rFonts w:ascii="Arial" w:hAnsi="Arial"/>
                      <w:sz w:val="20"/>
                      <w:szCs w:val="20"/>
                    </w:rPr>
                  </w:pPr>
                </w:p>
              </w:tc>
            </w:tr>
            <w:tr w:rsidR="00CB015A" w:rsidRPr="00116CE6" w14:paraId="324B82A9" w14:textId="77777777" w:rsidTr="001E4EB9">
              <w:tc>
                <w:tcPr>
                  <w:tcW w:w="6970" w:type="dxa"/>
                </w:tcPr>
                <w:p w14:paraId="293ED1B9" w14:textId="77777777" w:rsidR="00CB015A" w:rsidRPr="00116CE6" w:rsidRDefault="00CB015A" w:rsidP="001E4EB9">
                  <w:pPr>
                    <w:rPr>
                      <w:rFonts w:ascii="Arial" w:hAnsi="Arial"/>
                      <w:sz w:val="20"/>
                      <w:szCs w:val="20"/>
                    </w:rPr>
                  </w:pPr>
                </w:p>
                <w:p w14:paraId="6A0069DD" w14:textId="77777777" w:rsidR="00CB015A" w:rsidRPr="00116CE6" w:rsidRDefault="00CB015A" w:rsidP="001E4EB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CEA4450" w14:textId="77777777" w:rsidR="00CB015A" w:rsidRPr="00116CE6" w:rsidRDefault="00CB015A" w:rsidP="001E4EB9">
                  <w:pPr>
                    <w:rPr>
                      <w:rFonts w:ascii="Arial" w:hAnsi="Arial"/>
                      <w:sz w:val="20"/>
                      <w:szCs w:val="20"/>
                    </w:rPr>
                  </w:pPr>
                </w:p>
              </w:tc>
            </w:tr>
            <w:tr w:rsidR="00CB015A" w:rsidRPr="00116CE6" w14:paraId="34271BB3" w14:textId="77777777" w:rsidTr="001E4EB9">
              <w:tc>
                <w:tcPr>
                  <w:tcW w:w="6970" w:type="dxa"/>
                </w:tcPr>
                <w:p w14:paraId="15E05FD2" w14:textId="77777777" w:rsidR="00CB015A" w:rsidRPr="00116CE6" w:rsidRDefault="00CB015A" w:rsidP="001E4EB9">
                  <w:pPr>
                    <w:rPr>
                      <w:rFonts w:ascii="Arial" w:hAnsi="Arial"/>
                      <w:sz w:val="20"/>
                      <w:szCs w:val="20"/>
                    </w:rPr>
                  </w:pPr>
                </w:p>
                <w:p w14:paraId="5BC8A745" w14:textId="77777777" w:rsidR="00CB015A" w:rsidRPr="00116CE6" w:rsidRDefault="00CB015A" w:rsidP="001E4EB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BC5F3CF" w14:textId="77777777" w:rsidR="00CB015A" w:rsidRPr="00116CE6" w:rsidRDefault="00CB015A" w:rsidP="001E4EB9">
                  <w:pPr>
                    <w:rPr>
                      <w:rFonts w:ascii="Arial" w:hAnsi="Arial"/>
                      <w:sz w:val="20"/>
                      <w:szCs w:val="20"/>
                    </w:rPr>
                  </w:pPr>
                </w:p>
              </w:tc>
            </w:tr>
            <w:tr w:rsidR="00CB015A" w:rsidRPr="00116CE6" w14:paraId="43357340" w14:textId="77777777" w:rsidTr="001E4EB9">
              <w:tc>
                <w:tcPr>
                  <w:tcW w:w="6970" w:type="dxa"/>
                </w:tcPr>
                <w:p w14:paraId="5B5E7126" w14:textId="77777777" w:rsidR="00CB015A" w:rsidRDefault="00CB015A" w:rsidP="001E4EB9">
                  <w:pPr>
                    <w:rPr>
                      <w:rFonts w:ascii="Arial" w:hAnsi="Arial"/>
                      <w:sz w:val="20"/>
                      <w:szCs w:val="20"/>
                    </w:rPr>
                  </w:pPr>
                </w:p>
                <w:p w14:paraId="5127B7D0" w14:textId="77777777" w:rsidR="00CB015A" w:rsidRPr="00022345" w:rsidRDefault="00CB015A" w:rsidP="001E4EB9">
                  <w:pPr>
                    <w:rPr>
                      <w:rFonts w:ascii="Arial" w:hAnsi="Arial"/>
                      <w:b/>
                      <w:sz w:val="20"/>
                      <w:szCs w:val="20"/>
                    </w:rPr>
                  </w:pPr>
                  <w:r w:rsidRPr="00022345">
                    <w:rPr>
                      <w:rFonts w:ascii="Arial" w:hAnsi="Arial"/>
                      <w:b/>
                      <w:sz w:val="20"/>
                      <w:szCs w:val="20"/>
                    </w:rPr>
                    <w:t>Final Mark</w:t>
                  </w:r>
                </w:p>
                <w:p w14:paraId="7BC38DCF" w14:textId="77777777" w:rsidR="00CB015A" w:rsidRPr="00116CE6" w:rsidRDefault="00CB015A" w:rsidP="001E4EB9">
                  <w:pPr>
                    <w:rPr>
                      <w:rFonts w:ascii="Arial" w:hAnsi="Arial"/>
                      <w:sz w:val="20"/>
                      <w:szCs w:val="20"/>
                    </w:rPr>
                  </w:pPr>
                </w:p>
              </w:tc>
              <w:tc>
                <w:tcPr>
                  <w:tcW w:w="1660" w:type="dxa"/>
                </w:tcPr>
                <w:p w14:paraId="182449F1" w14:textId="77777777" w:rsidR="00CB015A" w:rsidRPr="00116CE6" w:rsidRDefault="00CB015A" w:rsidP="001E4EB9">
                  <w:pPr>
                    <w:rPr>
                      <w:rFonts w:ascii="Arial" w:hAnsi="Arial"/>
                      <w:sz w:val="20"/>
                      <w:szCs w:val="20"/>
                    </w:rPr>
                  </w:pPr>
                </w:p>
              </w:tc>
            </w:tr>
          </w:tbl>
          <w:p w14:paraId="749329C6" w14:textId="77777777" w:rsidR="00CB015A" w:rsidRDefault="00CB015A" w:rsidP="001E4EB9">
            <w:pPr>
              <w:pStyle w:val="NormalWeb"/>
              <w:spacing w:before="0" w:beforeAutospacing="0" w:after="0" w:afterAutospacing="0"/>
              <w:ind w:left="142" w:right="34"/>
              <w:rPr>
                <w:rFonts w:ascii="Arial" w:hAnsi="Arial" w:cs="Arial"/>
                <w:b/>
                <w:sz w:val="22"/>
                <w:szCs w:val="22"/>
              </w:rPr>
            </w:pPr>
          </w:p>
          <w:p w14:paraId="4CB694BA" w14:textId="77777777" w:rsidR="00CB015A" w:rsidRPr="00230F35" w:rsidRDefault="00CB015A" w:rsidP="001E4EB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37490E5" w14:textId="77777777" w:rsidR="00CB015A" w:rsidRDefault="00CB015A" w:rsidP="001E4EB9">
            <w:pPr>
              <w:pStyle w:val="NormalWeb"/>
              <w:spacing w:before="0" w:beforeAutospacing="0" w:after="0" w:afterAutospacing="0"/>
              <w:rPr>
                <w:rFonts w:ascii="Arial" w:hAnsi="Arial" w:cs="Arial"/>
                <w:b/>
                <w:sz w:val="22"/>
                <w:szCs w:val="22"/>
              </w:rPr>
            </w:pPr>
          </w:p>
          <w:p w14:paraId="79E75530" w14:textId="77777777" w:rsidR="00CB015A" w:rsidRDefault="00CB015A" w:rsidP="001E4EB9">
            <w:pPr>
              <w:pStyle w:val="NormalWeb"/>
              <w:spacing w:before="0" w:beforeAutospacing="0" w:after="0" w:afterAutospacing="0"/>
              <w:rPr>
                <w:rFonts w:ascii="Arial" w:hAnsi="Arial" w:cs="Arial"/>
                <w:b/>
                <w:sz w:val="22"/>
                <w:szCs w:val="22"/>
              </w:rPr>
            </w:pPr>
          </w:p>
          <w:p w14:paraId="3ABC14E3" w14:textId="77777777" w:rsidR="00CB015A" w:rsidRDefault="00CB015A" w:rsidP="001E4EB9">
            <w:pPr>
              <w:pStyle w:val="NormalWeb"/>
              <w:spacing w:before="0" w:beforeAutospacing="0" w:after="0" w:afterAutospacing="0"/>
              <w:rPr>
                <w:rFonts w:ascii="Arial" w:hAnsi="Arial" w:cs="Arial"/>
                <w:b/>
                <w:sz w:val="22"/>
                <w:szCs w:val="22"/>
              </w:rPr>
            </w:pPr>
          </w:p>
          <w:p w14:paraId="5C7A2B72" w14:textId="77777777" w:rsidR="00CB015A" w:rsidRDefault="00CB015A" w:rsidP="001E4EB9">
            <w:pPr>
              <w:pStyle w:val="NormalWeb"/>
              <w:spacing w:before="0" w:beforeAutospacing="0" w:after="0" w:afterAutospacing="0"/>
              <w:rPr>
                <w:rFonts w:ascii="Arial" w:hAnsi="Arial" w:cs="Arial"/>
                <w:b/>
                <w:sz w:val="22"/>
                <w:szCs w:val="22"/>
              </w:rPr>
            </w:pPr>
          </w:p>
          <w:p w14:paraId="55E18C3B" w14:textId="77777777" w:rsidR="00CB015A" w:rsidRDefault="00CB015A" w:rsidP="001E4EB9">
            <w:pPr>
              <w:pStyle w:val="NormalWeb"/>
              <w:spacing w:before="0" w:beforeAutospacing="0" w:after="0" w:afterAutospacing="0"/>
              <w:rPr>
                <w:rFonts w:ascii="Arial" w:hAnsi="Arial" w:cs="Arial"/>
                <w:b/>
                <w:sz w:val="22"/>
                <w:szCs w:val="22"/>
              </w:rPr>
            </w:pPr>
          </w:p>
          <w:p w14:paraId="48CD88C7" w14:textId="77777777" w:rsidR="00CB015A" w:rsidRPr="00230F35" w:rsidRDefault="00CB015A" w:rsidP="001E4EB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10050FDD" w14:textId="77777777" w:rsidR="00CB015A" w:rsidRDefault="00CB015A" w:rsidP="001E4EB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D3E5565" w14:textId="77777777" w:rsidR="00CB015A" w:rsidRPr="00001C3B" w:rsidRDefault="00CB015A" w:rsidP="001E4EB9">
            <w:pPr>
              <w:pStyle w:val="NormalWeb"/>
              <w:rPr>
                <w:rFonts w:ascii="Arial" w:hAnsi="Arial" w:cs="Arial"/>
                <w:sz w:val="22"/>
                <w:szCs w:val="22"/>
              </w:rPr>
            </w:pPr>
          </w:p>
        </w:tc>
      </w:tr>
      <w:tr w:rsidR="00CB015A" w:rsidRPr="00230F35" w14:paraId="1F2FAAD1" w14:textId="77777777" w:rsidTr="001E4EB9">
        <w:trPr>
          <w:trHeight w:val="492"/>
        </w:trPr>
        <w:tc>
          <w:tcPr>
            <w:tcW w:w="6768" w:type="dxa"/>
            <w:gridSpan w:val="3"/>
          </w:tcPr>
          <w:p w14:paraId="120954B6" w14:textId="77777777" w:rsidR="00CB015A" w:rsidRPr="00230F35" w:rsidRDefault="00CB015A" w:rsidP="001E4EB9">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0B03786D" w14:textId="77777777" w:rsidR="00CB015A" w:rsidRPr="00230F35" w:rsidRDefault="00CB015A" w:rsidP="001E4EB9">
            <w:pPr>
              <w:pStyle w:val="NormalWeb"/>
              <w:spacing w:after="0"/>
              <w:ind w:left="142" w:right="34"/>
              <w:rPr>
                <w:rFonts w:ascii="Arial" w:hAnsi="Arial" w:cs="Arial"/>
                <w:sz w:val="22"/>
                <w:szCs w:val="22"/>
              </w:rPr>
            </w:pPr>
            <w:r w:rsidRPr="00230F35">
              <w:rPr>
                <w:rFonts w:ascii="Arial" w:hAnsi="Arial" w:cs="Arial"/>
                <w:sz w:val="22"/>
                <w:szCs w:val="22"/>
              </w:rPr>
              <w:t>Date:</w:t>
            </w:r>
          </w:p>
        </w:tc>
      </w:tr>
      <w:tr w:rsidR="00CB015A" w:rsidRPr="002F467C" w14:paraId="61D6BE85" w14:textId="77777777" w:rsidTr="001E4EB9">
        <w:tc>
          <w:tcPr>
            <w:tcW w:w="8856" w:type="dxa"/>
            <w:gridSpan w:val="5"/>
          </w:tcPr>
          <w:p w14:paraId="02B8D6C4" w14:textId="77777777" w:rsidR="00CB015A" w:rsidRPr="00230F35" w:rsidRDefault="00CB015A" w:rsidP="001E4EB9">
            <w:pPr>
              <w:pStyle w:val="NormalWeb"/>
              <w:spacing w:before="0" w:beforeAutospacing="0" w:after="0" w:afterAutospacing="0"/>
              <w:ind w:right="-334"/>
              <w:rPr>
                <w:rFonts w:ascii="Arial" w:hAnsi="Arial" w:cs="Arial"/>
                <w:bCs/>
                <w:i/>
                <w:sz w:val="22"/>
                <w:szCs w:val="22"/>
              </w:rPr>
            </w:pPr>
          </w:p>
          <w:p w14:paraId="0813D195" w14:textId="77777777" w:rsidR="00CB015A" w:rsidRPr="00230F35" w:rsidRDefault="00CB015A" w:rsidP="001E4EB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B5BF354" w14:textId="77777777" w:rsidR="00CB015A" w:rsidRPr="00230F35" w:rsidRDefault="00CB015A" w:rsidP="001E4EB9">
            <w:pPr>
              <w:pStyle w:val="NormalWeb"/>
              <w:spacing w:before="0" w:beforeAutospacing="0" w:after="0" w:afterAutospacing="0"/>
              <w:ind w:right="-334"/>
              <w:rPr>
                <w:rFonts w:ascii="Arial" w:hAnsi="Arial" w:cs="Arial"/>
                <w:b/>
                <w:bCs/>
                <w:sz w:val="22"/>
                <w:szCs w:val="22"/>
              </w:rPr>
            </w:pPr>
          </w:p>
          <w:p w14:paraId="1192E92D"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C081DDE"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6E6EA22A"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25502144"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0E18F8DC"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6F0FCA83"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4BD90571"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5FB291A5"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608A5FB9"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378734EB" w14:textId="77777777" w:rsidR="00CB015A" w:rsidRDefault="00CB015A" w:rsidP="001E4EB9">
            <w:pPr>
              <w:pStyle w:val="NormalWeb"/>
              <w:spacing w:before="0" w:beforeAutospacing="0" w:after="0" w:afterAutospacing="0"/>
              <w:ind w:right="-334"/>
              <w:rPr>
                <w:rFonts w:ascii="Arial" w:hAnsi="Arial" w:cs="Arial"/>
                <w:bCs/>
                <w:sz w:val="22"/>
                <w:szCs w:val="22"/>
              </w:rPr>
            </w:pPr>
          </w:p>
          <w:p w14:paraId="5905E6BF"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52722340"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7FBF1D5F"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tc>
      </w:tr>
      <w:tr w:rsidR="00CB015A" w:rsidRPr="002F467C" w14:paraId="45536699" w14:textId="77777777" w:rsidTr="001E4EB9">
        <w:trPr>
          <w:trHeight w:val="720"/>
        </w:trPr>
        <w:tc>
          <w:tcPr>
            <w:tcW w:w="5211" w:type="dxa"/>
            <w:gridSpan w:val="2"/>
          </w:tcPr>
          <w:p w14:paraId="0657DBA5"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3920EEC"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B015A" w:rsidRPr="002F467C" w14:paraId="4935DCAD" w14:textId="77777777" w:rsidTr="001E4EB9">
        <w:trPr>
          <w:trHeight w:val="720"/>
        </w:trPr>
        <w:tc>
          <w:tcPr>
            <w:tcW w:w="8856" w:type="dxa"/>
            <w:gridSpan w:val="5"/>
          </w:tcPr>
          <w:p w14:paraId="2B93E6F5" w14:textId="77777777" w:rsidR="00CB015A" w:rsidRPr="00B34964" w:rsidRDefault="00CB015A" w:rsidP="001E4EB9">
            <w:pPr>
              <w:rPr>
                <w:rFonts w:ascii="Arial" w:hAnsi="Arial" w:cs="Arial"/>
                <w:b/>
              </w:rPr>
            </w:pPr>
            <w:r w:rsidRPr="00B34964">
              <w:rPr>
                <w:rFonts w:ascii="Arial" w:hAnsi="Arial" w:cs="Arial"/>
                <w:b/>
              </w:rPr>
              <w:t>External Examiner’s comments (if relevant)</w:t>
            </w:r>
          </w:p>
          <w:p w14:paraId="641003A4"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5568A516"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2A921629"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4168DC37"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6ED50218"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7CBE43EF"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2A411359"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1D9009FC"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39DBDB6B" w14:textId="77777777" w:rsidR="00CB015A" w:rsidRDefault="00CB015A" w:rsidP="001E4EB9">
            <w:pPr>
              <w:pStyle w:val="NormalWeb"/>
              <w:spacing w:before="0" w:beforeAutospacing="0" w:after="0" w:afterAutospacing="0"/>
              <w:ind w:right="-334"/>
              <w:rPr>
                <w:rFonts w:ascii="Arial" w:hAnsi="Arial" w:cs="Arial"/>
                <w:bCs/>
                <w:sz w:val="22"/>
                <w:szCs w:val="22"/>
              </w:rPr>
            </w:pPr>
          </w:p>
          <w:p w14:paraId="427D6DAA"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p w14:paraId="60E4EBC5" w14:textId="77777777" w:rsidR="00CB015A" w:rsidRPr="00230F35" w:rsidRDefault="00CB015A" w:rsidP="001E4EB9">
            <w:pPr>
              <w:pStyle w:val="NormalWeb"/>
              <w:spacing w:before="0" w:beforeAutospacing="0" w:after="0" w:afterAutospacing="0"/>
              <w:ind w:right="-334"/>
              <w:rPr>
                <w:rFonts w:ascii="Arial" w:hAnsi="Arial" w:cs="Arial"/>
                <w:bCs/>
                <w:sz w:val="22"/>
                <w:szCs w:val="22"/>
              </w:rPr>
            </w:pPr>
          </w:p>
        </w:tc>
      </w:tr>
      <w:tr w:rsidR="00CB015A" w:rsidRPr="002F467C" w14:paraId="4521C58D" w14:textId="77777777" w:rsidTr="001E4EB9">
        <w:trPr>
          <w:trHeight w:val="720"/>
        </w:trPr>
        <w:tc>
          <w:tcPr>
            <w:tcW w:w="5211" w:type="dxa"/>
            <w:gridSpan w:val="2"/>
          </w:tcPr>
          <w:p w14:paraId="325FB935" w14:textId="77777777" w:rsidR="00CB015A" w:rsidRPr="00230F35" w:rsidRDefault="00CB015A" w:rsidP="001E4EB9">
            <w:pPr>
              <w:rPr>
                <w:rFonts w:ascii="Arial" w:hAnsi="Arial" w:cs="Arial"/>
              </w:rPr>
            </w:pPr>
            <w:r w:rsidRPr="00230F35">
              <w:rPr>
                <w:rFonts w:ascii="Arial" w:hAnsi="Arial" w:cs="Arial"/>
              </w:rPr>
              <w:t>External Examiner’s Signature:</w:t>
            </w:r>
          </w:p>
        </w:tc>
        <w:tc>
          <w:tcPr>
            <w:tcW w:w="3645" w:type="dxa"/>
            <w:gridSpan w:val="3"/>
          </w:tcPr>
          <w:p w14:paraId="1D50F05C" w14:textId="77777777" w:rsidR="00CB015A" w:rsidRPr="00230F35" w:rsidRDefault="00CB015A" w:rsidP="001E4EB9">
            <w:pPr>
              <w:rPr>
                <w:rFonts w:ascii="Arial" w:hAnsi="Arial" w:cs="Arial"/>
              </w:rPr>
            </w:pPr>
            <w:r w:rsidRPr="00230F35">
              <w:rPr>
                <w:rFonts w:ascii="Arial" w:hAnsi="Arial" w:cs="Arial"/>
              </w:rPr>
              <w:t>Date:</w:t>
            </w:r>
          </w:p>
        </w:tc>
      </w:tr>
    </w:tbl>
    <w:p w14:paraId="00000003" w14:textId="77777777" w:rsidR="00694F06" w:rsidRDefault="00694F06"/>
    <w:p w14:paraId="00000004" w14:textId="77777777" w:rsidR="00694F06" w:rsidRDefault="00694F06"/>
    <w:p w14:paraId="00000005" w14:textId="77777777" w:rsidR="00694F06" w:rsidRDefault="00694F06"/>
    <w:p w14:paraId="00000006" w14:textId="77777777" w:rsidR="00694F06" w:rsidRDefault="00694F06"/>
    <w:p w14:paraId="00000007" w14:textId="77777777" w:rsidR="00694F06" w:rsidRDefault="00694F06"/>
    <w:p w14:paraId="00000008" w14:textId="77777777" w:rsidR="00694F06" w:rsidRDefault="00000000">
      <w:pPr>
        <w:spacing w:line="240" w:lineRule="auto"/>
        <w:jc w:val="center"/>
        <w:rPr>
          <w:b/>
        </w:rPr>
      </w:pPr>
      <w:r>
        <w:rPr>
          <w:b/>
        </w:rPr>
        <w:t xml:space="preserve">What relevance </w:t>
      </w:r>
      <w:proofErr w:type="gramStart"/>
      <w:r>
        <w:rPr>
          <w:b/>
        </w:rPr>
        <w:t>do</w:t>
      </w:r>
      <w:proofErr w:type="gramEnd"/>
      <w:r>
        <w:rPr>
          <w:b/>
        </w:rPr>
        <w:t xml:space="preserve"> anthropological theories and observations have to the study of divination and magic in antiquity?</w:t>
      </w:r>
    </w:p>
    <w:p w14:paraId="00000009" w14:textId="77777777" w:rsidR="00694F06" w:rsidRDefault="00694F06">
      <w:pPr>
        <w:spacing w:line="240" w:lineRule="auto"/>
        <w:jc w:val="center"/>
      </w:pPr>
    </w:p>
    <w:p w14:paraId="0000000A" w14:textId="77777777" w:rsidR="00694F06" w:rsidRDefault="00694F06">
      <w:pPr>
        <w:spacing w:line="240" w:lineRule="auto"/>
        <w:jc w:val="center"/>
      </w:pPr>
    </w:p>
    <w:p w14:paraId="0000000B" w14:textId="77777777" w:rsidR="00694F06" w:rsidRDefault="00694F06">
      <w:pPr>
        <w:spacing w:line="240" w:lineRule="auto"/>
        <w:jc w:val="center"/>
      </w:pPr>
    </w:p>
    <w:p w14:paraId="0000000C" w14:textId="77777777" w:rsidR="00694F06" w:rsidRDefault="00694F06" w:rsidP="005567E3">
      <w:pPr>
        <w:spacing w:line="360" w:lineRule="auto"/>
        <w:jc w:val="center"/>
      </w:pPr>
    </w:p>
    <w:p w14:paraId="2719AACF" w14:textId="77777777" w:rsidR="005567E3" w:rsidRDefault="005567E3" w:rsidP="005567E3">
      <w:pPr>
        <w:spacing w:line="360" w:lineRule="auto"/>
        <w:jc w:val="center"/>
      </w:pPr>
      <w:r>
        <w:t>Shelby Bundy</w:t>
      </w:r>
    </w:p>
    <w:p w14:paraId="1EBA888A" w14:textId="77777777" w:rsidR="005567E3" w:rsidRDefault="005567E3" w:rsidP="005567E3">
      <w:pPr>
        <w:spacing w:line="360" w:lineRule="auto"/>
        <w:jc w:val="center"/>
      </w:pPr>
      <w:r>
        <w:t>University of Wales</w:t>
      </w:r>
    </w:p>
    <w:p w14:paraId="7514D897" w14:textId="77777777" w:rsidR="005567E3" w:rsidRDefault="005567E3" w:rsidP="005567E3">
      <w:pPr>
        <w:spacing w:line="360" w:lineRule="auto"/>
        <w:jc w:val="center"/>
      </w:pPr>
      <w:r>
        <w:t>Cosmology, Magic and Divination</w:t>
      </w:r>
    </w:p>
    <w:p w14:paraId="3BC61D7B" w14:textId="77777777" w:rsidR="005567E3" w:rsidRDefault="005567E3" w:rsidP="005567E3">
      <w:pPr>
        <w:spacing w:line="360" w:lineRule="auto"/>
        <w:jc w:val="center"/>
      </w:pPr>
      <w:r w:rsidRPr="005F3215">
        <w:t>HPCA7027</w:t>
      </w:r>
    </w:p>
    <w:p w14:paraId="3A65BEA4" w14:textId="77777777" w:rsidR="005567E3" w:rsidRDefault="005567E3" w:rsidP="005567E3">
      <w:pPr>
        <w:spacing w:line="360" w:lineRule="auto"/>
        <w:jc w:val="center"/>
      </w:pPr>
      <w:r>
        <w:t>July 24, 2025</w:t>
      </w:r>
    </w:p>
    <w:p w14:paraId="00000011" w14:textId="77777777" w:rsidR="00694F06" w:rsidRDefault="00000000">
      <w:r>
        <w:br w:type="page"/>
      </w:r>
    </w:p>
    <w:p w14:paraId="00000012" w14:textId="77777777" w:rsidR="00694F06" w:rsidRDefault="00000000">
      <w:pPr>
        <w:jc w:val="center"/>
      </w:pPr>
      <w:r>
        <w:rPr>
          <w:b/>
        </w:rPr>
        <w:lastRenderedPageBreak/>
        <w:t>Introduction</w:t>
      </w:r>
    </w:p>
    <w:p w14:paraId="00000013" w14:textId="5B38E1F7" w:rsidR="00694F06" w:rsidRDefault="00FF0032" w:rsidP="00CB015A">
      <w:pPr>
        <w:spacing w:line="240" w:lineRule="auto"/>
        <w:ind w:firstLine="720"/>
      </w:pPr>
      <w:r>
        <w:t xml:space="preserve">The word being derived from the Greek </w:t>
      </w:r>
      <w:proofErr w:type="spellStart"/>
      <w:r>
        <w:rPr>
          <w:i/>
        </w:rPr>
        <w:t>anthropos</w:t>
      </w:r>
      <w:proofErr w:type="spellEnd"/>
      <w:r>
        <w:t xml:space="preserve"> (human) and </w:t>
      </w:r>
      <w:r>
        <w:rPr>
          <w:i/>
        </w:rPr>
        <w:t>logia</w:t>
      </w:r>
      <w:r>
        <w:t xml:space="preserve"> (study), anthropology </w:t>
      </w:r>
      <w:r w:rsidR="00702EBB">
        <w:t>can be</w:t>
      </w:r>
      <w:r>
        <w:t xml:space="preserve"> broadly defined as the comparative study of human societies, cultures, and histories. Anthropologists are concerned with uncovering the roots of human experience</w:t>
      </w:r>
      <w:r w:rsidR="00702EBB">
        <w:t xml:space="preserve"> — </w:t>
      </w:r>
      <w:r>
        <w:t>material, linguistic, social, and ritual.</w:t>
      </w:r>
      <w:r>
        <w:rPr>
          <w:vertAlign w:val="superscript"/>
        </w:rPr>
        <w:footnoteReference w:id="1"/>
      </w:r>
      <w:r>
        <w:t xml:space="preserve"> It is both a scientific and interpretive discipline, grounded in fieldwork and attuned to the symbolic dimensions of culture. While some regard anthropology as the study of </w:t>
      </w:r>
      <w:r w:rsidR="00DC7475">
        <w:t>‘</w:t>
      </w:r>
      <w:r>
        <w:t>common sense</w:t>
      </w:r>
      <w:r w:rsidR="00DC7475">
        <w:t>’</w:t>
      </w:r>
      <w:r>
        <w:t xml:space="preserve"> across societies, this notion is immediately complicated by the fact that, as Herzfeld points out, no two cultures share identical </w:t>
      </w:r>
      <w:proofErr w:type="gramStart"/>
      <w:r>
        <w:t>worldviews.</w:t>
      </w:r>
      <w:r w:rsidRPr="00FF0032">
        <w:t>¹</w:t>
      </w:r>
      <w:proofErr w:type="gramEnd"/>
      <w:r w:rsidRPr="00FF0032">
        <w:t xml:space="preserve"> </w:t>
      </w:r>
      <w:r>
        <w:t xml:space="preserve">Cultural norms and social rules vary dramatically across time and geography, making anthropology both a study of human universals and a reflection on deep cultural </w:t>
      </w:r>
      <w:r w:rsidR="00702EBB">
        <w:t>particularities</w:t>
      </w:r>
      <w:r>
        <w:t>. This tension is especially visible when anthropological approaches are applied to practices of magic and divination, including in ancient contexts. Though the peoples of antiquity are no longer accessible through ethnographic fieldwork, anthropological theory still provides illuminating frameworks for analyzing the worldviews embedded in their rituals, symbols, and belief systems.</w:t>
      </w:r>
      <w:r>
        <w:rPr>
          <w:vertAlign w:val="superscript"/>
        </w:rPr>
        <w:footnoteReference w:id="2"/>
      </w:r>
      <w:r>
        <w:t xml:space="preserve"> </w:t>
      </w:r>
    </w:p>
    <w:p w14:paraId="00000015" w14:textId="04B2083D" w:rsidR="00694F06" w:rsidRDefault="00000000" w:rsidP="00CB015A">
      <w:pPr>
        <w:spacing w:line="240" w:lineRule="auto"/>
        <w:ind w:firstLine="720"/>
        <w:rPr>
          <w:b/>
        </w:rPr>
      </w:pPr>
      <w:r>
        <w:t>Anthropology provides a framework for understanding the ritual symbols, systems of meaning, and social structures through which societies navigate uncertainty and interpret human experience. It seeks to map the symbolic logic embedded within these practices, enabling scholars to analyze how communities construct, reinforce, and transmit their worldviews.</w:t>
      </w:r>
      <w:r>
        <w:rPr>
          <w:vertAlign w:val="superscript"/>
        </w:rPr>
        <w:footnoteReference w:id="3"/>
      </w:r>
      <w:r>
        <w:t xml:space="preserve"> In this way, anthropology provides tools for examining </w:t>
      </w:r>
      <w:r w:rsidR="00702EBB">
        <w:t xml:space="preserve">the function of </w:t>
      </w:r>
      <w:r>
        <w:t>ritual</w:t>
      </w:r>
      <w:r w:rsidR="00702EBB">
        <w:t>s</w:t>
      </w:r>
      <w:r>
        <w:t xml:space="preserve"> during moments of transition or crisis</w:t>
      </w:r>
      <w:r w:rsidR="00162F97">
        <w:t xml:space="preserve">, exploring how they </w:t>
      </w:r>
      <w:r>
        <w:t>help clarify roles, reaffirm communal values, and address disruptions within the social fabric.</w:t>
      </w:r>
      <w:r>
        <w:rPr>
          <w:vertAlign w:val="superscript"/>
        </w:rPr>
        <w:footnoteReference w:id="4"/>
      </w:r>
      <w:r>
        <w:t xml:space="preserve"> Malinowski emphasized that no society, however early or small-scale, is without forms of religion, magic, or scientific reasoning; rather, each culture maintains distinct domains of sacred ritual and practical observation, rooted in belief systems and reflective of symbolic worldviews.</w:t>
      </w:r>
      <w:r>
        <w:rPr>
          <w:vertAlign w:val="superscript"/>
        </w:rPr>
        <w:footnoteReference w:id="5"/>
      </w:r>
      <w:r>
        <w:t xml:space="preserve"> </w:t>
      </w:r>
    </w:p>
    <w:p w14:paraId="00000016" w14:textId="6FF18245" w:rsidR="00694F06" w:rsidRDefault="00000000" w:rsidP="00CB015A">
      <w:pPr>
        <w:spacing w:line="240" w:lineRule="auto"/>
        <w:ind w:firstLine="720"/>
      </w:pPr>
      <w:r>
        <w:t>This essay will examine three foundational anthropological theories</w:t>
      </w:r>
      <w:r w:rsidR="00702EBB">
        <w:t xml:space="preserve"> — </w:t>
      </w:r>
      <w:r>
        <w:t>James Frazer’s concept of sympathetic magic,</w:t>
      </w:r>
      <w:r>
        <w:rPr>
          <w:vertAlign w:val="superscript"/>
        </w:rPr>
        <w:footnoteReference w:id="6"/>
      </w:r>
      <w:r>
        <w:t xml:space="preserve"> Marcel Mauss’</w:t>
      </w:r>
      <w:r w:rsidR="00C675A3">
        <w:t>s</w:t>
      </w:r>
      <w:r>
        <w:t xml:space="preserve"> theory of gift exchange and reciprocity,</w:t>
      </w:r>
      <w:r>
        <w:rPr>
          <w:vertAlign w:val="superscript"/>
        </w:rPr>
        <w:footnoteReference w:id="7"/>
      </w:r>
      <w:r>
        <w:t xml:space="preserve"> and Bronisław Malinowski’s functionalism</w:t>
      </w:r>
      <w:r w:rsidR="00702EBB">
        <w:t xml:space="preserve">— </w:t>
      </w:r>
      <w:r>
        <w:t>to explore how each contributes to our understanding of magical and divinatory practices in antiquity. By applying these theoretical lenses, the essay aims to show how anthropological methods, even those developed in modern ethnographic settings, can illuminate the symbolic and societal roles of magic and divination in ancient cultures.</w:t>
      </w:r>
    </w:p>
    <w:p w14:paraId="00000017" w14:textId="338E81BE" w:rsidR="00694F06" w:rsidRDefault="00000000" w:rsidP="00CB015A">
      <w:pPr>
        <w:spacing w:before="240" w:after="240" w:line="240" w:lineRule="auto"/>
        <w:ind w:firstLine="720"/>
      </w:pPr>
      <w:r>
        <w:t xml:space="preserve">One widely noted contribution of anthropological studies of magic and divination is their ability to reveal how societies interpret uncertainty, define order, and negotiate the boundaries of communal belonging. Rather than viewing these practices as irrational remnants, anthropologists such as Bronisław Malinowski have shown that magic and divination often serve as culturally embedded mechanisms for managing risk and reinforcing </w:t>
      </w:r>
      <w:r>
        <w:lastRenderedPageBreak/>
        <w:t>social structures.</w:t>
      </w:r>
      <w:r>
        <w:rPr>
          <w:vertAlign w:val="superscript"/>
        </w:rPr>
        <w:footnoteReference w:id="8"/>
      </w:r>
      <w:r>
        <w:t xml:space="preserve"> These practices are deeply symbolic, providing frameworks through which individuals and groups make sense of misfortune, responsibility, and the unseen. Anthropological theory, especially in its structuralist and symbolic formulations, has </w:t>
      </w:r>
      <w:r w:rsidR="00DD7470">
        <w:t xml:space="preserve">used </w:t>
      </w:r>
      <w:r>
        <w:t xml:space="preserve">magic and divination </w:t>
      </w:r>
      <w:r w:rsidR="00DD7470">
        <w:t xml:space="preserve">as lenses </w:t>
      </w:r>
      <w:r>
        <w:t>to analyze the logic behind ritual, social exchange, and cosmological order.</w:t>
      </w:r>
      <w:r>
        <w:rPr>
          <w:vertAlign w:val="superscript"/>
        </w:rPr>
        <w:footnoteReference w:id="9"/>
      </w:r>
      <w:r>
        <w:t xml:space="preserve"> </w:t>
      </w:r>
      <w:r w:rsidR="00DD7470">
        <w:t>It thus highlights that s</w:t>
      </w:r>
      <w:r>
        <w:t>uch practices are not peripheral to the study of society but are instead central to understanding how meaning is produced and contested in different historical contexts.</w:t>
      </w:r>
    </w:p>
    <w:p w14:paraId="00000018" w14:textId="77777777" w:rsidR="00694F06" w:rsidRDefault="00000000" w:rsidP="00CB015A">
      <w:pPr>
        <w:spacing w:line="240" w:lineRule="auto"/>
        <w:jc w:val="center"/>
      </w:pPr>
      <w:r>
        <w:rPr>
          <w:b/>
        </w:rPr>
        <w:t>Anthropology, Magic, and Divination in Antiquity</w:t>
      </w:r>
    </w:p>
    <w:p w14:paraId="00000019" w14:textId="6CA7C0BE" w:rsidR="00694F06" w:rsidRDefault="00000000" w:rsidP="00CB015A">
      <w:pPr>
        <w:spacing w:line="240" w:lineRule="auto"/>
        <w:ind w:firstLine="720"/>
      </w:pPr>
      <w:r>
        <w:t xml:space="preserve">Anthropological theory has provided a range of frameworks for interpreting the ritual practices of antiquity, particularly those concerned with magic and divination. James G. Frazer’s notion of </w:t>
      </w:r>
      <w:r>
        <w:rPr>
          <w:i/>
        </w:rPr>
        <w:t>sympathetic magic</w:t>
      </w:r>
      <w:r>
        <w:t>, for instance, draws attention to the symbolic relationships involved in magical acts, especially the principles of similarity and contagion.</w:t>
      </w:r>
      <w:r>
        <w:rPr>
          <w:vertAlign w:val="superscript"/>
        </w:rPr>
        <w:footnoteReference w:id="10"/>
      </w:r>
      <w:r>
        <w:t xml:space="preserve"> These principles suggest that actions performed on one object can affect another, either because </w:t>
      </w:r>
      <w:r w:rsidR="00DD7470">
        <w:t xml:space="preserve">the objects </w:t>
      </w:r>
      <w:r>
        <w:t xml:space="preserve">resemble each other or </w:t>
      </w:r>
      <w:r w:rsidR="00DD7470">
        <w:t xml:space="preserve">because they </w:t>
      </w:r>
      <w:r>
        <w:t xml:space="preserve">were once in contact, ideas that help decode the logic behind many ancient spells and rituals. Bronisław Malinowski’s theory of functionalism, by contrast, considers magic not as primitive error but as a rational response to uncertainty, serving both psychological and social functions. </w:t>
      </w:r>
      <w:r w:rsidR="00DD7470">
        <w:t>Malinowski</w:t>
      </w:r>
      <w:r>
        <w:t xml:space="preserve"> emphasized that magical rituals emerge in moments of anxiety</w:t>
      </w:r>
      <w:r w:rsidR="00702EBB">
        <w:t xml:space="preserve"> — </w:t>
      </w:r>
      <w:r>
        <w:t>such as illness, conflict, or agricultural risk</w:t>
      </w:r>
      <w:r w:rsidR="00702EBB">
        <w:t xml:space="preserve"> — </w:t>
      </w:r>
      <w:r>
        <w:t xml:space="preserve">where they help individuals and communities assert control and </w:t>
      </w:r>
      <w:r w:rsidR="00DD7470">
        <w:t xml:space="preserve">establish </w:t>
      </w:r>
      <w:r>
        <w:t>coherence.</w:t>
      </w:r>
      <w:r>
        <w:rPr>
          <w:vertAlign w:val="superscript"/>
        </w:rPr>
        <w:footnoteReference w:id="11"/>
      </w:r>
      <w:r>
        <w:t xml:space="preserve"> Marcel Mauss’s work on reciprocity, especially in the context of gift exchange, has influenced interpretations of ritual offerings, vows, and prayers as part of a dynamic relationship between humans and the divine</w:t>
      </w:r>
      <w:r w:rsidR="00B36BB5">
        <w:t xml:space="preserve">. </w:t>
      </w:r>
      <w:r>
        <w:t xml:space="preserve">Rather than being superstitious gestures, </w:t>
      </w:r>
      <w:r w:rsidR="00DD7470">
        <w:t xml:space="preserve">Mauss argued that </w:t>
      </w:r>
      <w:r>
        <w:t xml:space="preserve">such offerings </w:t>
      </w:r>
      <w:r w:rsidR="00DD7470">
        <w:t xml:space="preserve">are </w:t>
      </w:r>
      <w:r>
        <w:t xml:space="preserve">embedded in systems of obligation, gratitude, and cosmic balance. </w:t>
      </w:r>
      <w:r w:rsidR="00DD7470">
        <w:t xml:space="preserve">The present </w:t>
      </w:r>
      <w:r>
        <w:t xml:space="preserve">essay applies these three theoretical lenses to </w:t>
      </w:r>
      <w:r w:rsidR="00702EBB">
        <w:t xml:space="preserve">two empirical examples </w:t>
      </w:r>
      <w:r>
        <w:t>drawn from Greco-Roman contexts</w:t>
      </w:r>
      <w:r w:rsidR="00702EBB">
        <w:t xml:space="preserve"> — </w:t>
      </w:r>
      <w:r>
        <w:t>oracular consultation</w:t>
      </w:r>
      <w:r w:rsidR="00702EBB">
        <w:t xml:space="preserve"> and </w:t>
      </w:r>
      <w:r>
        <w:t>curse tablets</w:t>
      </w:r>
      <w:r w:rsidR="00702EBB">
        <w:t xml:space="preserve"> — </w:t>
      </w:r>
      <w:r>
        <w:t xml:space="preserve">to examine how anthropological approaches </w:t>
      </w:r>
      <w:r w:rsidR="00702EBB">
        <w:t xml:space="preserve">can aid </w:t>
      </w:r>
      <w:r>
        <w:t>understanding</w:t>
      </w:r>
      <w:r w:rsidR="00702EBB">
        <w:t xml:space="preserve"> of</w:t>
      </w:r>
      <w:r>
        <w:t xml:space="preserve"> the ritual strategies </w:t>
      </w:r>
      <w:r w:rsidR="00DD7470">
        <w:t xml:space="preserve">by which </w:t>
      </w:r>
      <w:r>
        <w:t>ancient societies used to manage uncertainty, articulate power relationships, and negotiate meaning within their cosmological frameworks.</w:t>
      </w:r>
    </w:p>
    <w:p w14:paraId="0000001A" w14:textId="04F7ACD8" w:rsidR="00694F06" w:rsidRDefault="00EC6F78" w:rsidP="00CB015A">
      <w:pPr>
        <w:spacing w:line="240" w:lineRule="auto"/>
        <w:ind w:firstLine="720"/>
      </w:pPr>
      <w:r>
        <w:t xml:space="preserve">Especially through Gilbert Ryle’s concept of </w:t>
      </w:r>
      <w:r w:rsidR="00DC7475">
        <w:t>‘</w:t>
      </w:r>
      <w:r>
        <w:t>thick description,</w:t>
      </w:r>
      <w:r w:rsidR="00DC7475">
        <w:t>’</w:t>
      </w:r>
      <w:r>
        <w:t xml:space="preserve"> made influential through Clifford Geertz, t</w:t>
      </w:r>
      <w:r w:rsidR="00DD7470">
        <w:t xml:space="preserve">he </w:t>
      </w:r>
      <w:r>
        <w:t>theories developed by Frazer, Malinowski, and Mauss have been used to reconstruct sociocultural beliefs and ritual practices in antiquity by interpreting historical texts, material remains, and iconographic sources, taking religious relics, inscriptions, and ritual paraphernalia</w:t>
      </w:r>
      <w:r w:rsidR="00702EBB">
        <w:t xml:space="preserve"> — </w:t>
      </w:r>
      <w:r>
        <w:t>including objects associated with magic and divination</w:t>
      </w:r>
      <w:r w:rsidR="00702EBB">
        <w:t xml:space="preserve"> — </w:t>
      </w:r>
      <w:r>
        <w:t>as windows into the symbolic logic of ancient societies.</w:t>
      </w:r>
      <w:r>
        <w:rPr>
          <w:vertAlign w:val="superscript"/>
        </w:rPr>
        <w:footnoteReference w:id="12"/>
      </w:r>
      <w:r>
        <w:t xml:space="preserve"> By attending not only to what rituals accomplished but to how they were structured and enacted, anthropological theory can shed light on the cultural scripts embedded in even the most esoteric practices.  These practices may be seen as meaningful ways </w:t>
      </w:r>
      <w:r w:rsidR="00702EBB">
        <w:t xml:space="preserve">of </w:t>
      </w:r>
      <w:r>
        <w:t>mediat</w:t>
      </w:r>
      <w:r w:rsidR="00702EBB">
        <w:t>ing</w:t>
      </w:r>
      <w:r>
        <w:t xml:space="preserve"> between </w:t>
      </w:r>
      <w:proofErr w:type="gramStart"/>
      <w:r>
        <w:t>the human</w:t>
      </w:r>
      <w:proofErr w:type="gramEnd"/>
      <w:r>
        <w:t xml:space="preserve"> and divine realms, particularly in times of uncertainty. In this sense, magical and divinatory actions performed in antiquity offer insight not just into religion, but into the cognitive, emotional, and social life of the communities involved. They reveal how myth, symbol, and ritual were mobilized to navigate existential concerns, enforce social order, and express desires that could not be pursued through conventional means.</w:t>
      </w:r>
    </w:p>
    <w:p w14:paraId="0000001B" w14:textId="40C9CEF5" w:rsidR="00694F06" w:rsidRDefault="00000000" w:rsidP="00CB015A">
      <w:pPr>
        <w:spacing w:line="240" w:lineRule="auto"/>
        <w:ind w:firstLine="720"/>
      </w:pPr>
      <w:r>
        <w:lastRenderedPageBreak/>
        <w:t xml:space="preserve">Divination, </w:t>
      </w:r>
      <w:proofErr w:type="gramStart"/>
      <w:r>
        <w:t>in</w:t>
      </w:r>
      <w:proofErr w:type="gramEnd"/>
      <w:r>
        <w:t xml:space="preserve"> </w:t>
      </w:r>
      <w:r w:rsidR="00210659">
        <w:t xml:space="preserve">an </w:t>
      </w:r>
      <w:r>
        <w:t xml:space="preserve">anthropological </w:t>
      </w:r>
      <w:r w:rsidR="00210659">
        <w:t>perspective, can be</w:t>
      </w:r>
      <w:r>
        <w:t xml:space="preserve"> approached as a culturally embedded practice through which ancient </w:t>
      </w:r>
      <w:r w:rsidRPr="0041020A">
        <w:t>societies sought access</w:t>
      </w:r>
      <w:r>
        <w:t xml:space="preserve"> to hidden knowledge or foresight into uncertain futures.</w:t>
      </w:r>
      <w:r>
        <w:rPr>
          <w:vertAlign w:val="superscript"/>
        </w:rPr>
        <w:footnoteReference w:id="13"/>
      </w:r>
      <w:r>
        <w:t xml:space="preserve"> Rather than imposing a fixed definition, </w:t>
      </w:r>
      <w:r w:rsidR="00210659">
        <w:t xml:space="preserve">scholars can then </w:t>
      </w:r>
      <w:r>
        <w:t>analyze how such practices function within their specific social and ritual contexts. By examining the roles of diviners, ritual structure, and the societal circumstances that prompt consultation, anthropological methods provide deeper insight into how divination functioned as both a spiritual and social mechanism in antiquity. These acts were rarely isolated or spontaneous; they were performed according to established protocols, often overseen by sanctioned religious authorities, and involved the use of specialized instruments, symbols, or behaviors designed to channel divine insight.</w:t>
      </w:r>
    </w:p>
    <w:p w14:paraId="0000001C" w14:textId="6F83FE92" w:rsidR="00694F06" w:rsidRDefault="00000000" w:rsidP="00CB015A">
      <w:pPr>
        <w:spacing w:line="240" w:lineRule="auto"/>
        <w:ind w:firstLine="720"/>
      </w:pPr>
      <w:r>
        <w:t xml:space="preserve">Interpreting these practices involves examining archaeological sites, visual representations, and ancient texts, all of which reveal how divinatory acts were embedded in the larger ritual life of ancient societies. Rather than existing on the margins, they were integral to </w:t>
      </w:r>
      <w:r w:rsidR="00306E6B">
        <w:t xml:space="preserve">healing practices and </w:t>
      </w:r>
      <w:r>
        <w:t>religious</w:t>
      </w:r>
      <w:r w:rsidR="00306E6B">
        <w:t xml:space="preserve"> </w:t>
      </w:r>
      <w:r>
        <w:t xml:space="preserve">and political systems, evidenced by their appearance in temples, sanctuaries, and civic contexts. For example, the prominence of oracular sanctuaries such as Delphi and Dodona suggests that states and individuals alike invested significant resources and </w:t>
      </w:r>
      <w:proofErr w:type="gramStart"/>
      <w:r>
        <w:t>trust</w:t>
      </w:r>
      <w:proofErr w:type="gramEnd"/>
      <w:r>
        <w:t xml:space="preserve"> in divinatory outcomes. </w:t>
      </w:r>
      <w:r w:rsidR="00306E6B">
        <w:t>Oracular c</w:t>
      </w:r>
      <w:r>
        <w:t>onsultations were often preceded by sacrificial offerings, purifications, and other ritual acts, embedding the moment of divination within a broader theological and performative framework. In this sense, divination was not merely about prediction</w:t>
      </w:r>
      <w:r w:rsidR="00702EBB">
        <w:t xml:space="preserve"> — </w:t>
      </w:r>
      <w:r>
        <w:t>it was a culturally sanctioned form of negotiation with the divine, a means of legitimizing decisions, and a way of aligning human action with perceived cosmic will.</w:t>
      </w:r>
      <w:r>
        <w:rPr>
          <w:vertAlign w:val="superscript"/>
        </w:rPr>
        <w:footnoteReference w:id="14"/>
      </w:r>
    </w:p>
    <w:p w14:paraId="0000001D" w14:textId="276FE5C6" w:rsidR="00694F06" w:rsidRDefault="00000000" w:rsidP="00CB015A">
      <w:pPr>
        <w:spacing w:before="240" w:after="240" w:line="240" w:lineRule="auto"/>
        <w:ind w:firstLine="720"/>
        <w:rPr>
          <w:b/>
          <w:shd w:val="clear" w:color="auto" w:fill="FFF2CC"/>
        </w:rPr>
      </w:pPr>
      <w:r>
        <w:t xml:space="preserve">From an anthropological perspective, such practices are </w:t>
      </w:r>
      <w:r w:rsidR="00306E6B">
        <w:t xml:space="preserve">best </w:t>
      </w:r>
      <w:r>
        <w:t>understood as ritual technologies, codified systems through which individuals and states attempted to navigate instability, articulate legitimacy, and manage social relationships.</w:t>
      </w:r>
      <w:r>
        <w:rPr>
          <w:vertAlign w:val="superscript"/>
        </w:rPr>
        <w:footnoteReference w:id="15"/>
      </w:r>
      <w:r>
        <w:t xml:space="preserve"> These practices were not arbitrary; they reflected deliberate strategies rooted in shared cultural logic and ritual order. Rather than seeing divination as a leftover from an irrational past, anthropological frameworks suggest it operated with coherence and purpose</w:t>
      </w:r>
      <w:r w:rsidR="00306E6B">
        <w:t xml:space="preserve"> in ancient contexts</w:t>
      </w:r>
      <w:r>
        <w:t>, offering a meaningful and adaptive means to engage with risk, authority, and the search for order.</w:t>
      </w:r>
      <w:r>
        <w:rPr>
          <w:vertAlign w:val="superscript"/>
        </w:rPr>
        <w:footnoteReference w:id="16"/>
      </w:r>
    </w:p>
    <w:p w14:paraId="0000001E" w14:textId="77777777" w:rsidR="00694F06" w:rsidRDefault="00000000" w:rsidP="00CB015A">
      <w:pPr>
        <w:spacing w:line="240" w:lineRule="auto"/>
        <w:jc w:val="center"/>
      </w:pPr>
      <w:r>
        <w:rPr>
          <w:b/>
        </w:rPr>
        <w:t>Anthropological Theories and Observations of Magic and Divination</w:t>
      </w:r>
    </w:p>
    <w:p w14:paraId="0000001F" w14:textId="77777777" w:rsidR="00694F06" w:rsidRDefault="00000000" w:rsidP="00CB015A">
      <w:pPr>
        <w:spacing w:line="240" w:lineRule="auto"/>
        <w:jc w:val="center"/>
        <w:rPr>
          <w:i/>
        </w:rPr>
      </w:pPr>
      <w:r>
        <w:rPr>
          <w:i/>
        </w:rPr>
        <w:t>James G. Frazer’s Sympathetic Magic</w:t>
      </w:r>
    </w:p>
    <w:p w14:paraId="00000020" w14:textId="73086774" w:rsidR="00694F06" w:rsidRDefault="00000000" w:rsidP="00CB015A">
      <w:pPr>
        <w:spacing w:before="240" w:after="240" w:line="240" w:lineRule="auto"/>
      </w:pPr>
      <w:r>
        <w:t xml:space="preserve">James George Frazer’s theory of sympathetic magic provides one of the earliest and most influential anthropological frameworks for understanding magical practices in antiquity. In </w:t>
      </w:r>
      <w:r>
        <w:rPr>
          <w:i/>
        </w:rPr>
        <w:t>The Golden Bough</w:t>
      </w:r>
      <w:r>
        <w:t xml:space="preserve">, Frazer argues that magical rituals were founded on associations made by what he termed </w:t>
      </w:r>
      <w:r w:rsidR="00DC7475">
        <w:t>‘</w:t>
      </w:r>
      <w:r>
        <w:t>primitive logic,</w:t>
      </w:r>
      <w:r w:rsidR="00DC7475">
        <w:t>’</w:t>
      </w:r>
      <w:r>
        <w:t xml:space="preserve"> whereby an action performed upon one object was believed to influence another through an invisible but potent bond of sympathy between the two. </w:t>
      </w:r>
      <w:r>
        <w:rPr>
          <w:vertAlign w:val="superscript"/>
        </w:rPr>
        <w:footnoteReference w:id="17"/>
      </w:r>
      <w:r>
        <w:t xml:space="preserve"> This theory helps explain why ancient </w:t>
      </w:r>
      <w:proofErr w:type="gramStart"/>
      <w:r>
        <w:t>peoples</w:t>
      </w:r>
      <w:proofErr w:type="gramEnd"/>
      <w:r>
        <w:t xml:space="preserve"> believed that symbolic gestures could wield real-world effects when performed according to culturally sanctioned ritual forms. Frazer divides </w:t>
      </w:r>
      <w:r w:rsidR="0081746F">
        <w:t>his theory</w:t>
      </w:r>
      <w:r>
        <w:t xml:space="preserve"> into two foundational laws: the law of similarity and the law of contagion. The law of similarity, also known as homeopathic magic, operates under the belief that </w:t>
      </w:r>
      <w:r w:rsidR="00DC7475">
        <w:t>‘</w:t>
      </w:r>
      <w:r>
        <w:t xml:space="preserve">like </w:t>
      </w:r>
      <w:r>
        <w:lastRenderedPageBreak/>
        <w:t>produces like.</w:t>
      </w:r>
      <w:r w:rsidR="00DC7475">
        <w:t>’</w:t>
      </w:r>
      <w:r>
        <w:t xml:space="preserve"> In this system, symbolic imitation forms the core of ritual efficacy; acts such as damaging a figurine to injure a rival or mimicking rainfall to summon storms reflect the logic that resemblance carries power. In contrast, the law of contagion is based on the idea that things once in contact continue to influence one another, even after they are physically separated. This principle underpins many ancient magical practices involving hair, clothing, or personal effects, which were believed to retain a vital link to the person they once touched.</w:t>
      </w:r>
      <w:r>
        <w:rPr>
          <w:vertAlign w:val="superscript"/>
        </w:rPr>
        <w:footnoteReference w:id="18"/>
      </w:r>
      <w:r>
        <w:t xml:space="preserve"> Taken together, these two principles outline a symbolic structure through which practitioners sought to engage with and influence the world around them, embedding magic not in chaos or superstition but in a coherent ritual framework reflective of their cosmology. </w:t>
      </w:r>
    </w:p>
    <w:p w14:paraId="00000021" w14:textId="134CA9F5" w:rsidR="00694F06" w:rsidRDefault="00000000" w:rsidP="00CB015A">
      <w:pPr>
        <w:spacing w:before="240" w:after="240" w:line="240" w:lineRule="auto"/>
        <w:ind w:firstLine="720"/>
      </w:pPr>
      <w:r>
        <w:t>Frazer offers several illustrations of these principles. In homeopathic magic (the law of similarity), practitioners rely on imitation: a ritual action performed on a representation of a person is believed to directly affect that person. For instance, burning or piercing an effigy</w:t>
      </w:r>
      <w:r w:rsidR="00702EBB">
        <w:t xml:space="preserve"> — </w:t>
      </w:r>
      <w:r>
        <w:t>a doll, statue, or drawing</w:t>
      </w:r>
      <w:r w:rsidR="00702EBB">
        <w:t xml:space="preserve"> — </w:t>
      </w:r>
      <w:r>
        <w:t xml:space="preserve">is thought to inflict harm on the individual it symbolizes. This practice reflects the belief that </w:t>
      </w:r>
      <w:r w:rsidR="00DC7475">
        <w:t>‘</w:t>
      </w:r>
      <w:r>
        <w:t>like affects like,</w:t>
      </w:r>
      <w:r w:rsidR="00DC7475">
        <w:t>’</w:t>
      </w:r>
      <w:r>
        <w:t xml:space="preserve"> and that symbolic resemblance can be manipulated to produce real consequences. Contagious magic (the law of contact), on the other hand, operates on the idea that once two entities have been in contact, they continue to influence one another even when separated. A lock of hair, fingernail clippings, or a piece of clothing may be preserved and used in a ritual to maintain, influence, or even sever emotional, spiritual, or physical bonds. In both forms, the underlying assumption is that symbolic connections</w:t>
      </w:r>
      <w:r w:rsidR="00702EBB">
        <w:t xml:space="preserve"> — </w:t>
      </w:r>
      <w:r>
        <w:t>whether through resemblance or physical association</w:t>
      </w:r>
      <w:r w:rsidR="00702EBB">
        <w:t xml:space="preserve"> — </w:t>
      </w:r>
      <w:r>
        <w:t xml:space="preserve">can be ritually activated to bring about tangible results. Frazer argued that these principles, while distinct from scientific reasoning, were nonetheless rooted in a logical structure and internal consistency that made sense within their cultural frameworks. </w:t>
      </w:r>
      <w:r>
        <w:rPr>
          <w:vertAlign w:val="superscript"/>
        </w:rPr>
        <w:footnoteReference w:id="19"/>
      </w:r>
    </w:p>
    <w:p w14:paraId="00000022" w14:textId="4A17DE62" w:rsidR="00694F06" w:rsidRDefault="0041020A" w:rsidP="00CB015A">
      <w:pPr>
        <w:spacing w:before="240" w:after="240" w:line="240" w:lineRule="auto"/>
        <w:ind w:firstLine="720"/>
        <w:rPr>
          <w:b/>
          <w:highlight w:val="yellow"/>
        </w:rPr>
      </w:pPr>
      <w:r w:rsidRPr="0041020A">
        <w:t xml:space="preserve">This framework has been critiqued over many decades. </w:t>
      </w:r>
      <w:r>
        <w:t>Marcel Mauss critiqued Frazer’s typology as overly narrow, arguing that sympathetic rites are not exclusive to magic, and that neither constraint nor immediacy sufficiently distinguishes magical from religious practice. While Frazer’s model may not fully capture the complexity or diversity of ritual systems, it nonetheless remains influential as a heuristic for identifying symbolic reasoning within magic and divination.</w:t>
      </w:r>
      <w:r>
        <w:rPr>
          <w:vertAlign w:val="superscript"/>
        </w:rPr>
        <w:footnoteReference w:id="20"/>
      </w:r>
    </w:p>
    <w:p w14:paraId="00000023" w14:textId="2AEA3651" w:rsidR="00694F06" w:rsidRPr="00F249EA" w:rsidRDefault="00460D55" w:rsidP="00CB015A">
      <w:pPr>
        <w:spacing w:line="240" w:lineRule="auto"/>
        <w:jc w:val="center"/>
        <w:rPr>
          <w:bCs/>
          <w:i/>
          <w:iCs/>
        </w:rPr>
      </w:pPr>
      <w:r w:rsidRPr="00F249EA">
        <w:rPr>
          <w:bCs/>
          <w:i/>
          <w:iCs/>
        </w:rPr>
        <w:t xml:space="preserve">Bronisław Malinowski’s Theory of Functionalism and Uncertainty  </w:t>
      </w:r>
    </w:p>
    <w:p w14:paraId="00000024" w14:textId="763289F4" w:rsidR="00694F06" w:rsidRDefault="00460D55" w:rsidP="00CB015A">
      <w:pPr>
        <w:spacing w:before="240" w:after="240" w:line="240" w:lineRule="auto"/>
        <w:ind w:firstLine="720"/>
      </w:pPr>
      <w:r>
        <w:t>Bronisław Malinowski, a foundational figure in modern anthropology, offered a significant challenge to earlier theories of magic, particularly those proposed by Frazer and other evolutionary thinkers. Rather than viewing magic as a primitive precursor to religion or science, Malinowski developed a functionalist interpretation that positioned magic as a rational and adaptive response to situations of uncertainty and emotional distress.</w:t>
      </w:r>
      <w:r>
        <w:rPr>
          <w:vertAlign w:val="superscript"/>
        </w:rPr>
        <w:footnoteReference w:id="21"/>
      </w:r>
      <w:r>
        <w:t xml:space="preserve"> According to Malinowski, all cultural institutions, including ritual, belief, and symbolic practices, should be understood in terms of the roles they play in maintaining social cohesion and meeting human needs.</w:t>
      </w:r>
      <w:r>
        <w:rPr>
          <w:vertAlign w:val="superscript"/>
        </w:rPr>
        <w:footnoteReference w:id="22"/>
      </w:r>
      <w:r>
        <w:t xml:space="preserve"> Magic, in this framework, was not a failed attempt at science, but a meaningful and socially embedded strategy for navigating risk, anxiety, and the limits of human agency.</w:t>
      </w:r>
    </w:p>
    <w:p w14:paraId="00000025" w14:textId="0BE34F41" w:rsidR="00694F06" w:rsidRDefault="00000000" w:rsidP="00CB015A">
      <w:pPr>
        <w:spacing w:before="240" w:after="240" w:line="240" w:lineRule="auto"/>
        <w:ind w:firstLine="720"/>
      </w:pPr>
      <w:r>
        <w:lastRenderedPageBreak/>
        <w:t>Malinowski’s fieldwork among the Trobriand Islanders formed the empirical basis of his theory. He observed that these communities employed practical, technical knowledge for tasks they could confidently manage, such as lagoon fishing. However, when venturing into the more dangerous open sea, they turned to magic</w:t>
      </w:r>
      <w:r w:rsidR="00460D55">
        <w:t>al</w:t>
      </w:r>
      <w:r>
        <w:t xml:space="preserve"> rituals to manage the unpredictable elements of their environment.</w:t>
      </w:r>
      <w:r>
        <w:rPr>
          <w:vertAlign w:val="superscript"/>
        </w:rPr>
        <w:footnoteReference w:id="23"/>
      </w:r>
      <w:r>
        <w:t xml:space="preserve"> These practices, Malinowski argued, served a psychological function, providing emotional reassurance and mitigating anxiety in contexts where control was limited. He emphasized that these rituals were not arbitrary or improvised but were consistent, formalized, and embedded within a wider cosmological system, with each step reinforcing the belief that one could influence uncertain outcomes through prescribed symbolic means. </w:t>
      </w:r>
    </w:p>
    <w:p w14:paraId="00000026" w14:textId="697A6B4F" w:rsidR="00694F06" w:rsidRDefault="00000000" w:rsidP="00CB015A">
      <w:pPr>
        <w:spacing w:before="240" w:after="240" w:line="240" w:lineRule="auto"/>
        <w:ind w:firstLine="720"/>
      </w:pPr>
      <w:r>
        <w:t>In addition to its individual psychological function, Malinowski emphasized the broader social role of magical practice. He observed that both magic and religion emerge during moments of emotional stress</w:t>
      </w:r>
      <w:r w:rsidR="00702EBB">
        <w:t xml:space="preserve"> — </w:t>
      </w:r>
      <w:r>
        <w:t>death, uncertainty, social transitions</w:t>
      </w:r>
      <w:r w:rsidR="00702EBB">
        <w:t xml:space="preserve"> — </w:t>
      </w:r>
      <w:r>
        <w:t>and serve to provide a sense of control and meaning where empirical solutions are lacking.</w:t>
      </w:r>
      <w:r>
        <w:rPr>
          <w:vertAlign w:val="superscript"/>
        </w:rPr>
        <w:footnoteReference w:id="24"/>
      </w:r>
      <w:r>
        <w:t xml:space="preserve"> He further noted that magic, though seemingly individual, often takes place in collective or public contexts, especially when it concerns illness, agricultural fertility, or communal well-being. In these settings, </w:t>
      </w:r>
      <w:proofErr w:type="gramStart"/>
      <w:r>
        <w:t>ritual serves</w:t>
      </w:r>
      <w:proofErr w:type="gramEnd"/>
      <w:r>
        <w:t xml:space="preserve"> not only a technical function but also a social one</w:t>
      </w:r>
      <w:r w:rsidR="00702EBB">
        <w:t xml:space="preserve"> — </w:t>
      </w:r>
      <w:r>
        <w:t xml:space="preserve">validating shared beliefs, reinforcing communal identities, and providing a structured response to uncertainty. Malinowski emphasized that communal ritual fosters </w:t>
      </w:r>
      <w:r w:rsidR="00DC7475">
        <w:t>‘</w:t>
      </w:r>
      <w:r>
        <w:t>homogeneous belief</w:t>
      </w:r>
      <w:r w:rsidR="00DC7475">
        <w:t>’</w:t>
      </w:r>
      <w:r>
        <w:t xml:space="preserve"> and serves as a </w:t>
      </w:r>
      <w:r w:rsidR="00DC7475">
        <w:t>‘</w:t>
      </w:r>
      <w:r>
        <w:t>system of mutual insurance in spiritual misfortune and stress,</w:t>
      </w:r>
      <w:r w:rsidR="00DC7475">
        <w:t>’</w:t>
      </w:r>
      <w:r>
        <w:t xml:space="preserve"> thus helping to stabilize society during periods of emotional or existential strain.</w:t>
      </w:r>
      <w:r>
        <w:rPr>
          <w:vertAlign w:val="superscript"/>
        </w:rPr>
        <w:footnoteReference w:id="25"/>
      </w:r>
      <w:r>
        <w:t xml:space="preserve"> Through this lens, magical practices contribute to what he described as </w:t>
      </w:r>
      <w:r w:rsidR="00DC7475">
        <w:t>‘</w:t>
      </w:r>
      <w:r>
        <w:t>group solidarity,</w:t>
      </w:r>
      <w:r w:rsidR="00DC7475">
        <w:t>’</w:t>
      </w:r>
      <w:r>
        <w:t xml:space="preserve"> aligning personal anxieties with culturally accepted outlets and shared narratives.</w:t>
      </w:r>
    </w:p>
    <w:p w14:paraId="00000027" w14:textId="09FF879C" w:rsidR="00694F06" w:rsidRDefault="005567E3" w:rsidP="00CB015A">
      <w:pPr>
        <w:spacing w:before="240" w:after="240" w:line="240" w:lineRule="auto"/>
        <w:ind w:firstLine="720"/>
      </w:pPr>
      <w:r w:rsidRPr="005567E3">
        <w:t>Malinowski cautioned against interpreting magical acts through the lens of modern epistemology. Instead of asking whether magic “worked” in a scientific sense, he urged anthropologists to consider its cultural logic and emotional effectiveness. In this view, magic is not an isolated belief but part of an interconnected system—embedded in the economic, symbolic, and social life of a community.</w:t>
      </w:r>
      <w:r>
        <w:t xml:space="preserve"> This holistic understanding not only expands the anthropological definition of rationality but also invites modern scholars of antiquity to reassess the role of ritual in shaping collective values, reinforcing power structures, and negotiating the boundaries between the natural and the supernatural.</w:t>
      </w:r>
    </w:p>
    <w:p w14:paraId="00000028" w14:textId="77777777" w:rsidR="00694F06" w:rsidRPr="00F249EA" w:rsidRDefault="00000000" w:rsidP="00CB015A">
      <w:pPr>
        <w:spacing w:line="240" w:lineRule="auto"/>
        <w:jc w:val="center"/>
        <w:rPr>
          <w:bCs/>
          <w:i/>
          <w:iCs/>
        </w:rPr>
      </w:pPr>
      <w:r w:rsidRPr="00F249EA">
        <w:rPr>
          <w:bCs/>
          <w:i/>
          <w:iCs/>
        </w:rPr>
        <w:t>Marcel Mauss’s Theory of Exchange and Obligation</w:t>
      </w:r>
    </w:p>
    <w:p w14:paraId="00000029" w14:textId="65D8B481" w:rsidR="00694F06" w:rsidRDefault="00000000" w:rsidP="00CB015A">
      <w:pPr>
        <w:spacing w:before="240" w:after="240" w:line="240" w:lineRule="auto"/>
        <w:ind w:firstLine="720"/>
      </w:pPr>
      <w:r>
        <w:t xml:space="preserve">In his work </w:t>
      </w:r>
      <w:r>
        <w:rPr>
          <w:i/>
        </w:rPr>
        <w:t>The Gift</w:t>
      </w:r>
      <w:r>
        <w:t xml:space="preserve">, Marcel Mauss argues that the practice of gift-giving in traditional societies is a structured social institution governed by what he calls the </w:t>
      </w:r>
      <w:r w:rsidR="00DC7475">
        <w:rPr>
          <w:iCs/>
        </w:rPr>
        <w:t>‘</w:t>
      </w:r>
      <w:r w:rsidRPr="005567E3">
        <w:rPr>
          <w:iCs/>
        </w:rPr>
        <w:t>obligations to give, to receive, and to reciprocate.</w:t>
      </w:r>
      <w:r w:rsidR="00DC7475">
        <w:t>’</w:t>
      </w:r>
      <w:r>
        <w:t xml:space="preserve"> These obligations are not merely economic; they are embedded in a complex web of moral, religious, legal, and symbolic expectations that sustain social cohesion and hierarchy. Gifts, in Mauss’s view, are never truly </w:t>
      </w:r>
      <w:r w:rsidR="00DC7475">
        <w:t>‘</w:t>
      </w:r>
      <w:r>
        <w:t>free</w:t>
      </w:r>
      <w:r w:rsidR="00DC7475">
        <w:t>’</w:t>
      </w:r>
      <w:r>
        <w:t xml:space="preserve">; they carry with them </w:t>
      </w:r>
      <w:proofErr w:type="gramStart"/>
      <w:r>
        <w:t>a spiritual</w:t>
      </w:r>
      <w:proofErr w:type="gramEnd"/>
      <w:r>
        <w:t xml:space="preserve"> and social weight that binds individuals and groups in networks of reciprocity and mutual responsibility.</w:t>
      </w:r>
      <w:r>
        <w:rPr>
          <w:vertAlign w:val="superscript"/>
        </w:rPr>
        <w:footnoteReference w:id="26"/>
      </w:r>
      <w:r>
        <w:t xml:space="preserve"> In this sense, gift exchange is not an incidental custom, but a foundational principle that organizes collective life, establishes prestige, and maintains equilibrium within communities.</w:t>
      </w:r>
    </w:p>
    <w:p w14:paraId="0000002A" w14:textId="645847B5" w:rsidR="00694F06" w:rsidRDefault="00000000" w:rsidP="00CB015A">
      <w:pPr>
        <w:spacing w:before="240" w:after="240" w:line="240" w:lineRule="auto"/>
        <w:ind w:firstLine="720"/>
      </w:pPr>
      <w:r>
        <w:lastRenderedPageBreak/>
        <w:t>Importantly, Mauss extends this logic beyond material exchanges to include rituals, sacrifices, and offerings</w:t>
      </w:r>
      <w:r w:rsidR="00702EBB">
        <w:t xml:space="preserve"> — </w:t>
      </w:r>
      <w:r>
        <w:t>particularly those made to deities or supernatural beings. These acts, he suggests, can be understood as spiritual gifts, given with the expectation of divine favor in return. Just like interpersonal gifts, such ritual exchanges involve obligations: to give, to receive, and to reciprocate.</w:t>
      </w:r>
      <w:r>
        <w:rPr>
          <w:vertAlign w:val="superscript"/>
        </w:rPr>
        <w:footnoteReference w:id="27"/>
      </w:r>
      <w:r>
        <w:t xml:space="preserve"> But Mauss goes further, illustrating how the items involved</w:t>
      </w:r>
      <w:r w:rsidR="00702EBB">
        <w:t xml:space="preserve"> — </w:t>
      </w:r>
      <w:r>
        <w:t>offerings, talismans, ritual objects</w:t>
      </w:r>
      <w:r w:rsidR="00702EBB">
        <w:t xml:space="preserve"> — </w:t>
      </w:r>
      <w:r>
        <w:t>are not merely symbolic but are often considered animate and sacred. They possess names, personalities, and productive powers, linking the giver to ancestors, spirits, and divine beings.</w:t>
      </w:r>
      <w:r>
        <w:rPr>
          <w:vertAlign w:val="superscript"/>
        </w:rPr>
        <w:footnoteReference w:id="28"/>
      </w:r>
      <w:r>
        <w:t xml:space="preserve"> These objects may retain a form of agency long after the act of giving, circulating within a spiritual economy that binds the present to the mythic past.</w:t>
      </w:r>
    </w:p>
    <w:p w14:paraId="0000002B" w14:textId="68A33D3F" w:rsidR="00694F06" w:rsidRDefault="00000000" w:rsidP="00CB015A">
      <w:pPr>
        <w:spacing w:before="240" w:after="240" w:line="240" w:lineRule="auto"/>
        <w:ind w:firstLine="720"/>
      </w:pPr>
      <w:r>
        <w:t>Examples from ancient cultures illustrate the prevalence of this dynamic. In ancient Egypt, ritual offerings accompanied by spoken invocations were presented to gods like Ra and Osiris, intended to secure divine blessing or favor.</w:t>
      </w:r>
      <w:r>
        <w:rPr>
          <w:vertAlign w:val="superscript"/>
        </w:rPr>
        <w:footnoteReference w:id="29"/>
      </w:r>
      <w:r>
        <w:t xml:space="preserve"> Similarly, in the Greco-Roman world, inscriptions </w:t>
      </w:r>
      <w:r w:rsidR="00460D55">
        <w:t xml:space="preserve">found </w:t>
      </w:r>
      <w:r>
        <w:t>at temple</w:t>
      </w:r>
      <w:r w:rsidR="00460D55">
        <w:t xml:space="preserve"> </w:t>
      </w:r>
      <w:r>
        <w:t>s</w:t>
      </w:r>
      <w:r w:rsidR="00460D55">
        <w:t>ites</w:t>
      </w:r>
      <w:r>
        <w:t xml:space="preserve"> often record the expectations or hoped-for outcomes tied to votive offerings, speaking to the transactional nature of divine</w:t>
      </w:r>
      <w:r w:rsidR="00460D55">
        <w:t>–</w:t>
      </w:r>
      <w:r>
        <w:t>human exchange.</w:t>
      </w:r>
      <w:r>
        <w:rPr>
          <w:vertAlign w:val="superscript"/>
        </w:rPr>
        <w:footnoteReference w:id="30"/>
      </w:r>
      <w:r>
        <w:t xml:space="preserve"> Even small tokens</w:t>
      </w:r>
      <w:r w:rsidR="00702EBB">
        <w:t xml:space="preserve"> — </w:t>
      </w:r>
      <w:r>
        <w:t>statues, inscribed tablets, or libations</w:t>
      </w:r>
      <w:r w:rsidR="00702EBB">
        <w:t xml:space="preserve"> — </w:t>
      </w:r>
      <w:r>
        <w:t xml:space="preserve">were imbued with meaning that extended beyond their material form. These items served as bridges between mortal supplicants and the unseen world, reinforcing the social and metaphysical contracts believed to govern reality. </w:t>
      </w:r>
      <w:r w:rsidR="00460D55">
        <w:t xml:space="preserve">Such </w:t>
      </w:r>
      <w:r>
        <w:t xml:space="preserve">practices suggest that ritual magic and religious sacrifice </w:t>
      </w:r>
      <w:proofErr w:type="gramStart"/>
      <w:r>
        <w:t>functioned</w:t>
      </w:r>
      <w:proofErr w:type="gramEnd"/>
      <w:r>
        <w:t xml:space="preserve"> not only as acts of devotion but as forms of communication and negotiation.</w:t>
      </w:r>
    </w:p>
    <w:p w14:paraId="0000002E" w14:textId="28976D33" w:rsidR="00694F06" w:rsidRDefault="00000000" w:rsidP="00CB015A">
      <w:pPr>
        <w:spacing w:before="240" w:after="240" w:line="240" w:lineRule="auto"/>
        <w:ind w:firstLine="720"/>
        <w:rPr>
          <w:b/>
        </w:rPr>
      </w:pPr>
      <w:r>
        <w:t>Ultimately, Mauss’s theory helps to frame magical and religious acts not as irrational superstitions, but as deeply embedded social mechanisms</w:t>
      </w:r>
      <w:r w:rsidR="00460D55">
        <w:t>,</w:t>
      </w:r>
      <w:r>
        <w:t xml:space="preserve"> ritualized transactions that create, affirm, or sometimes rupture the bonds between individuals, communities, and the divine.</w:t>
      </w:r>
      <w:r w:rsidR="00460D55">
        <w:t xml:space="preserve"> It</w:t>
      </w:r>
      <w:r>
        <w:t xml:space="preserve"> helps us understand these rituals as </w:t>
      </w:r>
      <w:r w:rsidR="00460D55">
        <w:t xml:space="preserve">something </w:t>
      </w:r>
      <w:r>
        <w:t xml:space="preserve">more than symbolic gestures. They functioned </w:t>
      </w:r>
      <w:r w:rsidR="00460D55">
        <w:t xml:space="preserve">in the ancient world </w:t>
      </w:r>
      <w:r>
        <w:t xml:space="preserve">as structured exchanges within a cosmic economy, where deities and humans were bound by mutual expectations. Although the outcome of divine favor was never certain, ongoing </w:t>
      </w:r>
      <w:r w:rsidR="00460D55">
        <w:t xml:space="preserve">ritual </w:t>
      </w:r>
      <w:r>
        <w:t xml:space="preserve">practice reflected a deep-rooted belief that reciprocal exchange not only upheld spiritual harmony but also ensured moral order and social cohesion. </w:t>
      </w:r>
    </w:p>
    <w:p w14:paraId="0000002F" w14:textId="77777777" w:rsidR="00694F06" w:rsidRDefault="00000000" w:rsidP="00CB015A">
      <w:pPr>
        <w:spacing w:line="240" w:lineRule="auto"/>
        <w:jc w:val="center"/>
        <w:rPr>
          <w:b/>
        </w:rPr>
      </w:pPr>
      <w:r>
        <w:rPr>
          <w:b/>
        </w:rPr>
        <w:t>Case Examples of Divination and Magic in Antiquity</w:t>
      </w:r>
    </w:p>
    <w:p w14:paraId="00000030" w14:textId="77777777" w:rsidR="00694F06" w:rsidRPr="00F249EA" w:rsidRDefault="00000000" w:rsidP="00CB015A">
      <w:pPr>
        <w:spacing w:line="240" w:lineRule="auto"/>
        <w:jc w:val="center"/>
        <w:rPr>
          <w:bCs/>
          <w:i/>
          <w:iCs/>
        </w:rPr>
      </w:pPr>
      <w:r w:rsidRPr="00F249EA">
        <w:rPr>
          <w:bCs/>
          <w:i/>
          <w:iCs/>
        </w:rPr>
        <w:t>Case Study 1: Oracular Divination in the Greco-Roman World</w:t>
      </w:r>
    </w:p>
    <w:p w14:paraId="00000031" w14:textId="5B7F08DD" w:rsidR="00694F06" w:rsidRDefault="00000000" w:rsidP="00CB015A">
      <w:pPr>
        <w:spacing w:before="240" w:after="240" w:line="240" w:lineRule="auto"/>
      </w:pPr>
      <w:r>
        <w:t xml:space="preserve">In the Greco-Roman world, oracular consultation was a widespread and socially embedded practice. Among the most well-known </w:t>
      </w:r>
      <w:r w:rsidR="00C65FB7">
        <w:t xml:space="preserve">oracles </w:t>
      </w:r>
      <w:r>
        <w:t xml:space="preserve">was </w:t>
      </w:r>
      <w:r w:rsidR="00C65FB7">
        <w:t>that at Delphi</w:t>
      </w:r>
      <w:r>
        <w:t>, where the Pythia, a priestess of Apollo, would deliver cryptic responses believed to channel divine insight.</w:t>
      </w:r>
      <w:r>
        <w:rPr>
          <w:vertAlign w:val="superscript"/>
        </w:rPr>
        <w:footnoteReference w:id="31"/>
      </w:r>
      <w:r>
        <w:t xml:space="preserve"> Set in the rugged mountainside off the northern coast of the Gulf of Corinth, the sanctuary itself existed </w:t>
      </w:r>
      <w:r w:rsidR="00C65FB7">
        <w:t xml:space="preserve">from </w:t>
      </w:r>
      <w:r>
        <w:t xml:space="preserve">the late ninth century </w:t>
      </w:r>
      <w:r w:rsidRPr="00F249EA">
        <w:rPr>
          <w:smallCaps/>
        </w:rPr>
        <w:t>BCE</w:t>
      </w:r>
      <w:r>
        <w:t>.</w:t>
      </w:r>
      <w:r>
        <w:rPr>
          <w:vertAlign w:val="superscript"/>
        </w:rPr>
        <w:footnoteReference w:id="32"/>
      </w:r>
      <w:r>
        <w:t xml:space="preserve"> While the Delphic Oracle occupies a prominent place in literary and historical narratives, its accessibility </w:t>
      </w:r>
      <w:r w:rsidR="0020044E">
        <w:t>was</w:t>
      </w:r>
      <w:r>
        <w:t xml:space="preserve"> limited</w:t>
      </w:r>
      <w:r w:rsidR="0020044E">
        <w:t xml:space="preserve"> and it could not be frequently used</w:t>
      </w:r>
      <w:r>
        <w:t xml:space="preserve">. </w:t>
      </w:r>
      <w:proofErr w:type="gramStart"/>
      <w:r>
        <w:t>The Pythia</w:t>
      </w:r>
      <w:proofErr w:type="gramEnd"/>
      <w:r>
        <w:t xml:space="preserve"> delivered responses only on specific days, typically the seventh </w:t>
      </w:r>
      <w:r>
        <w:lastRenderedPageBreak/>
        <w:t>day of each month, and was inactive during the winter, when Apollo was believed to be absent.</w:t>
      </w:r>
      <w:r>
        <w:rPr>
          <w:vertAlign w:val="superscript"/>
        </w:rPr>
        <w:footnoteReference w:id="33"/>
      </w:r>
      <w:r>
        <w:t xml:space="preserve"> Moreover, consultation required costly preliminary sacrifices and was subject to further restrictions, such as the privileging of certain petitioners </w:t>
      </w:r>
      <w:r w:rsidR="00C65FB7">
        <w:t xml:space="preserve">with </w:t>
      </w:r>
      <w:r>
        <w:t>the right to bypass the queue</w:t>
      </w:r>
      <w:r w:rsidR="00C65FB7">
        <w:t xml:space="preserve"> (known as the right of </w:t>
      </w:r>
      <w:proofErr w:type="spellStart"/>
      <w:r w:rsidR="00C65FB7" w:rsidRPr="00E31FCA">
        <w:rPr>
          <w:i/>
          <w:iCs/>
        </w:rPr>
        <w:t>promanteia</w:t>
      </w:r>
      <w:proofErr w:type="spellEnd"/>
      <w:r w:rsidR="00C65FB7">
        <w:t>)</w:t>
      </w:r>
      <w:r>
        <w:t xml:space="preserve">. These logistical and ritual barriers suggest that Delphi and similar sanctuaries, though symbolically powerful, were not the primary means through which most individuals accessed divine knowledge. Rather, they functioned as formalized institutions embedded within civic and religious life, offering states and elites a mechanism for legitimizing decisions and reinforcing shared cosmological frameworks. Their very structure, </w:t>
      </w:r>
      <w:r w:rsidR="00C65FB7">
        <w:t xml:space="preserve">incorporating </w:t>
      </w:r>
      <w:r>
        <w:t xml:space="preserve">processions, sacrifices, and public declarations, created a ritual theater that dramatized the relationship between </w:t>
      </w:r>
      <w:proofErr w:type="gramStart"/>
      <w:r>
        <w:t>the human</w:t>
      </w:r>
      <w:proofErr w:type="gramEnd"/>
      <w:r>
        <w:t xml:space="preserve"> and divine. </w:t>
      </w:r>
      <w:r w:rsidR="00C65FB7">
        <w:t xml:space="preserve">The </w:t>
      </w:r>
      <w:r>
        <w:t xml:space="preserve">infrequency and </w:t>
      </w:r>
      <w:r w:rsidR="00C65FB7">
        <w:t xml:space="preserve">the </w:t>
      </w:r>
      <w:r>
        <w:t xml:space="preserve">ceremonial nature </w:t>
      </w:r>
      <w:r w:rsidR="00C65FB7">
        <w:t xml:space="preserve">of appeals to oracular sanctuaries </w:t>
      </w:r>
      <w:r>
        <w:t>underscore their role not as everyday tools of divination, but as performative acts of public religiosity and political affirmation.</w:t>
      </w:r>
      <w:r>
        <w:rPr>
          <w:vertAlign w:val="superscript"/>
        </w:rPr>
        <w:footnoteReference w:id="34"/>
      </w:r>
    </w:p>
    <w:p w14:paraId="00000032" w14:textId="70F0764B" w:rsidR="00694F06" w:rsidRDefault="00000000" w:rsidP="00CB015A">
      <w:pPr>
        <w:spacing w:before="240" w:after="240" w:line="240" w:lineRule="auto"/>
        <w:ind w:firstLine="720"/>
      </w:pPr>
      <w:r>
        <w:t>In moments of transition or crisis</w:t>
      </w:r>
      <w:r w:rsidR="00702EBB">
        <w:t xml:space="preserve"> — </w:t>
      </w:r>
      <w:r>
        <w:t>such as war, famine, or succession</w:t>
      </w:r>
      <w:r w:rsidR="00702EBB">
        <w:t xml:space="preserve"> — </w:t>
      </w:r>
      <w:r>
        <w:t>communities turned to oracles not only for knowledge, but for reassurance that their actions aligned with divine will. This symbolic validation reinforced the social order and reduced the psychological burden of decision-making under uncertainty. For example, it was common for farmers to consult oracles before planting crops, or for generals to seek divine endorsement before launching military campaigns.</w:t>
      </w:r>
      <w:r>
        <w:rPr>
          <w:vertAlign w:val="superscript"/>
        </w:rPr>
        <w:footnoteReference w:id="35"/>
      </w:r>
      <w:r>
        <w:t xml:space="preserve"> Such rituals did not necessarily yield correct outcomes. Famously, King Croesus misinterpreted the Delphic Oracle and lost his kingdom, but their significance lay in the structure and meaning they offered rather than in predictive accuracy.</w:t>
      </w:r>
      <w:r>
        <w:rPr>
          <w:vertAlign w:val="superscript"/>
        </w:rPr>
        <w:footnoteReference w:id="36"/>
      </w:r>
      <w:r>
        <w:t xml:space="preserve"> The parallel with Malinowski’s observations among the Trobriand Islanders is clear: in both cases, ritual served to fill the gap left by empirical uncertainty, affirming communal values and guiding behavior through culturally sanctioned symbols.</w:t>
      </w:r>
    </w:p>
    <w:p w14:paraId="00000033" w14:textId="77777777" w:rsidR="00694F06" w:rsidRDefault="00000000" w:rsidP="00CB015A">
      <w:pPr>
        <w:spacing w:before="240" w:after="240" w:line="240" w:lineRule="auto"/>
        <w:ind w:firstLine="720"/>
      </w:pPr>
      <w:r>
        <w:t>Drawing on Mauss’s theory of</w:t>
      </w:r>
      <w:r>
        <w:rPr>
          <w:i/>
        </w:rPr>
        <w:t xml:space="preserve"> </w:t>
      </w:r>
      <w:r w:rsidRPr="00F249EA">
        <w:rPr>
          <w:iCs/>
        </w:rPr>
        <w:t>the gift</w:t>
      </w:r>
      <w:r>
        <w:t xml:space="preserve">, we can interpret ritual offerings given at the Temple of Delphi as transactions within a reciprocal system between mortals and divine powers. At Delphi, the consultation process was highly regulated, proceeding through a sequence of sacrificial stages, beginning at the outer precincts and culminating in the inner sanctum where the Pythia delivered Apollo’s response. These offerings were part of a structured exchange in which supplicants gave </w:t>
      </w:r>
      <w:proofErr w:type="gramStart"/>
      <w:r>
        <w:t>in order to</w:t>
      </w:r>
      <w:proofErr w:type="gramEnd"/>
      <w:r>
        <w:t xml:space="preserve"> receive.</w:t>
      </w:r>
      <w:r>
        <w:rPr>
          <w:vertAlign w:val="superscript"/>
        </w:rPr>
        <w:footnoteReference w:id="37"/>
      </w:r>
      <w:r>
        <w:t xml:space="preserve"> In </w:t>
      </w:r>
      <w:proofErr w:type="spellStart"/>
      <w:r>
        <w:t>Maussian</w:t>
      </w:r>
      <w:proofErr w:type="spellEnd"/>
      <w:r>
        <w:t xml:space="preserve"> terms, the gift established a bond of obligation, inviting a response from the divine realm in the form of oracular knowledge, protection, or favor. The act of giving publicly, often in view of other pilgrims or civic leaders, also reinforced social cohesion and visibly demonstrated one’s piety, status, or allegiance to the gods. Thus, the offering functioned both theologically and socially, binding the worshipper into a network of divine reciprocity and communal belonging.</w:t>
      </w:r>
    </w:p>
    <w:p w14:paraId="00000034" w14:textId="77777777" w:rsidR="00694F06" w:rsidRPr="00F249EA" w:rsidRDefault="00000000" w:rsidP="00CB015A">
      <w:pPr>
        <w:spacing w:before="240" w:after="240" w:line="240" w:lineRule="auto"/>
        <w:jc w:val="center"/>
        <w:rPr>
          <w:bCs/>
          <w:i/>
          <w:iCs/>
          <w:color w:val="000000"/>
        </w:rPr>
      </w:pPr>
      <w:r w:rsidRPr="00F249EA">
        <w:rPr>
          <w:bCs/>
          <w:i/>
          <w:iCs/>
          <w:color w:val="000000"/>
        </w:rPr>
        <w:t>Case Study 2: Curse Tablets (</w:t>
      </w:r>
      <w:proofErr w:type="spellStart"/>
      <w:r w:rsidRPr="00F249EA">
        <w:rPr>
          <w:bCs/>
          <w:i/>
          <w:iCs/>
          <w:color w:val="000000"/>
        </w:rPr>
        <w:t>Katadesmoi</w:t>
      </w:r>
      <w:proofErr w:type="spellEnd"/>
      <w:r w:rsidRPr="00F249EA">
        <w:rPr>
          <w:bCs/>
          <w:i/>
          <w:iCs/>
          <w:color w:val="000000"/>
        </w:rPr>
        <w:t>) in Everyday Life</w:t>
      </w:r>
    </w:p>
    <w:p w14:paraId="00000035" w14:textId="46F97E26" w:rsidR="00694F06" w:rsidRDefault="00000000" w:rsidP="00CB015A">
      <w:pPr>
        <w:spacing w:before="240" w:after="240" w:line="240" w:lineRule="auto"/>
        <w:ind w:firstLine="720"/>
      </w:pPr>
      <w:r>
        <w:t>While oracles functioned in authorized and often communal settings, curse tablets</w:t>
      </w:r>
      <w:r w:rsidR="00702EBB">
        <w:t xml:space="preserve"> — </w:t>
      </w:r>
      <w:r>
        <w:t xml:space="preserve">known as </w:t>
      </w:r>
      <w:proofErr w:type="spellStart"/>
      <w:r>
        <w:rPr>
          <w:i/>
        </w:rPr>
        <w:t>katadesmoi</w:t>
      </w:r>
      <w:proofErr w:type="spellEnd"/>
      <w:r>
        <w:t xml:space="preserve"> in Greek</w:t>
      </w:r>
      <w:r w:rsidR="00702EBB">
        <w:t xml:space="preserve"> — </w:t>
      </w:r>
      <w:r>
        <w:t xml:space="preserve">represent a contrasting form of magical engagement, likely </w:t>
      </w:r>
      <w:r>
        <w:lastRenderedPageBreak/>
        <w:t>conducted in private and often in secret.</w:t>
      </w:r>
      <w:r>
        <w:rPr>
          <w:vertAlign w:val="superscript"/>
        </w:rPr>
        <w:footnoteReference w:id="38"/>
      </w:r>
      <w:r>
        <w:t xml:space="preserve"> Curse tablets were typically made of thin, rectangular sheets of lead, often measuring only a few inches across. The surfaces were inscribed with a stylus, then frequently rolled, folded, or pierced with nails before being deposited.</w:t>
      </w:r>
      <w:r>
        <w:rPr>
          <w:vertAlign w:val="superscript"/>
        </w:rPr>
        <w:footnoteReference w:id="39"/>
      </w:r>
      <w:r>
        <w:t xml:space="preserve"> These sheets were inscribed with formulaic appeals to underworld spirits or deities, requesting that the named target be bound, harmed, or otherwise influenced.</w:t>
      </w:r>
      <w:r>
        <w:rPr>
          <w:vertAlign w:val="superscript"/>
        </w:rPr>
        <w:footnoteReference w:id="40"/>
      </w:r>
      <w:r>
        <w:t xml:space="preserve"> Unlike oracular rituals that invited divine clarity, </w:t>
      </w:r>
      <w:proofErr w:type="spellStart"/>
      <w:r>
        <w:rPr>
          <w:i/>
        </w:rPr>
        <w:t>katadesmoi</w:t>
      </w:r>
      <w:proofErr w:type="spellEnd"/>
      <w:r>
        <w:t xml:space="preserve"> were frequently buried in graves, wells, sanctuaries of chthonic deities, or other liminal zones thought to channel underworld power, emphasizing their clandestine and transgressive nature.</w:t>
      </w:r>
      <w:r>
        <w:rPr>
          <w:vertAlign w:val="superscript"/>
        </w:rPr>
        <w:footnoteReference w:id="41"/>
      </w:r>
      <w:r>
        <w:t xml:space="preserve"> Despite this secrecy, these practices were far from arbitrary: they followed recognizable linguistic conventions and ritual structures, reflecting shared cultural expectations about how magic worked.</w:t>
      </w:r>
    </w:p>
    <w:p w14:paraId="00000036" w14:textId="6C695576" w:rsidR="00694F06" w:rsidRDefault="00000000" w:rsidP="00CB015A">
      <w:pPr>
        <w:spacing w:before="240" w:after="240" w:line="240" w:lineRule="auto"/>
        <w:ind w:firstLine="720"/>
      </w:pPr>
      <w:r>
        <w:t xml:space="preserve">Frazer’s theory of sympathetic magic offers a valuable lens through which to interpret these texts. Many curse tablets operated through symbolic associations, aiming to affect the target through acts of ritual correspondence. By writing the victim’s name, often with physical descriptions or kinship details, and burying the tablet in a place associated with death, the practitioner enacted a type of </w:t>
      </w:r>
      <w:r>
        <w:rPr>
          <w:i/>
        </w:rPr>
        <w:t>homeopathic</w:t>
      </w:r>
      <w:r>
        <w:t xml:space="preserve"> or </w:t>
      </w:r>
      <w:r>
        <w:rPr>
          <w:i/>
        </w:rPr>
        <w:t>contagious</w:t>
      </w:r>
      <w:r>
        <w:t xml:space="preserve"> magic: </w:t>
      </w:r>
      <w:r w:rsidR="00612D92">
        <w:t xml:space="preserve">a </w:t>
      </w:r>
      <w:r>
        <w:t>symbolic action meant to mirror or effect real-world consequences.</w:t>
      </w:r>
      <w:r>
        <w:rPr>
          <w:vertAlign w:val="superscript"/>
        </w:rPr>
        <w:footnoteReference w:id="42"/>
      </w:r>
    </w:p>
    <w:p w14:paraId="00000039" w14:textId="46F1107A" w:rsidR="00694F06" w:rsidRDefault="00000000" w:rsidP="00CB015A">
      <w:pPr>
        <w:spacing w:before="240" w:after="240" w:line="240" w:lineRule="auto"/>
        <w:ind w:firstLine="720"/>
      </w:pPr>
      <w:r>
        <w:t xml:space="preserve">For example, a tablet from </w:t>
      </w:r>
      <w:r w:rsidR="00612D92">
        <w:t>fourth</w:t>
      </w:r>
      <w:r>
        <w:t xml:space="preserve">-century </w:t>
      </w:r>
      <w:r w:rsidRPr="00F249EA">
        <w:rPr>
          <w:smallCaps/>
        </w:rPr>
        <w:t>BCE</w:t>
      </w:r>
      <w:r>
        <w:t xml:space="preserve"> Athens reads:</w:t>
      </w:r>
      <w:r w:rsidR="00DC7475">
        <w:rPr>
          <w:i/>
        </w:rPr>
        <w:t xml:space="preserve"> </w:t>
      </w:r>
      <w:r w:rsidR="00DC7475" w:rsidRPr="00F249EA">
        <w:rPr>
          <w:iCs/>
        </w:rPr>
        <w:t>‘</w:t>
      </w:r>
      <w:r w:rsidRPr="00F249EA">
        <w:rPr>
          <w:iCs/>
        </w:rPr>
        <w:t>Bind down Theodora in her limbs, in her soul, in her acts, and in her words</w:t>
      </w:r>
      <w:proofErr w:type="gramStart"/>
      <w:r w:rsidRPr="00F249EA">
        <w:rPr>
          <w:iCs/>
        </w:rPr>
        <w:t>.</w:t>
      </w:r>
      <w:proofErr w:type="gramEnd"/>
      <w:r w:rsidRPr="00F249EA">
        <w:rPr>
          <w:iCs/>
        </w:rPr>
        <w:t xml:space="preserve"> May she not be able to stand against me in court.</w:t>
      </w:r>
      <w:r w:rsidR="00DC7475" w:rsidRPr="00F249EA">
        <w:rPr>
          <w:iCs/>
        </w:rPr>
        <w:t>’</w:t>
      </w:r>
      <w:r>
        <w:rPr>
          <w:vertAlign w:val="superscript"/>
        </w:rPr>
        <w:footnoteReference w:id="43"/>
      </w:r>
      <w:r w:rsidR="00DC7475">
        <w:t xml:space="preserve"> </w:t>
      </w:r>
      <w:r>
        <w:t>This demonstrates the logic of sympathetic magic. By targeting the body, speech, and agency of the named individual, the practitioner sought to render her powerless through symbolic manipulation. Repetitive phrases, binding verbs, folded tablets, pierced surfaces, and the invocation of specific chthonic powers all reflect a belief in the ritual potency of parallel structures and symbolic manipulation.</w:t>
      </w:r>
    </w:p>
    <w:p w14:paraId="0000003A" w14:textId="567B6C51" w:rsidR="00694F06" w:rsidRDefault="00000000" w:rsidP="00CB015A">
      <w:pPr>
        <w:spacing w:before="240" w:after="240" w:line="240" w:lineRule="auto"/>
        <w:ind w:firstLine="720"/>
      </w:pPr>
      <w:r>
        <w:t xml:space="preserve">Malinowski’s functionalist framework helps to contextualize the enduring appeal of these practices. Curse tablets offered a means of extrajudicial recourse, allowing individuals to assert control over personal conflicts. Whether in matters of love, rivalry, litigation, or business, </w:t>
      </w:r>
      <w:r w:rsidR="00612D92">
        <w:t>magical practice</w:t>
      </w:r>
      <w:r w:rsidR="0020044E">
        <w:t>s</w:t>
      </w:r>
      <w:r>
        <w:t xml:space="preserve"> provided a culturally sanctioned mechanism for taking justice into one’s own hands.</w:t>
      </w:r>
      <w:r>
        <w:rPr>
          <w:vertAlign w:val="superscript"/>
        </w:rPr>
        <w:footnoteReference w:id="44"/>
      </w:r>
      <w:r>
        <w:t xml:space="preserve"> They served both as expressions of private emotion and as ritualized strategies for addressing structural imbalance</w:t>
      </w:r>
      <w:r w:rsidR="005567E3">
        <w:t xml:space="preserve"> and</w:t>
      </w:r>
      <w:r>
        <w:t xml:space="preserve"> </w:t>
      </w:r>
      <w:proofErr w:type="gramStart"/>
      <w:r>
        <w:t>reveal</w:t>
      </w:r>
      <w:proofErr w:type="gramEnd"/>
      <w:r>
        <w:t xml:space="preserve"> a world in which unseen forces were not only acknowledged but were actively engaged with</w:t>
      </w:r>
      <w:r w:rsidR="00612D92">
        <w:t>.</w:t>
      </w:r>
      <w:r>
        <w:t xml:space="preserve"> </w:t>
      </w:r>
    </w:p>
    <w:p w14:paraId="0000003B" w14:textId="77777777" w:rsidR="00694F06" w:rsidRDefault="00000000" w:rsidP="00CB015A">
      <w:pPr>
        <w:spacing w:line="240" w:lineRule="auto"/>
        <w:jc w:val="center"/>
        <w:rPr>
          <w:b/>
        </w:rPr>
      </w:pPr>
      <w:r>
        <w:rPr>
          <w:b/>
        </w:rPr>
        <w:t>Conclusion</w:t>
      </w:r>
    </w:p>
    <w:p w14:paraId="0000003C" w14:textId="538C760D" w:rsidR="00694F06" w:rsidRDefault="00295DEB" w:rsidP="00CB015A">
      <w:pPr>
        <w:spacing w:before="240" w:after="240" w:line="240" w:lineRule="auto"/>
        <w:ind w:firstLine="720"/>
      </w:pPr>
      <w:r>
        <w:t xml:space="preserve">As this essay has illustrated, anthropological theories provide illuminating tools for understanding magic and divination in antiquity. Far from being primitive superstitions or irrational holdovers from pre-scientific societies, these practices emerge as coherent systems embedded within the social, religious, and symbolic structures of ancient life. While early </w:t>
      </w:r>
      <w:r>
        <w:lastRenderedPageBreak/>
        <w:t>anthropologists, such as Frazer, often approached magical rites through an evolutionary lens, viewing them as precursors to religion or science, later scholars like Malinowski and Mauss offered more nuanced interpretations that help situate these practices within their specific cultural contexts. Their frameworks remain especially valuable for scholars of antiquity seeking to move beyond textual analysis and toward a fuller understanding of lived ritual experience.</w:t>
      </w:r>
    </w:p>
    <w:p w14:paraId="0000003D" w14:textId="4E99AD2F" w:rsidR="00694F06" w:rsidRDefault="00000000" w:rsidP="00CB015A">
      <w:pPr>
        <w:spacing w:before="240" w:after="240" w:line="240" w:lineRule="auto"/>
        <w:ind w:firstLine="720"/>
      </w:pPr>
      <w:r>
        <w:t xml:space="preserve">The theories of Frazer, Malinowski, and Mauss each offer distinct yet complementary approaches to analyzing ancient </w:t>
      </w:r>
      <w:proofErr w:type="gramStart"/>
      <w:r>
        <w:t>ritual</w:t>
      </w:r>
      <w:proofErr w:type="gramEnd"/>
      <w:r>
        <w:t xml:space="preserve">. Frazer’s theory of sympathetic magic, grounded in principles of similarity and contact, helps to decode the logic underlying practices like </w:t>
      </w:r>
      <w:r w:rsidR="00295DEB">
        <w:t xml:space="preserve">the use of </w:t>
      </w:r>
      <w:r>
        <w:t xml:space="preserve">curse tablets, which rely on symbolic associations between words, bodies, and sacred spaces. Malinowski’s functionalism emphasizes the psychological and social purposes of ritual, illuminating how oracular consultations helped communities manage uncertainty and affirm collective values. </w:t>
      </w:r>
      <w:r w:rsidR="00295DEB">
        <w:t xml:space="preserve">Finally, </w:t>
      </w:r>
      <w:r>
        <w:t>Mauss’s theory of</w:t>
      </w:r>
      <w:r>
        <w:rPr>
          <w:i/>
        </w:rPr>
        <w:t xml:space="preserve"> </w:t>
      </w:r>
      <w:r w:rsidRPr="00F249EA">
        <w:rPr>
          <w:iCs/>
        </w:rPr>
        <w:t>the gift</w:t>
      </w:r>
      <w:r>
        <w:rPr>
          <w:i/>
        </w:rPr>
        <w:t xml:space="preserve"> </w:t>
      </w:r>
      <w:r>
        <w:t>reveals the social reciprocity embedded in acts of ritual offering, as seen in the structured consultations at Delphi, where sacrifice and exchange forged bonds not only between humans and the divine, but among civic actors and the broader community. Together, these theories offer a toolkit for tracing how belief was translated into action, and how those actions carried meaning far beyond their immediate effects.</w:t>
      </w:r>
    </w:p>
    <w:p w14:paraId="0000003E" w14:textId="7895C374" w:rsidR="00694F06" w:rsidRDefault="00000000" w:rsidP="00CB015A">
      <w:pPr>
        <w:spacing w:before="240" w:after="240" w:line="240" w:lineRule="auto"/>
        <w:ind w:firstLine="720"/>
      </w:pPr>
      <w:r>
        <w:t>As demonstrated through the case studies examined, these anthropological insights reveal the deeper cultural logic behind magical and divinatory practices. Oracular practices at sites like Delphi show how divination was not merely about prediction, but about negotiating meaning, authority, and cosmic order through ritually mediated encounters with the divine. Similarly, the use of curse tablets (</w:t>
      </w:r>
      <w:proofErr w:type="spellStart"/>
      <w:r w:rsidRPr="00F249EA">
        <w:rPr>
          <w:i/>
          <w:iCs/>
        </w:rPr>
        <w:t>katadesmoi</w:t>
      </w:r>
      <w:proofErr w:type="spellEnd"/>
      <w:r>
        <w:t xml:space="preserve">) in the Greco-Roman world reflects a complex moral and symbolic economy. These texts, often deposited in secret and associated with marginalized individuals, reveal how ritual action provided a sanctioned outlet for social grievance and a means of reclaiming agency within rigid hierarchies. In both cases, anthropological theories help illuminate the underlying cultural logic, </w:t>
      </w:r>
      <w:r w:rsidR="00295DEB">
        <w:t>whether in a</w:t>
      </w:r>
      <w:r>
        <w:t xml:space="preserve"> psychological, symbolic, or structural</w:t>
      </w:r>
      <w:r w:rsidR="00295DEB">
        <w:t xml:space="preserve"> sense</w:t>
      </w:r>
      <w:r>
        <w:t>, that governed these practices.</w:t>
      </w:r>
    </w:p>
    <w:p w14:paraId="0000003F" w14:textId="640FF5B6" w:rsidR="00694F06" w:rsidRDefault="00000000" w:rsidP="00CB015A">
      <w:pPr>
        <w:spacing w:before="240" w:after="240" w:line="240" w:lineRule="auto"/>
        <w:ind w:firstLine="720"/>
      </w:pPr>
      <w:r>
        <w:t xml:space="preserve">Moreover, these theories allow us to draw cross-cultural parallels, identifying broader patterns across time and space. While this essay focused on Greco-Roman practices, the presence of liminal spaces, reciprocal transactions, and encoded symbolic gestures appears across many ancient traditions, suggesting the broad cultural significance of these ritual motifs. Anthropological inquiry thus enables scholars to discern not only what ancient people did, but also why they did it, and how those actions reinforced, challenged, or reimagined the worlds they inhabited. In </w:t>
      </w:r>
      <w:r w:rsidR="00295DEB">
        <w:t>demonstrating this</w:t>
      </w:r>
      <w:r>
        <w:t xml:space="preserve">, this essay has </w:t>
      </w:r>
      <w:r w:rsidR="00DC7475">
        <w:t>shown the</w:t>
      </w:r>
      <w:r>
        <w:t xml:space="preserve"> continued relevance of anthropological frameworks for the study of ancient magic and divination.</w:t>
      </w:r>
    </w:p>
    <w:p w14:paraId="00000040" w14:textId="531B0844" w:rsidR="00694F06" w:rsidRDefault="00000000" w:rsidP="00CB015A">
      <w:pPr>
        <w:spacing w:before="240" w:after="240" w:line="240" w:lineRule="auto"/>
        <w:ind w:firstLine="720"/>
      </w:pPr>
      <w:r>
        <w:t xml:space="preserve">Ultimately, magic and divination in antiquity were not peripheral phenomena; they were central to how people understood causality, power, fate, and the divine. </w:t>
      </w:r>
      <w:r w:rsidR="00295DEB">
        <w:t xml:space="preserve">Using </w:t>
      </w:r>
      <w:r>
        <w:t>the lens of anthropology better equi</w:t>
      </w:r>
      <w:r w:rsidR="00295DEB">
        <w:t>ps us</w:t>
      </w:r>
      <w:r>
        <w:t xml:space="preserve"> to recover the intellectual and emotional worlds of </w:t>
      </w:r>
      <w:r w:rsidR="00295DEB">
        <w:t>these people</w:t>
      </w:r>
      <w:r>
        <w:t xml:space="preserve">. </w:t>
      </w:r>
      <w:r w:rsidR="00295DEB">
        <w:t>Thus</w:t>
      </w:r>
      <w:r>
        <w:t>, we not only study ancient practices but also begin to understand ancient lives.</w:t>
      </w:r>
    </w:p>
    <w:p w14:paraId="00000041" w14:textId="77777777" w:rsidR="00694F06" w:rsidRDefault="00694F06">
      <w:pPr>
        <w:jc w:val="center"/>
      </w:pPr>
    </w:p>
    <w:p w14:paraId="00000042" w14:textId="77777777" w:rsidR="00694F06" w:rsidRDefault="00694F06">
      <w:pPr>
        <w:ind w:firstLine="720"/>
      </w:pPr>
    </w:p>
    <w:p w14:paraId="00000043" w14:textId="77777777" w:rsidR="00694F06" w:rsidRDefault="00000000">
      <w:r>
        <w:br w:type="page"/>
      </w:r>
    </w:p>
    <w:p w14:paraId="00000044" w14:textId="77777777" w:rsidR="00694F06" w:rsidRDefault="00000000">
      <w:pPr>
        <w:jc w:val="center"/>
        <w:rPr>
          <w:b/>
        </w:rPr>
      </w:pPr>
      <w:r>
        <w:rPr>
          <w:b/>
        </w:rPr>
        <w:lastRenderedPageBreak/>
        <w:t>Bibliography</w:t>
      </w:r>
    </w:p>
    <w:p w14:paraId="3A052576" w14:textId="1302DA33" w:rsidR="000E2695" w:rsidRPr="00F249EA" w:rsidRDefault="000E2695" w:rsidP="000E2695">
      <w:pPr>
        <w:pBdr>
          <w:top w:val="nil"/>
          <w:left w:val="nil"/>
          <w:bottom w:val="nil"/>
          <w:right w:val="nil"/>
          <w:between w:val="nil"/>
        </w:pBdr>
        <w:spacing w:before="0" w:after="240" w:line="360" w:lineRule="auto"/>
        <w:ind w:left="720" w:hanging="720"/>
        <w:rPr>
          <w:color w:val="000000"/>
        </w:rPr>
      </w:pPr>
      <w:r>
        <w:rPr>
          <w:color w:val="000000"/>
        </w:rPr>
        <w:t xml:space="preserve">Bell, Catherine, </w:t>
      </w:r>
      <w:r w:rsidRPr="00E31FCA">
        <w:rPr>
          <w:i/>
          <w:iCs/>
          <w:color w:val="000000"/>
        </w:rPr>
        <w:t xml:space="preserve">Ritual. Perspectives </w:t>
      </w:r>
      <w:r>
        <w:rPr>
          <w:i/>
          <w:iCs/>
          <w:color w:val="000000"/>
        </w:rPr>
        <w:t>a</w:t>
      </w:r>
      <w:r w:rsidRPr="00E31FCA">
        <w:rPr>
          <w:i/>
          <w:iCs/>
          <w:color w:val="000000"/>
        </w:rPr>
        <w:t>nd Dimensions</w:t>
      </w:r>
      <w:r w:rsidRPr="00C81B3D">
        <w:rPr>
          <w:color w:val="000000"/>
        </w:rPr>
        <w:t xml:space="preserve"> </w:t>
      </w:r>
      <w:r>
        <w:rPr>
          <w:color w:val="000000"/>
        </w:rPr>
        <w:t>(Oxford University Press, 1997)</w:t>
      </w:r>
    </w:p>
    <w:p w14:paraId="56636C78" w14:textId="77777777" w:rsidR="00C81B3D" w:rsidRDefault="00C81B3D" w:rsidP="00F249EA">
      <w:pPr>
        <w:pBdr>
          <w:top w:val="nil"/>
          <w:left w:val="nil"/>
          <w:bottom w:val="nil"/>
          <w:right w:val="nil"/>
          <w:between w:val="nil"/>
        </w:pBdr>
        <w:spacing w:before="0" w:after="240" w:line="360" w:lineRule="auto"/>
        <w:ind w:left="709" w:hanging="709"/>
        <w:rPr>
          <w:color w:val="000000"/>
        </w:rPr>
      </w:pPr>
      <w:r w:rsidRPr="00C81B3D">
        <w:rPr>
          <w:color w:val="000000"/>
        </w:rPr>
        <w:t xml:space="preserve">Bowden, Hugh, </w:t>
      </w:r>
      <w:r w:rsidRPr="00F249EA">
        <w:rPr>
          <w:i/>
          <w:iCs/>
          <w:color w:val="000000"/>
        </w:rPr>
        <w:t>Classical Athens and the Delphic Oracle: Divination and Democracy</w:t>
      </w:r>
      <w:r w:rsidRPr="00C81B3D">
        <w:rPr>
          <w:color w:val="000000"/>
        </w:rPr>
        <w:t xml:space="preserve"> (Cambridge University Press, 2005)</w:t>
      </w:r>
    </w:p>
    <w:p w14:paraId="7FC5601B" w14:textId="7D731F35" w:rsidR="00702EBB" w:rsidRPr="00C81B3D" w:rsidRDefault="00702EBB" w:rsidP="00F249EA">
      <w:pPr>
        <w:pBdr>
          <w:top w:val="nil"/>
          <w:left w:val="nil"/>
          <w:bottom w:val="nil"/>
          <w:right w:val="nil"/>
          <w:between w:val="nil"/>
        </w:pBdr>
        <w:spacing w:before="0" w:after="240" w:line="360" w:lineRule="auto"/>
        <w:ind w:left="709" w:hanging="709"/>
        <w:rPr>
          <w:color w:val="000000"/>
        </w:rPr>
      </w:pPr>
      <w:r>
        <w:t xml:space="preserve">Brown, Nina, Thomas McIlwraith, and Laura </w:t>
      </w:r>
      <w:proofErr w:type="spellStart"/>
      <w:r>
        <w:t>Tubelle</w:t>
      </w:r>
      <w:proofErr w:type="spellEnd"/>
      <w:r>
        <w:t xml:space="preserve"> de González (ed),</w:t>
      </w:r>
      <w:r w:rsidRPr="00C81B3D">
        <w:rPr>
          <w:color w:val="000000"/>
        </w:rPr>
        <w:t xml:space="preserve"> </w:t>
      </w:r>
      <w:r w:rsidRPr="00E31FCA">
        <w:rPr>
          <w:i/>
          <w:iCs/>
          <w:color w:val="000000"/>
        </w:rPr>
        <w:t>Perspectives: An Open Introduction to Cultural Anthropology</w:t>
      </w:r>
      <w:r w:rsidRPr="00C81B3D">
        <w:rPr>
          <w:color w:val="000000"/>
        </w:rPr>
        <w:t xml:space="preserve">, 2nd </w:t>
      </w:r>
      <w:proofErr w:type="spellStart"/>
      <w:r>
        <w:rPr>
          <w:color w:val="000000"/>
        </w:rPr>
        <w:t>edn</w:t>
      </w:r>
      <w:proofErr w:type="spellEnd"/>
      <w:r>
        <w:rPr>
          <w:color w:val="000000"/>
        </w:rPr>
        <w:t xml:space="preserve"> (American Anthropological Association, 2020)</w:t>
      </w:r>
    </w:p>
    <w:p w14:paraId="57C90059" w14:textId="765EC645" w:rsidR="00C81B3D" w:rsidRPr="00C81B3D" w:rsidRDefault="00C81B3D" w:rsidP="00C81B3D">
      <w:pPr>
        <w:pBdr>
          <w:top w:val="nil"/>
          <w:left w:val="nil"/>
          <w:bottom w:val="nil"/>
          <w:right w:val="nil"/>
          <w:between w:val="nil"/>
        </w:pBdr>
        <w:spacing w:before="0" w:after="240" w:line="360" w:lineRule="auto"/>
        <w:ind w:left="720" w:hanging="720"/>
        <w:rPr>
          <w:color w:val="000000"/>
        </w:rPr>
      </w:pPr>
      <w:r w:rsidRPr="00C81B3D">
        <w:rPr>
          <w:color w:val="000000"/>
        </w:rPr>
        <w:t xml:space="preserve">Flower, Michael </w:t>
      </w:r>
      <w:proofErr w:type="spellStart"/>
      <w:r w:rsidRPr="00C81B3D">
        <w:rPr>
          <w:color w:val="000000"/>
        </w:rPr>
        <w:t>Attyah</w:t>
      </w:r>
      <w:proofErr w:type="spellEnd"/>
      <w:r w:rsidRPr="00C81B3D">
        <w:rPr>
          <w:color w:val="000000"/>
        </w:rPr>
        <w:t xml:space="preserve">, </w:t>
      </w:r>
      <w:r w:rsidRPr="00F249EA">
        <w:rPr>
          <w:i/>
          <w:iCs/>
          <w:color w:val="000000"/>
        </w:rPr>
        <w:t>The Seer in Ancient Greece</w:t>
      </w:r>
      <w:r w:rsidRPr="00C81B3D">
        <w:rPr>
          <w:color w:val="000000"/>
        </w:rPr>
        <w:t xml:space="preserve">, 1st </w:t>
      </w:r>
      <w:proofErr w:type="spellStart"/>
      <w:r w:rsidRPr="00C81B3D">
        <w:rPr>
          <w:color w:val="000000"/>
        </w:rPr>
        <w:t>edn</w:t>
      </w:r>
      <w:proofErr w:type="spellEnd"/>
      <w:r w:rsidRPr="00C81B3D">
        <w:rPr>
          <w:color w:val="000000"/>
        </w:rPr>
        <w:t xml:space="preserve"> (University of California Press, 2007) </w:t>
      </w:r>
    </w:p>
    <w:p w14:paraId="551F417B" w14:textId="0A360F49" w:rsidR="00C81B3D" w:rsidRPr="00C81B3D" w:rsidRDefault="00C81B3D" w:rsidP="00C81B3D">
      <w:pPr>
        <w:pBdr>
          <w:top w:val="nil"/>
          <w:left w:val="nil"/>
          <w:bottom w:val="nil"/>
          <w:right w:val="nil"/>
          <w:between w:val="nil"/>
        </w:pBdr>
        <w:spacing w:before="0" w:after="240" w:line="360" w:lineRule="auto"/>
        <w:ind w:left="720" w:hanging="720"/>
        <w:rPr>
          <w:color w:val="000000"/>
        </w:rPr>
      </w:pPr>
      <w:r w:rsidRPr="00C81B3D">
        <w:rPr>
          <w:color w:val="000000"/>
        </w:rPr>
        <w:t xml:space="preserve">Franek, Juraj, and Daniela </w:t>
      </w:r>
      <w:proofErr w:type="spellStart"/>
      <w:r w:rsidRPr="00C81B3D">
        <w:rPr>
          <w:color w:val="000000"/>
        </w:rPr>
        <w:t>Urbanova</w:t>
      </w:r>
      <w:proofErr w:type="spellEnd"/>
      <w:r w:rsidRPr="00C81B3D">
        <w:rPr>
          <w:color w:val="000000"/>
        </w:rPr>
        <w:t xml:space="preserve">, ‘“May Their Limbs Melt, Just as This Lead Shall Melt…”: Sympathetic Magic and Similia </w:t>
      </w:r>
      <w:proofErr w:type="spellStart"/>
      <w:r w:rsidRPr="00C81B3D">
        <w:rPr>
          <w:color w:val="000000"/>
        </w:rPr>
        <w:t>Similibus</w:t>
      </w:r>
      <w:proofErr w:type="spellEnd"/>
      <w:r w:rsidRPr="00C81B3D">
        <w:rPr>
          <w:color w:val="000000"/>
        </w:rPr>
        <w:t xml:space="preserve"> Formulae in Greek and Latin Curse Tablets (Part 1)’, </w:t>
      </w:r>
      <w:proofErr w:type="spellStart"/>
      <w:r w:rsidRPr="00F249EA">
        <w:rPr>
          <w:i/>
          <w:iCs/>
          <w:color w:val="000000"/>
        </w:rPr>
        <w:t>Philologia</w:t>
      </w:r>
      <w:proofErr w:type="spellEnd"/>
      <w:r w:rsidRPr="00F249EA">
        <w:rPr>
          <w:i/>
          <w:iCs/>
          <w:color w:val="000000"/>
        </w:rPr>
        <w:t xml:space="preserve"> Classica</w:t>
      </w:r>
      <w:r w:rsidR="002A198A" w:rsidRPr="00F249EA">
        <w:rPr>
          <w:color w:val="000000"/>
        </w:rPr>
        <w:t xml:space="preserve">, </w:t>
      </w:r>
      <w:r w:rsidR="002A198A">
        <w:rPr>
          <w:i/>
          <w:iCs/>
        </w:rPr>
        <w:t>14</w:t>
      </w:r>
      <w:r w:rsidR="002A198A">
        <w:t>(1)</w:t>
      </w:r>
      <w:r w:rsidR="002A198A" w:rsidRPr="002A198A">
        <w:rPr>
          <w:color w:val="000000"/>
        </w:rPr>
        <w:t xml:space="preserve"> </w:t>
      </w:r>
      <w:r w:rsidR="002A198A" w:rsidRPr="00F249EA">
        <w:rPr>
          <w:color w:val="000000"/>
        </w:rPr>
        <w:t>(2019)</w:t>
      </w:r>
      <w:r w:rsidR="002A198A">
        <w:rPr>
          <w:color w:val="000000"/>
        </w:rPr>
        <w:t>,</w:t>
      </w:r>
      <w:r w:rsidR="002A198A" w:rsidRPr="002A198A">
        <w:rPr>
          <w:i/>
          <w:iCs/>
        </w:rPr>
        <w:t xml:space="preserve"> </w:t>
      </w:r>
      <w:r w:rsidR="002A198A">
        <w:t>27–55</w:t>
      </w:r>
      <w:r w:rsidR="002A198A">
        <w:rPr>
          <w:color w:val="000000"/>
        </w:rPr>
        <w:t>.</w:t>
      </w:r>
      <w:r w:rsidRPr="00C81B3D">
        <w:rPr>
          <w:color w:val="000000"/>
        </w:rPr>
        <w:t xml:space="preserve"> doi:10.21638/11701/SPBU20.2019.103</w:t>
      </w:r>
    </w:p>
    <w:p w14:paraId="2B1FDBC9" w14:textId="77777777" w:rsidR="00C81B3D" w:rsidRPr="00C81B3D" w:rsidRDefault="00C81B3D" w:rsidP="00C81B3D">
      <w:pPr>
        <w:pBdr>
          <w:top w:val="nil"/>
          <w:left w:val="nil"/>
          <w:bottom w:val="nil"/>
          <w:right w:val="nil"/>
          <w:between w:val="nil"/>
        </w:pBdr>
        <w:spacing w:before="0" w:after="240" w:line="360" w:lineRule="auto"/>
        <w:ind w:left="720" w:hanging="720"/>
        <w:rPr>
          <w:color w:val="000000"/>
        </w:rPr>
      </w:pPr>
      <w:r w:rsidRPr="00C81B3D">
        <w:rPr>
          <w:color w:val="000000"/>
        </w:rPr>
        <w:t xml:space="preserve">Frazer, James George, </w:t>
      </w:r>
      <w:r w:rsidRPr="00F249EA">
        <w:rPr>
          <w:i/>
          <w:iCs/>
          <w:color w:val="000000"/>
        </w:rPr>
        <w:t>The Golden Bough: A Study in Magic and Religion</w:t>
      </w:r>
      <w:r w:rsidRPr="00C81B3D">
        <w:rPr>
          <w:color w:val="000000"/>
        </w:rPr>
        <w:t xml:space="preserve"> (Macmillan, 1922)</w:t>
      </w:r>
    </w:p>
    <w:p w14:paraId="003F682B" w14:textId="77777777" w:rsidR="00C81B3D" w:rsidRPr="00C81B3D" w:rsidRDefault="00C81B3D" w:rsidP="00C81B3D">
      <w:pPr>
        <w:pBdr>
          <w:top w:val="nil"/>
          <w:left w:val="nil"/>
          <w:bottom w:val="nil"/>
          <w:right w:val="nil"/>
          <w:between w:val="nil"/>
        </w:pBdr>
        <w:spacing w:before="0" w:after="240" w:line="360" w:lineRule="auto"/>
        <w:ind w:left="720" w:hanging="720"/>
        <w:rPr>
          <w:color w:val="000000"/>
        </w:rPr>
      </w:pPr>
      <w:r w:rsidRPr="00C81B3D">
        <w:rPr>
          <w:color w:val="000000"/>
        </w:rPr>
        <w:t xml:space="preserve">Gager, John G. (ed.), </w:t>
      </w:r>
      <w:r w:rsidRPr="00F249EA">
        <w:rPr>
          <w:i/>
          <w:iCs/>
          <w:color w:val="000000"/>
        </w:rPr>
        <w:t>Curse Tablets and Binding Spells from the Ancient World</w:t>
      </w:r>
      <w:r w:rsidRPr="00C81B3D">
        <w:rPr>
          <w:color w:val="000000"/>
        </w:rPr>
        <w:t xml:space="preserve"> (Oxford University Press, 1999)</w:t>
      </w:r>
    </w:p>
    <w:p w14:paraId="1B8BEB4D" w14:textId="1382E62F" w:rsidR="00C81B3D" w:rsidRDefault="00C81B3D" w:rsidP="00C81B3D">
      <w:pPr>
        <w:pBdr>
          <w:top w:val="nil"/>
          <w:left w:val="nil"/>
          <w:bottom w:val="nil"/>
          <w:right w:val="nil"/>
          <w:between w:val="nil"/>
        </w:pBdr>
        <w:spacing w:before="0" w:after="240" w:line="360" w:lineRule="auto"/>
        <w:ind w:left="720" w:hanging="720"/>
        <w:rPr>
          <w:color w:val="000000"/>
        </w:rPr>
      </w:pPr>
      <w:r w:rsidRPr="00C81B3D">
        <w:rPr>
          <w:color w:val="000000"/>
        </w:rPr>
        <w:t xml:space="preserve">Geertz, Clifford, </w:t>
      </w:r>
      <w:r w:rsidRPr="00F249EA">
        <w:rPr>
          <w:i/>
          <w:iCs/>
          <w:color w:val="000000"/>
        </w:rPr>
        <w:t>The Interpretation of Cultures; Selected Essays</w:t>
      </w:r>
      <w:r w:rsidRPr="00C81B3D">
        <w:rPr>
          <w:color w:val="000000"/>
        </w:rPr>
        <w:t xml:space="preserve"> (New York, Basic Books, 1973) </w:t>
      </w:r>
    </w:p>
    <w:p w14:paraId="5C5E9C53" w14:textId="08AD8541" w:rsidR="00B120A9" w:rsidRPr="00C81B3D" w:rsidRDefault="00B120A9" w:rsidP="00C81B3D">
      <w:pPr>
        <w:pBdr>
          <w:top w:val="nil"/>
          <w:left w:val="nil"/>
          <w:bottom w:val="nil"/>
          <w:right w:val="nil"/>
          <w:between w:val="nil"/>
        </w:pBdr>
        <w:spacing w:before="0" w:after="240" w:line="360" w:lineRule="auto"/>
        <w:ind w:left="720" w:hanging="720"/>
        <w:rPr>
          <w:color w:val="000000"/>
        </w:rPr>
      </w:pPr>
      <w:r w:rsidRPr="00C81B3D">
        <w:rPr>
          <w:color w:val="000000"/>
        </w:rPr>
        <w:t>Herodotus</w:t>
      </w:r>
      <w:r>
        <w:rPr>
          <w:color w:val="000000"/>
        </w:rPr>
        <w:t xml:space="preserve">, </w:t>
      </w:r>
      <w:r w:rsidRPr="00C81B3D">
        <w:rPr>
          <w:color w:val="000000"/>
        </w:rPr>
        <w:t>Book I: Chapters 45</w:t>
      </w:r>
      <w:r>
        <w:rPr>
          <w:color w:val="000000"/>
        </w:rPr>
        <w:t>–</w:t>
      </w:r>
      <w:r w:rsidRPr="00C81B3D">
        <w:rPr>
          <w:color w:val="000000"/>
        </w:rPr>
        <w:t>140</w:t>
      </w:r>
      <w:r>
        <w:rPr>
          <w:color w:val="000000"/>
        </w:rPr>
        <w:t xml:space="preserve"> (Loeb Classical Library, 1920)</w:t>
      </w:r>
    </w:p>
    <w:p w14:paraId="61CEACDB" w14:textId="6E01374D" w:rsidR="00C81B3D" w:rsidRPr="00C81B3D" w:rsidRDefault="00C81B3D" w:rsidP="00C81B3D">
      <w:pPr>
        <w:pBdr>
          <w:top w:val="nil"/>
          <w:left w:val="nil"/>
          <w:bottom w:val="nil"/>
          <w:right w:val="nil"/>
          <w:between w:val="nil"/>
        </w:pBdr>
        <w:spacing w:before="0" w:after="240" w:line="360" w:lineRule="auto"/>
        <w:ind w:left="720" w:hanging="720"/>
        <w:rPr>
          <w:color w:val="000000"/>
        </w:rPr>
      </w:pPr>
      <w:r w:rsidRPr="00C81B3D">
        <w:rPr>
          <w:color w:val="000000"/>
        </w:rPr>
        <w:t xml:space="preserve">Herzfeld, Michael, ‘Anthropology: A Practice of Theory’, </w:t>
      </w:r>
      <w:r w:rsidRPr="00F249EA">
        <w:rPr>
          <w:i/>
          <w:iCs/>
          <w:color w:val="000000"/>
        </w:rPr>
        <w:t>International Social Science Journal</w:t>
      </w:r>
      <w:r w:rsidR="002A198A">
        <w:rPr>
          <w:color w:val="000000"/>
        </w:rPr>
        <w:t>,</w:t>
      </w:r>
      <w:r w:rsidR="002A198A">
        <w:rPr>
          <w:i/>
          <w:iCs/>
          <w:color w:val="000000"/>
        </w:rPr>
        <w:t xml:space="preserve"> </w:t>
      </w:r>
      <w:r w:rsidR="002A198A">
        <w:rPr>
          <w:color w:val="000000"/>
        </w:rPr>
        <w:t xml:space="preserve">49 (1997), </w:t>
      </w:r>
      <w:r w:rsidR="00A56423">
        <w:rPr>
          <w:color w:val="000000"/>
        </w:rPr>
        <w:t>301–318</w:t>
      </w:r>
      <w:r w:rsidR="002A198A">
        <w:rPr>
          <w:color w:val="000000"/>
        </w:rPr>
        <w:t>.</w:t>
      </w:r>
      <w:r w:rsidRPr="00C81B3D">
        <w:rPr>
          <w:color w:val="000000"/>
        </w:rPr>
        <w:t xml:space="preserve"> doi:10.1111/J.1468-</w:t>
      </w:r>
      <w:proofErr w:type="gramStart"/>
      <w:r w:rsidRPr="00C81B3D">
        <w:rPr>
          <w:color w:val="000000"/>
        </w:rPr>
        <w:t>2451.1997.TB</w:t>
      </w:r>
      <w:proofErr w:type="gramEnd"/>
      <w:r w:rsidRPr="00C81B3D">
        <w:rPr>
          <w:color w:val="000000"/>
        </w:rPr>
        <w:t>00025.X</w:t>
      </w:r>
    </w:p>
    <w:p w14:paraId="7BBFC763" w14:textId="67A404B9" w:rsidR="00C81B3D" w:rsidRPr="00C81B3D" w:rsidRDefault="00C81B3D" w:rsidP="00B120A9">
      <w:pPr>
        <w:pBdr>
          <w:top w:val="nil"/>
          <w:left w:val="nil"/>
          <w:bottom w:val="nil"/>
          <w:right w:val="nil"/>
          <w:between w:val="nil"/>
        </w:pBdr>
        <w:spacing w:before="0" w:after="240" w:line="360" w:lineRule="auto"/>
        <w:ind w:left="720" w:hanging="720"/>
        <w:rPr>
          <w:color w:val="000000"/>
        </w:rPr>
      </w:pPr>
      <w:r w:rsidRPr="00C81B3D">
        <w:rPr>
          <w:color w:val="000000"/>
        </w:rPr>
        <w:t xml:space="preserve">Johnston, Sarah Iles, </w:t>
      </w:r>
      <w:r w:rsidRPr="00F249EA">
        <w:rPr>
          <w:i/>
          <w:iCs/>
          <w:color w:val="000000"/>
        </w:rPr>
        <w:t>Ancient Greek Divination</w:t>
      </w:r>
      <w:r w:rsidRPr="00C81B3D">
        <w:rPr>
          <w:color w:val="000000"/>
        </w:rPr>
        <w:t xml:space="preserve"> (John Wiley &amp; Sons, 2008) </w:t>
      </w:r>
    </w:p>
    <w:p w14:paraId="07512943" w14:textId="61F97C96" w:rsidR="00C81B3D" w:rsidRPr="00C81B3D" w:rsidRDefault="00C81B3D" w:rsidP="00C81B3D">
      <w:pPr>
        <w:pBdr>
          <w:top w:val="nil"/>
          <w:left w:val="nil"/>
          <w:bottom w:val="nil"/>
          <w:right w:val="nil"/>
          <w:between w:val="nil"/>
        </w:pBdr>
        <w:spacing w:before="0" w:after="240" w:line="360" w:lineRule="auto"/>
        <w:ind w:left="720" w:hanging="720"/>
        <w:rPr>
          <w:color w:val="000000"/>
        </w:rPr>
      </w:pPr>
      <w:r w:rsidRPr="00C81B3D">
        <w:rPr>
          <w:color w:val="000000"/>
        </w:rPr>
        <w:t xml:space="preserve">Lehmann, Arthur C., and Janes E. Myers, </w:t>
      </w:r>
      <w:r w:rsidRPr="00F249EA">
        <w:rPr>
          <w:i/>
          <w:iCs/>
          <w:color w:val="000000"/>
        </w:rPr>
        <w:t>Magic, Witchcraft, and Religion: An Anthropological Study of The</w:t>
      </w:r>
      <w:r w:rsidR="00A56423" w:rsidRPr="00F249EA">
        <w:rPr>
          <w:i/>
          <w:iCs/>
          <w:color w:val="000000"/>
        </w:rPr>
        <w:t xml:space="preserve"> Supernatural</w:t>
      </w:r>
      <w:r w:rsidR="00A56423">
        <w:rPr>
          <w:color w:val="000000"/>
        </w:rPr>
        <w:t xml:space="preserve"> </w:t>
      </w:r>
      <w:r w:rsidRPr="00C81B3D">
        <w:rPr>
          <w:color w:val="000000"/>
        </w:rPr>
        <w:t xml:space="preserve">(Mayfield Publishing Company, </w:t>
      </w:r>
      <w:r w:rsidR="00A56423">
        <w:rPr>
          <w:color w:val="000000"/>
        </w:rPr>
        <w:t>1989</w:t>
      </w:r>
      <w:r w:rsidRPr="00C81B3D">
        <w:rPr>
          <w:color w:val="000000"/>
        </w:rPr>
        <w:t>)</w:t>
      </w:r>
    </w:p>
    <w:p w14:paraId="4FA8B266" w14:textId="3B2D6FD8" w:rsidR="00C81B3D" w:rsidRPr="00C81B3D" w:rsidRDefault="00C81B3D" w:rsidP="00C81B3D">
      <w:pPr>
        <w:pBdr>
          <w:top w:val="nil"/>
          <w:left w:val="nil"/>
          <w:bottom w:val="nil"/>
          <w:right w:val="nil"/>
          <w:between w:val="nil"/>
        </w:pBdr>
        <w:spacing w:before="0" w:after="240" w:line="360" w:lineRule="auto"/>
        <w:ind w:left="720" w:hanging="720"/>
        <w:rPr>
          <w:color w:val="000000"/>
        </w:rPr>
      </w:pPr>
      <w:r w:rsidRPr="00C81B3D">
        <w:rPr>
          <w:color w:val="000000"/>
        </w:rPr>
        <w:t xml:space="preserve">Malinowski, Bronisław, </w:t>
      </w:r>
      <w:r w:rsidRPr="00F249EA">
        <w:rPr>
          <w:i/>
          <w:iCs/>
          <w:color w:val="000000"/>
        </w:rPr>
        <w:t>Magic, Science and Religion and Other Essays</w:t>
      </w:r>
      <w:r w:rsidRPr="00C81B3D">
        <w:rPr>
          <w:color w:val="000000"/>
        </w:rPr>
        <w:t xml:space="preserve"> (Waveland Press, 1992)</w:t>
      </w:r>
    </w:p>
    <w:p w14:paraId="15D0E2B3" w14:textId="7FEE8FFA" w:rsidR="00C81B3D" w:rsidRPr="00C81B3D" w:rsidRDefault="00C81B3D" w:rsidP="00C81B3D">
      <w:pPr>
        <w:pBdr>
          <w:top w:val="nil"/>
          <w:left w:val="nil"/>
          <w:bottom w:val="nil"/>
          <w:right w:val="nil"/>
          <w:between w:val="nil"/>
        </w:pBdr>
        <w:spacing w:before="0" w:after="240" w:line="360" w:lineRule="auto"/>
        <w:ind w:left="720" w:hanging="720"/>
        <w:rPr>
          <w:color w:val="000000"/>
        </w:rPr>
      </w:pPr>
      <w:r w:rsidRPr="00C81B3D">
        <w:rPr>
          <w:color w:val="000000"/>
        </w:rPr>
        <w:lastRenderedPageBreak/>
        <w:t>Marchais-</w:t>
      </w:r>
      <w:proofErr w:type="spellStart"/>
      <w:r w:rsidRPr="00C81B3D">
        <w:rPr>
          <w:color w:val="000000"/>
        </w:rPr>
        <w:t>Roubelat</w:t>
      </w:r>
      <w:proofErr w:type="spellEnd"/>
      <w:r w:rsidRPr="00C81B3D">
        <w:rPr>
          <w:color w:val="000000"/>
        </w:rPr>
        <w:t xml:space="preserve">, Anne, and Fabrice </w:t>
      </w:r>
      <w:proofErr w:type="spellStart"/>
      <w:r w:rsidRPr="00C81B3D">
        <w:rPr>
          <w:color w:val="000000"/>
        </w:rPr>
        <w:t>Roubelat</w:t>
      </w:r>
      <w:proofErr w:type="spellEnd"/>
      <w:r w:rsidRPr="00C81B3D">
        <w:rPr>
          <w:color w:val="000000"/>
        </w:rPr>
        <w:t xml:space="preserve">, ‘The Delphi Method as a Ritual: Inquiring the Delphic Oracle’, </w:t>
      </w:r>
      <w:r w:rsidRPr="00F249EA">
        <w:rPr>
          <w:i/>
          <w:iCs/>
          <w:color w:val="000000"/>
        </w:rPr>
        <w:t>Technological Forecasting and Social Change</w:t>
      </w:r>
      <w:r w:rsidRPr="00C81B3D">
        <w:rPr>
          <w:color w:val="000000"/>
        </w:rPr>
        <w:t>, 78.9 (2011), 1491–99</w:t>
      </w:r>
      <w:r w:rsidR="00A56423">
        <w:rPr>
          <w:color w:val="000000"/>
        </w:rPr>
        <w:t>.</w:t>
      </w:r>
      <w:r w:rsidRPr="00C81B3D">
        <w:rPr>
          <w:color w:val="000000"/>
        </w:rPr>
        <w:t xml:space="preserve"> </w:t>
      </w:r>
      <w:proofErr w:type="gramStart"/>
      <w:r w:rsidRPr="00C81B3D">
        <w:rPr>
          <w:color w:val="000000"/>
        </w:rPr>
        <w:t>doi:10.1016/j.techfore</w:t>
      </w:r>
      <w:proofErr w:type="gramEnd"/>
      <w:r w:rsidRPr="00C81B3D">
        <w:rPr>
          <w:color w:val="000000"/>
        </w:rPr>
        <w:t>.2011.04.012</w:t>
      </w:r>
    </w:p>
    <w:p w14:paraId="78832A5A" w14:textId="5C0892BF" w:rsidR="00C81B3D" w:rsidRDefault="00C81B3D" w:rsidP="00C81B3D">
      <w:pPr>
        <w:pBdr>
          <w:top w:val="nil"/>
          <w:left w:val="nil"/>
          <w:bottom w:val="nil"/>
          <w:right w:val="nil"/>
          <w:between w:val="nil"/>
        </w:pBdr>
        <w:spacing w:before="0" w:after="240" w:line="360" w:lineRule="auto"/>
        <w:ind w:left="720" w:hanging="720"/>
        <w:rPr>
          <w:color w:val="000000"/>
        </w:rPr>
      </w:pPr>
      <w:r>
        <w:rPr>
          <w:color w:val="000000"/>
        </w:rPr>
        <w:t xml:space="preserve">Mauss, Marcel, </w:t>
      </w:r>
      <w:r w:rsidRPr="00E31FCA">
        <w:rPr>
          <w:i/>
          <w:iCs/>
          <w:color w:val="000000"/>
        </w:rPr>
        <w:t>A General Theory of Magic</w:t>
      </w:r>
      <w:r>
        <w:rPr>
          <w:color w:val="000000"/>
        </w:rPr>
        <w:t xml:space="preserve"> (</w:t>
      </w:r>
      <w:r w:rsidRPr="00C81B3D">
        <w:rPr>
          <w:color w:val="000000"/>
        </w:rPr>
        <w:t>Routledge &amp; CRC Press</w:t>
      </w:r>
      <w:r>
        <w:rPr>
          <w:color w:val="000000"/>
        </w:rPr>
        <w:t>, 2001)</w:t>
      </w:r>
      <w:r w:rsidRPr="00C81B3D">
        <w:rPr>
          <w:color w:val="000000"/>
        </w:rPr>
        <w:t xml:space="preserve"> </w:t>
      </w:r>
    </w:p>
    <w:p w14:paraId="0995B93C" w14:textId="2022DC8E" w:rsidR="00C81B3D" w:rsidRPr="00C81B3D" w:rsidRDefault="00C81B3D" w:rsidP="00C81B3D">
      <w:pPr>
        <w:pBdr>
          <w:top w:val="nil"/>
          <w:left w:val="nil"/>
          <w:bottom w:val="nil"/>
          <w:right w:val="nil"/>
          <w:between w:val="nil"/>
        </w:pBdr>
        <w:spacing w:before="0" w:after="240" w:line="360" w:lineRule="auto"/>
        <w:ind w:left="720" w:hanging="720"/>
        <w:rPr>
          <w:color w:val="000000"/>
        </w:rPr>
      </w:pPr>
      <w:r w:rsidRPr="00C81B3D">
        <w:rPr>
          <w:color w:val="000000"/>
        </w:rPr>
        <w:t>Mauss, Marcel</w:t>
      </w:r>
      <w:r w:rsidR="00A56423">
        <w:rPr>
          <w:color w:val="000000"/>
        </w:rPr>
        <w:t xml:space="preserve">, </w:t>
      </w:r>
      <w:r w:rsidRPr="00F249EA">
        <w:rPr>
          <w:i/>
          <w:iCs/>
          <w:color w:val="000000"/>
        </w:rPr>
        <w:t>The Gift: The Form and Reason for Exchange in Archaic Societies</w:t>
      </w:r>
      <w:r w:rsidRPr="00C81B3D">
        <w:rPr>
          <w:color w:val="000000"/>
        </w:rPr>
        <w:t xml:space="preserve"> </w:t>
      </w:r>
      <w:r>
        <w:rPr>
          <w:color w:val="000000"/>
        </w:rPr>
        <w:t>(</w:t>
      </w:r>
      <w:r w:rsidRPr="00C81B3D">
        <w:rPr>
          <w:color w:val="000000"/>
        </w:rPr>
        <w:t>Routledge</w:t>
      </w:r>
      <w:r>
        <w:rPr>
          <w:color w:val="000000"/>
        </w:rPr>
        <w:t xml:space="preserve">, 2004) </w:t>
      </w:r>
      <w:r w:rsidRPr="00C81B3D">
        <w:rPr>
          <w:color w:val="000000"/>
        </w:rPr>
        <w:t xml:space="preserve"> </w:t>
      </w:r>
    </w:p>
    <w:p w14:paraId="4FEFDBDB" w14:textId="7474099A" w:rsidR="00C81B3D" w:rsidRDefault="00C81B3D" w:rsidP="00C81B3D">
      <w:pPr>
        <w:pBdr>
          <w:top w:val="nil"/>
          <w:left w:val="nil"/>
          <w:bottom w:val="nil"/>
          <w:right w:val="nil"/>
          <w:between w:val="nil"/>
        </w:pBdr>
        <w:spacing w:before="0" w:after="240" w:line="360" w:lineRule="auto"/>
        <w:ind w:left="720" w:hanging="720"/>
        <w:rPr>
          <w:color w:val="000000"/>
        </w:rPr>
      </w:pPr>
      <w:r w:rsidRPr="00C81B3D">
        <w:rPr>
          <w:color w:val="000000"/>
        </w:rPr>
        <w:t xml:space="preserve">Parker, Robert, ‘Greek States and Greek Oracles’, </w:t>
      </w:r>
      <w:r w:rsidRPr="00F249EA">
        <w:rPr>
          <w:i/>
          <w:iCs/>
          <w:color w:val="000000"/>
        </w:rPr>
        <w:t>History of Political Thought</w:t>
      </w:r>
      <w:r w:rsidRPr="00C81B3D">
        <w:rPr>
          <w:color w:val="000000"/>
        </w:rPr>
        <w:t>, 6.1/2 (1985), 298–326</w:t>
      </w:r>
    </w:p>
    <w:p w14:paraId="7A7ABF9E" w14:textId="1CD5A1C3" w:rsidR="00B120A9" w:rsidRPr="00C81B3D" w:rsidRDefault="00B120A9" w:rsidP="00B120A9">
      <w:pPr>
        <w:pBdr>
          <w:top w:val="nil"/>
          <w:left w:val="nil"/>
          <w:bottom w:val="nil"/>
          <w:right w:val="nil"/>
          <w:between w:val="nil"/>
        </w:pBdr>
        <w:spacing w:before="0" w:after="240" w:line="360" w:lineRule="auto"/>
        <w:ind w:left="720" w:hanging="720"/>
        <w:rPr>
          <w:color w:val="000000"/>
        </w:rPr>
      </w:pPr>
      <w:r>
        <w:rPr>
          <w:color w:val="000000"/>
        </w:rPr>
        <w:t>Pinch</w:t>
      </w:r>
      <w:r w:rsidRPr="00C81B3D">
        <w:rPr>
          <w:color w:val="000000"/>
        </w:rPr>
        <w:t>,</w:t>
      </w:r>
      <w:r>
        <w:rPr>
          <w:color w:val="000000"/>
        </w:rPr>
        <w:t xml:space="preserve"> Geraldine,</w:t>
      </w:r>
      <w:r w:rsidRPr="00C81B3D">
        <w:rPr>
          <w:color w:val="000000"/>
        </w:rPr>
        <w:t xml:space="preserve"> </w:t>
      </w:r>
      <w:r w:rsidRPr="00F249EA">
        <w:rPr>
          <w:i/>
          <w:iCs/>
          <w:color w:val="000000"/>
        </w:rPr>
        <w:t xml:space="preserve">Magic </w:t>
      </w:r>
      <w:proofErr w:type="gramStart"/>
      <w:r w:rsidRPr="00F249EA">
        <w:rPr>
          <w:i/>
          <w:iCs/>
          <w:color w:val="000000"/>
        </w:rPr>
        <w:t>In</w:t>
      </w:r>
      <w:proofErr w:type="gramEnd"/>
      <w:r w:rsidRPr="00F249EA">
        <w:rPr>
          <w:i/>
          <w:iCs/>
          <w:color w:val="000000"/>
        </w:rPr>
        <w:t xml:space="preserve"> Ancient Egypt </w:t>
      </w:r>
      <w:r>
        <w:rPr>
          <w:color w:val="000000"/>
        </w:rPr>
        <w:t>(University of Texas Press, 1994)</w:t>
      </w:r>
    </w:p>
    <w:p w14:paraId="1B05DEC9" w14:textId="4BAEE83C" w:rsidR="00C81B3D" w:rsidRDefault="00C81B3D" w:rsidP="00B120A9">
      <w:pPr>
        <w:pBdr>
          <w:top w:val="nil"/>
          <w:left w:val="nil"/>
          <w:bottom w:val="nil"/>
          <w:right w:val="nil"/>
          <w:between w:val="nil"/>
        </w:pBdr>
        <w:spacing w:before="0" w:after="240" w:line="360" w:lineRule="auto"/>
        <w:ind w:left="709" w:hanging="709"/>
        <w:rPr>
          <w:color w:val="000000"/>
        </w:rPr>
      </w:pPr>
      <w:r w:rsidRPr="00C81B3D">
        <w:rPr>
          <w:color w:val="000000"/>
        </w:rPr>
        <w:t xml:space="preserve">Scheid, John, and Janet Lloyd, </w:t>
      </w:r>
      <w:r w:rsidRPr="00F249EA">
        <w:rPr>
          <w:i/>
          <w:iCs/>
          <w:color w:val="000000"/>
        </w:rPr>
        <w:t>An Introduction to Roman Religion</w:t>
      </w:r>
      <w:r w:rsidRPr="00C81B3D">
        <w:rPr>
          <w:color w:val="000000"/>
        </w:rPr>
        <w:t xml:space="preserve"> (Indiana University Press, 2003)</w:t>
      </w:r>
    </w:p>
    <w:p w14:paraId="5E4F81E7" w14:textId="77777777" w:rsidR="000E2695" w:rsidRDefault="000E2695" w:rsidP="000E2695">
      <w:pPr>
        <w:pBdr>
          <w:top w:val="nil"/>
          <w:left w:val="nil"/>
          <w:bottom w:val="nil"/>
          <w:right w:val="nil"/>
          <w:between w:val="nil"/>
        </w:pBdr>
        <w:spacing w:before="0" w:after="240" w:line="360" w:lineRule="auto"/>
        <w:ind w:left="720" w:hanging="720"/>
        <w:rPr>
          <w:color w:val="000000"/>
        </w:rPr>
      </w:pPr>
      <w:r w:rsidRPr="00C81B3D">
        <w:rPr>
          <w:color w:val="000000"/>
        </w:rPr>
        <w:t xml:space="preserve">Turner, Victor, </w:t>
      </w:r>
      <w:r w:rsidRPr="00E31FCA">
        <w:rPr>
          <w:i/>
          <w:iCs/>
          <w:color w:val="000000"/>
        </w:rPr>
        <w:t>The Ritual Process: Structure and Anti-Structure</w:t>
      </w:r>
      <w:r w:rsidRPr="00C81B3D">
        <w:rPr>
          <w:color w:val="000000"/>
        </w:rPr>
        <w:t xml:space="preserve"> (Cornell Univ</w:t>
      </w:r>
      <w:r>
        <w:rPr>
          <w:color w:val="000000"/>
        </w:rPr>
        <w:t>ersity</w:t>
      </w:r>
      <w:r w:rsidRPr="00C81B3D">
        <w:rPr>
          <w:color w:val="000000"/>
        </w:rPr>
        <w:t xml:space="preserve"> Pr</w:t>
      </w:r>
      <w:r>
        <w:rPr>
          <w:color w:val="000000"/>
        </w:rPr>
        <w:t>ess,</w:t>
      </w:r>
      <w:r w:rsidRPr="00C81B3D">
        <w:rPr>
          <w:color w:val="000000"/>
        </w:rPr>
        <w:t xml:space="preserve"> 1991)</w:t>
      </w:r>
    </w:p>
    <w:p w14:paraId="18810570" w14:textId="77777777" w:rsidR="000E2695" w:rsidRPr="00C81B3D" w:rsidRDefault="000E2695" w:rsidP="00C81B3D">
      <w:pPr>
        <w:pBdr>
          <w:top w:val="nil"/>
          <w:left w:val="nil"/>
          <w:bottom w:val="nil"/>
          <w:right w:val="nil"/>
          <w:between w:val="nil"/>
        </w:pBdr>
        <w:spacing w:before="0" w:after="240" w:line="360" w:lineRule="auto"/>
        <w:ind w:left="720" w:hanging="720"/>
        <w:rPr>
          <w:color w:val="000000"/>
        </w:rPr>
      </w:pPr>
    </w:p>
    <w:p w14:paraId="0000005B" w14:textId="43488E79" w:rsidR="00694F06" w:rsidRDefault="00694F06" w:rsidP="00C81B3D">
      <w:pPr>
        <w:pBdr>
          <w:top w:val="nil"/>
          <w:left w:val="nil"/>
          <w:bottom w:val="nil"/>
          <w:right w:val="nil"/>
          <w:between w:val="nil"/>
        </w:pBdr>
        <w:spacing w:before="0" w:after="240" w:line="360" w:lineRule="auto"/>
        <w:ind w:left="720" w:hanging="720"/>
        <w:rPr>
          <w:color w:val="000000"/>
        </w:rPr>
      </w:pPr>
    </w:p>
    <w:sectPr w:rsidR="00694F06">
      <w:head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CEBB2" w14:textId="77777777" w:rsidR="00297913" w:rsidRDefault="00297913">
      <w:pPr>
        <w:spacing w:before="0" w:after="0" w:line="240" w:lineRule="auto"/>
      </w:pPr>
      <w:r>
        <w:separator/>
      </w:r>
    </w:p>
  </w:endnote>
  <w:endnote w:type="continuationSeparator" w:id="0">
    <w:p w14:paraId="51CED704" w14:textId="77777777" w:rsidR="00297913" w:rsidRDefault="0029791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bramo Script">
    <w:panose1 w:val="02010504020101010102"/>
    <w:charset w:val="00"/>
    <w:family w:val="auto"/>
    <w:pitch w:val="variable"/>
    <w:sig w:usb0="A00000EF" w:usb1="0000204A" w:usb2="00000008" w:usb3="00000000" w:csb0="0000008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F7548" w14:textId="77777777" w:rsidR="00297913" w:rsidRDefault="00297913">
      <w:pPr>
        <w:spacing w:before="0" w:after="0" w:line="240" w:lineRule="auto"/>
      </w:pPr>
      <w:r>
        <w:separator/>
      </w:r>
    </w:p>
  </w:footnote>
  <w:footnote w:type="continuationSeparator" w:id="0">
    <w:p w14:paraId="47F745B1" w14:textId="77777777" w:rsidR="00297913" w:rsidRDefault="00297913">
      <w:pPr>
        <w:spacing w:before="0" w:after="0" w:line="240" w:lineRule="auto"/>
      </w:pPr>
      <w:r>
        <w:continuationSeparator/>
      </w:r>
    </w:p>
  </w:footnote>
  <w:footnote w:id="1">
    <w:p w14:paraId="0000005E" w14:textId="67565B71" w:rsidR="00694F06" w:rsidRDefault="00000000">
      <w:pPr>
        <w:spacing w:before="0" w:after="0" w:line="240" w:lineRule="auto"/>
        <w:rPr>
          <w:sz w:val="20"/>
          <w:szCs w:val="20"/>
        </w:rPr>
      </w:pPr>
      <w:r>
        <w:rPr>
          <w:vertAlign w:val="superscript"/>
        </w:rPr>
        <w:footnoteRef/>
      </w:r>
      <w:r>
        <w:rPr>
          <w:sz w:val="20"/>
          <w:szCs w:val="20"/>
        </w:rPr>
        <w:t xml:space="preserve"> </w:t>
      </w:r>
      <w:r w:rsidR="00B120A9">
        <w:rPr>
          <w:sz w:val="20"/>
          <w:szCs w:val="20"/>
        </w:rPr>
        <w:t xml:space="preserve">Nina </w:t>
      </w:r>
      <w:r w:rsidR="00B120A9" w:rsidRPr="00B120A9">
        <w:rPr>
          <w:sz w:val="20"/>
          <w:szCs w:val="20"/>
        </w:rPr>
        <w:t xml:space="preserve">Brown, Thomas McIlwraith, and Laura </w:t>
      </w:r>
      <w:proofErr w:type="spellStart"/>
      <w:r w:rsidR="00B120A9" w:rsidRPr="00B120A9">
        <w:rPr>
          <w:sz w:val="20"/>
          <w:szCs w:val="20"/>
        </w:rPr>
        <w:t>Tubelle</w:t>
      </w:r>
      <w:proofErr w:type="spellEnd"/>
      <w:r w:rsidR="00B120A9" w:rsidRPr="00B120A9">
        <w:rPr>
          <w:sz w:val="20"/>
          <w:szCs w:val="20"/>
        </w:rPr>
        <w:t xml:space="preserve"> de González (ed</w:t>
      </w:r>
      <w:r w:rsidR="00B120A9">
        <w:rPr>
          <w:sz w:val="20"/>
          <w:szCs w:val="20"/>
        </w:rPr>
        <w:t>s</w:t>
      </w:r>
      <w:r w:rsidR="00B120A9" w:rsidRPr="00B120A9">
        <w:rPr>
          <w:sz w:val="20"/>
          <w:szCs w:val="20"/>
        </w:rPr>
        <w:t xml:space="preserve">), </w:t>
      </w:r>
      <w:r w:rsidR="00B120A9" w:rsidRPr="00B120A9">
        <w:rPr>
          <w:i/>
          <w:iCs/>
          <w:sz w:val="20"/>
          <w:szCs w:val="20"/>
        </w:rPr>
        <w:t>Perspectives: An Open Introduction to Cultural Anthropology</w:t>
      </w:r>
      <w:r w:rsidR="00B120A9" w:rsidRPr="00B120A9">
        <w:rPr>
          <w:sz w:val="20"/>
          <w:szCs w:val="20"/>
        </w:rPr>
        <w:t xml:space="preserve">, 2nd </w:t>
      </w:r>
      <w:proofErr w:type="spellStart"/>
      <w:r w:rsidR="00B120A9" w:rsidRPr="00B120A9">
        <w:rPr>
          <w:sz w:val="20"/>
          <w:szCs w:val="20"/>
        </w:rPr>
        <w:t>edn</w:t>
      </w:r>
      <w:proofErr w:type="spellEnd"/>
      <w:r w:rsidR="00B120A9" w:rsidRPr="00B120A9">
        <w:rPr>
          <w:sz w:val="20"/>
          <w:szCs w:val="20"/>
        </w:rPr>
        <w:t xml:space="preserve"> (American Anthropological Association, 2020)</w:t>
      </w:r>
      <w:r w:rsidR="00B120A9">
        <w:rPr>
          <w:sz w:val="20"/>
          <w:szCs w:val="20"/>
        </w:rPr>
        <w:t>.</w:t>
      </w:r>
      <w:r w:rsidR="00B120A9" w:rsidDel="00B120A9">
        <w:t xml:space="preserve"> </w:t>
      </w:r>
    </w:p>
  </w:footnote>
  <w:footnote w:id="2">
    <w:p w14:paraId="0000005F" w14:textId="178D3A35" w:rsidR="00694F06" w:rsidRDefault="00000000">
      <w:pPr>
        <w:spacing w:before="0" w:after="0" w:line="240" w:lineRule="auto"/>
        <w:rPr>
          <w:sz w:val="20"/>
          <w:szCs w:val="20"/>
        </w:rPr>
      </w:pPr>
      <w:r>
        <w:rPr>
          <w:vertAlign w:val="superscript"/>
        </w:rPr>
        <w:footnoteRef/>
      </w:r>
      <w:r>
        <w:rPr>
          <w:sz w:val="20"/>
          <w:szCs w:val="20"/>
        </w:rPr>
        <w:t xml:space="preserve"> </w:t>
      </w:r>
      <w:r w:rsidR="00C675A3">
        <w:rPr>
          <w:sz w:val="20"/>
          <w:szCs w:val="20"/>
        </w:rPr>
        <w:t xml:space="preserve">Michael </w:t>
      </w:r>
      <w:r w:rsidR="00C675A3" w:rsidRPr="00C675A3">
        <w:rPr>
          <w:sz w:val="20"/>
          <w:szCs w:val="20"/>
        </w:rPr>
        <w:t xml:space="preserve">Herzfeld, ‘Anthropology: A Practice of Theory’, </w:t>
      </w:r>
      <w:r w:rsidR="00C675A3" w:rsidRPr="00C675A3">
        <w:rPr>
          <w:i/>
          <w:iCs/>
          <w:sz w:val="20"/>
          <w:szCs w:val="20"/>
        </w:rPr>
        <w:t>International Social Science Journal</w:t>
      </w:r>
      <w:r w:rsidR="00C675A3" w:rsidRPr="00C675A3">
        <w:rPr>
          <w:sz w:val="20"/>
          <w:szCs w:val="20"/>
        </w:rPr>
        <w:t>,</w:t>
      </w:r>
      <w:r w:rsidR="00C675A3" w:rsidRPr="00C675A3">
        <w:rPr>
          <w:i/>
          <w:iCs/>
          <w:sz w:val="20"/>
          <w:szCs w:val="20"/>
        </w:rPr>
        <w:t xml:space="preserve"> </w:t>
      </w:r>
      <w:r w:rsidR="00C675A3" w:rsidRPr="00C675A3">
        <w:rPr>
          <w:sz w:val="20"/>
          <w:szCs w:val="20"/>
        </w:rPr>
        <w:t>49 (1997), 301–318</w:t>
      </w:r>
      <w:r w:rsidR="00C675A3">
        <w:rPr>
          <w:sz w:val="20"/>
          <w:szCs w:val="20"/>
        </w:rPr>
        <w:t>.</w:t>
      </w:r>
    </w:p>
  </w:footnote>
  <w:footnote w:id="3">
    <w:p w14:paraId="00000060" w14:textId="0006DBA9" w:rsidR="00694F06" w:rsidRDefault="00000000">
      <w:pPr>
        <w:spacing w:before="0" w:after="0" w:line="240" w:lineRule="auto"/>
        <w:rPr>
          <w:sz w:val="20"/>
          <w:szCs w:val="20"/>
        </w:rPr>
      </w:pPr>
      <w:r>
        <w:rPr>
          <w:vertAlign w:val="superscript"/>
        </w:rPr>
        <w:footnoteRef/>
      </w:r>
      <w:r>
        <w:rPr>
          <w:sz w:val="20"/>
          <w:szCs w:val="20"/>
        </w:rPr>
        <w:t xml:space="preserve"> </w:t>
      </w:r>
      <w:r w:rsidR="00C675A3" w:rsidRPr="00C675A3">
        <w:rPr>
          <w:sz w:val="20"/>
          <w:szCs w:val="20"/>
        </w:rPr>
        <w:t>Clifford</w:t>
      </w:r>
      <w:r w:rsidR="00C675A3">
        <w:rPr>
          <w:sz w:val="20"/>
          <w:szCs w:val="20"/>
        </w:rPr>
        <w:t xml:space="preserve"> Geertz</w:t>
      </w:r>
      <w:r w:rsidR="00C675A3" w:rsidRPr="00C675A3">
        <w:rPr>
          <w:sz w:val="20"/>
          <w:szCs w:val="20"/>
        </w:rPr>
        <w:t xml:space="preserve">, </w:t>
      </w:r>
      <w:r w:rsidR="00C675A3" w:rsidRPr="00C675A3">
        <w:rPr>
          <w:i/>
          <w:iCs/>
          <w:sz w:val="20"/>
          <w:szCs w:val="20"/>
        </w:rPr>
        <w:t>The Interpretation of Cultures; Selected Essays</w:t>
      </w:r>
      <w:r w:rsidR="00C675A3" w:rsidRPr="00C675A3">
        <w:rPr>
          <w:sz w:val="20"/>
          <w:szCs w:val="20"/>
        </w:rPr>
        <w:t xml:space="preserve"> (New York, Basic Books, 1973) </w:t>
      </w:r>
    </w:p>
  </w:footnote>
  <w:footnote w:id="4">
    <w:p w14:paraId="00000061" w14:textId="48CEE750" w:rsidR="00694F06" w:rsidRDefault="00000000">
      <w:pPr>
        <w:spacing w:before="0" w:after="0" w:line="240" w:lineRule="auto"/>
        <w:rPr>
          <w:sz w:val="20"/>
          <w:szCs w:val="20"/>
        </w:rPr>
      </w:pPr>
      <w:r>
        <w:rPr>
          <w:vertAlign w:val="superscript"/>
        </w:rPr>
        <w:footnoteRef/>
      </w:r>
      <w:r>
        <w:rPr>
          <w:sz w:val="20"/>
          <w:szCs w:val="20"/>
        </w:rPr>
        <w:t xml:space="preserve"> </w:t>
      </w:r>
      <w:r w:rsidR="00C675A3" w:rsidRPr="00C675A3">
        <w:rPr>
          <w:sz w:val="20"/>
          <w:szCs w:val="20"/>
        </w:rPr>
        <w:t xml:space="preserve">Turner, Victor, </w:t>
      </w:r>
      <w:r w:rsidR="00C675A3" w:rsidRPr="00C675A3">
        <w:rPr>
          <w:i/>
          <w:iCs/>
          <w:sz w:val="20"/>
          <w:szCs w:val="20"/>
        </w:rPr>
        <w:t>The Ritual Process: Structure and Anti-Structure</w:t>
      </w:r>
      <w:r w:rsidR="00C675A3" w:rsidRPr="00C675A3">
        <w:rPr>
          <w:sz w:val="20"/>
          <w:szCs w:val="20"/>
        </w:rPr>
        <w:t xml:space="preserve"> (Cornell University Press, 1991)</w:t>
      </w:r>
      <w:r w:rsidR="00C675A3">
        <w:rPr>
          <w:sz w:val="20"/>
          <w:szCs w:val="20"/>
        </w:rPr>
        <w:t>.</w:t>
      </w:r>
    </w:p>
  </w:footnote>
  <w:footnote w:id="5">
    <w:p w14:paraId="00000065" w14:textId="4FA05E88" w:rsidR="00694F06" w:rsidRDefault="00000000">
      <w:pPr>
        <w:spacing w:before="0" w:after="0" w:line="240" w:lineRule="auto"/>
        <w:rPr>
          <w:sz w:val="20"/>
          <w:szCs w:val="20"/>
        </w:rPr>
      </w:pPr>
      <w:r>
        <w:rPr>
          <w:vertAlign w:val="superscript"/>
        </w:rPr>
        <w:footnoteRef/>
      </w:r>
      <w:r>
        <w:rPr>
          <w:sz w:val="20"/>
          <w:szCs w:val="20"/>
        </w:rPr>
        <w:t xml:space="preserve"> </w:t>
      </w:r>
      <w:hyperlink r:id="rId1">
        <w:r w:rsidR="00460D55">
          <w:rPr>
            <w:sz w:val="20"/>
            <w:szCs w:val="20"/>
          </w:rPr>
          <w:t>Bronisław</w:t>
        </w:r>
        <w:r>
          <w:rPr>
            <w:sz w:val="20"/>
            <w:szCs w:val="20"/>
          </w:rPr>
          <w:t xml:space="preserve"> Malinowski, </w:t>
        </w:r>
      </w:hyperlink>
      <w:r w:rsidR="00C675A3">
        <w:rPr>
          <w:i/>
          <w:sz w:val="20"/>
          <w:szCs w:val="20"/>
        </w:rPr>
        <w:t>Magic, Science and Religion and Other Essays</w:t>
      </w:r>
      <w:hyperlink r:id="rId2">
        <w:r w:rsidR="00694F06">
          <w:rPr>
            <w:sz w:val="20"/>
            <w:szCs w:val="20"/>
          </w:rPr>
          <w:t xml:space="preserve"> (Waveland Press, 1992), p. 1.</w:t>
        </w:r>
      </w:hyperlink>
    </w:p>
  </w:footnote>
  <w:footnote w:id="6">
    <w:p w14:paraId="00000062" w14:textId="74457C82" w:rsidR="00694F06" w:rsidRDefault="00000000">
      <w:pPr>
        <w:spacing w:before="0" w:after="0" w:line="240" w:lineRule="auto"/>
        <w:rPr>
          <w:sz w:val="20"/>
          <w:szCs w:val="20"/>
        </w:rPr>
      </w:pPr>
      <w:r>
        <w:rPr>
          <w:vertAlign w:val="superscript"/>
        </w:rPr>
        <w:footnoteRef/>
      </w:r>
      <w:r>
        <w:rPr>
          <w:sz w:val="20"/>
          <w:szCs w:val="20"/>
        </w:rPr>
        <w:t xml:space="preserve"> </w:t>
      </w:r>
      <w:r w:rsidR="00C675A3">
        <w:rPr>
          <w:sz w:val="20"/>
          <w:szCs w:val="20"/>
        </w:rPr>
        <w:t xml:space="preserve">James George Frazer, </w:t>
      </w:r>
      <w:r w:rsidR="00C675A3">
        <w:rPr>
          <w:i/>
          <w:sz w:val="20"/>
          <w:szCs w:val="20"/>
        </w:rPr>
        <w:t>The Golden Bough: A Study in Magic and Religion</w:t>
      </w:r>
      <w:hyperlink r:id="rId3">
        <w:r w:rsidR="00694F06">
          <w:rPr>
            <w:sz w:val="20"/>
            <w:szCs w:val="20"/>
          </w:rPr>
          <w:t xml:space="preserve"> (Macmillan, 1922), pp. 12–16.</w:t>
        </w:r>
      </w:hyperlink>
    </w:p>
  </w:footnote>
  <w:footnote w:id="7">
    <w:p w14:paraId="00000063" w14:textId="5574FD7A" w:rsidR="00694F06" w:rsidRDefault="00000000">
      <w:pPr>
        <w:spacing w:before="0" w:after="0" w:line="240" w:lineRule="auto"/>
        <w:rPr>
          <w:sz w:val="20"/>
          <w:szCs w:val="20"/>
        </w:rPr>
      </w:pPr>
      <w:r>
        <w:rPr>
          <w:vertAlign w:val="superscript"/>
        </w:rPr>
        <w:footnoteRef/>
      </w:r>
      <w:r>
        <w:rPr>
          <w:sz w:val="20"/>
          <w:szCs w:val="20"/>
        </w:rPr>
        <w:t xml:space="preserve"> </w:t>
      </w:r>
      <w:hyperlink r:id="rId4">
        <w:r w:rsidR="00694F06">
          <w:rPr>
            <w:sz w:val="20"/>
            <w:szCs w:val="20"/>
          </w:rPr>
          <w:t xml:space="preserve">Marcel Mauss, </w:t>
        </w:r>
      </w:hyperlink>
      <w:r w:rsidR="00C675A3">
        <w:rPr>
          <w:i/>
          <w:sz w:val="20"/>
          <w:szCs w:val="20"/>
        </w:rPr>
        <w:t>The Gift: The Form and Reason for Exchange in Archaic Societies</w:t>
      </w:r>
      <w:r w:rsidR="00C675A3">
        <w:rPr>
          <w:sz w:val="20"/>
          <w:szCs w:val="20"/>
        </w:rPr>
        <w:t xml:space="preserve"> (Routledge, 2004). </w:t>
      </w:r>
    </w:p>
  </w:footnote>
  <w:footnote w:id="8">
    <w:p w14:paraId="00000066" w14:textId="4D51FDFB" w:rsidR="00694F06" w:rsidRDefault="00000000">
      <w:pPr>
        <w:spacing w:before="0" w:after="0" w:line="240" w:lineRule="auto"/>
        <w:rPr>
          <w:sz w:val="20"/>
          <w:szCs w:val="20"/>
        </w:rPr>
      </w:pPr>
      <w:r>
        <w:rPr>
          <w:vertAlign w:val="superscript"/>
        </w:rPr>
        <w:footnoteRef/>
      </w:r>
      <w:r>
        <w:rPr>
          <w:sz w:val="20"/>
          <w:szCs w:val="20"/>
        </w:rPr>
        <w:t xml:space="preserve"> </w:t>
      </w:r>
      <w:r w:rsidR="00D34AC3">
        <w:rPr>
          <w:sz w:val="20"/>
          <w:szCs w:val="20"/>
        </w:rPr>
        <w:t xml:space="preserve">Malinowski, p. </w:t>
      </w:r>
      <w:r w:rsidR="00CB015A">
        <w:rPr>
          <w:sz w:val="20"/>
          <w:szCs w:val="20"/>
        </w:rPr>
        <w:t>70</w:t>
      </w:r>
      <w:hyperlink r:id="rId5">
        <w:r w:rsidR="00694F06">
          <w:rPr>
            <w:sz w:val="20"/>
            <w:szCs w:val="20"/>
          </w:rPr>
          <w:t>.</w:t>
        </w:r>
      </w:hyperlink>
    </w:p>
  </w:footnote>
  <w:footnote w:id="9">
    <w:p w14:paraId="00000067" w14:textId="1A1954EC" w:rsidR="00694F06" w:rsidRDefault="00000000">
      <w:pPr>
        <w:spacing w:before="0" w:after="0" w:line="240" w:lineRule="auto"/>
        <w:rPr>
          <w:sz w:val="20"/>
          <w:szCs w:val="20"/>
        </w:rPr>
      </w:pPr>
      <w:r>
        <w:rPr>
          <w:vertAlign w:val="superscript"/>
        </w:rPr>
        <w:footnoteRef/>
      </w:r>
      <w:r>
        <w:rPr>
          <w:sz w:val="20"/>
          <w:szCs w:val="20"/>
        </w:rPr>
        <w:t xml:space="preserve"> </w:t>
      </w:r>
      <w:r w:rsidR="00C675A3">
        <w:rPr>
          <w:sz w:val="20"/>
          <w:szCs w:val="20"/>
        </w:rPr>
        <w:t>Geertz, pp. 89–91.</w:t>
      </w:r>
    </w:p>
  </w:footnote>
  <w:footnote w:id="10">
    <w:p w14:paraId="00000068" w14:textId="305C0ECA" w:rsidR="00694F06" w:rsidRDefault="00000000">
      <w:pPr>
        <w:spacing w:before="0" w:after="0" w:line="240" w:lineRule="auto"/>
        <w:rPr>
          <w:sz w:val="20"/>
          <w:szCs w:val="20"/>
        </w:rPr>
      </w:pPr>
      <w:r>
        <w:rPr>
          <w:vertAlign w:val="superscript"/>
        </w:rPr>
        <w:footnoteRef/>
      </w:r>
      <w:r>
        <w:rPr>
          <w:sz w:val="20"/>
          <w:szCs w:val="20"/>
        </w:rPr>
        <w:t xml:space="preserve"> </w:t>
      </w:r>
      <w:r w:rsidR="00C675A3">
        <w:rPr>
          <w:sz w:val="20"/>
          <w:szCs w:val="20"/>
        </w:rPr>
        <w:t>Frazer, pp. 11–12.</w:t>
      </w:r>
    </w:p>
  </w:footnote>
  <w:footnote w:id="11">
    <w:p w14:paraId="00000069" w14:textId="01BCBD27" w:rsidR="00694F06" w:rsidRDefault="00000000">
      <w:pPr>
        <w:spacing w:before="0" w:after="0" w:line="240" w:lineRule="auto"/>
        <w:rPr>
          <w:sz w:val="20"/>
          <w:szCs w:val="20"/>
        </w:rPr>
      </w:pPr>
      <w:r>
        <w:rPr>
          <w:vertAlign w:val="superscript"/>
        </w:rPr>
        <w:footnoteRef/>
      </w:r>
      <w:r>
        <w:rPr>
          <w:sz w:val="20"/>
          <w:szCs w:val="20"/>
        </w:rPr>
        <w:t xml:space="preserve"> </w:t>
      </w:r>
      <w:r w:rsidR="00C675A3">
        <w:rPr>
          <w:sz w:val="20"/>
          <w:szCs w:val="20"/>
        </w:rPr>
        <w:t>Malinowski, pp. 13–16.</w:t>
      </w:r>
    </w:p>
  </w:footnote>
  <w:footnote w:id="12">
    <w:p w14:paraId="0000006B" w14:textId="2839BD47" w:rsidR="00694F06" w:rsidRDefault="00000000">
      <w:pPr>
        <w:spacing w:before="0" w:after="0" w:line="240" w:lineRule="auto"/>
        <w:rPr>
          <w:sz w:val="20"/>
          <w:szCs w:val="20"/>
        </w:rPr>
      </w:pPr>
      <w:r>
        <w:rPr>
          <w:vertAlign w:val="superscript"/>
        </w:rPr>
        <w:footnoteRef/>
      </w:r>
      <w:r>
        <w:rPr>
          <w:sz w:val="20"/>
          <w:szCs w:val="20"/>
        </w:rPr>
        <w:t xml:space="preserve"> </w:t>
      </w:r>
      <w:r w:rsidR="00C675A3" w:rsidRPr="00F249EA">
        <w:rPr>
          <w:sz w:val="20"/>
          <w:szCs w:val="20"/>
        </w:rPr>
        <w:t>Geertz, pp. 6–10.</w:t>
      </w:r>
    </w:p>
  </w:footnote>
  <w:footnote w:id="13">
    <w:p w14:paraId="0000006D" w14:textId="45E1E82D" w:rsidR="00694F06" w:rsidRDefault="00000000">
      <w:pPr>
        <w:spacing w:before="0" w:after="0" w:line="240" w:lineRule="auto"/>
        <w:rPr>
          <w:sz w:val="20"/>
          <w:szCs w:val="20"/>
        </w:rPr>
      </w:pPr>
      <w:r>
        <w:rPr>
          <w:vertAlign w:val="superscript"/>
        </w:rPr>
        <w:footnoteRef/>
      </w:r>
      <w:r>
        <w:rPr>
          <w:sz w:val="20"/>
          <w:szCs w:val="20"/>
        </w:rPr>
        <w:t xml:space="preserve"> </w:t>
      </w:r>
      <w:r w:rsidR="00C675A3" w:rsidRPr="00F249EA">
        <w:rPr>
          <w:sz w:val="20"/>
          <w:szCs w:val="20"/>
        </w:rPr>
        <w:t xml:space="preserve">Arthur C. Lehmann and Janes E. Myers, </w:t>
      </w:r>
      <w:r w:rsidR="00C675A3" w:rsidRPr="00F249EA">
        <w:rPr>
          <w:i/>
          <w:iCs/>
          <w:sz w:val="20"/>
          <w:szCs w:val="20"/>
        </w:rPr>
        <w:t xml:space="preserve">Magic, Witchcraft, and Religion: </w:t>
      </w:r>
      <w:r w:rsidR="00C675A3" w:rsidRPr="00C675A3">
        <w:rPr>
          <w:i/>
          <w:iCs/>
          <w:sz w:val="20"/>
          <w:szCs w:val="20"/>
        </w:rPr>
        <w:t xml:space="preserve">An Anthropological Study of The Supernatural </w:t>
      </w:r>
      <w:r w:rsidR="00C675A3" w:rsidRPr="00F249EA">
        <w:rPr>
          <w:sz w:val="20"/>
          <w:szCs w:val="20"/>
        </w:rPr>
        <w:t>(Mayfield Publishing Company, 1989), p. 74.</w:t>
      </w:r>
    </w:p>
  </w:footnote>
  <w:footnote w:id="14">
    <w:p w14:paraId="0000008E" w14:textId="31EAB6F3" w:rsidR="00694F06" w:rsidRDefault="00000000">
      <w:pPr>
        <w:spacing w:before="0" w:after="0" w:line="240" w:lineRule="auto"/>
        <w:rPr>
          <w:sz w:val="20"/>
          <w:szCs w:val="20"/>
        </w:rPr>
      </w:pPr>
      <w:r>
        <w:rPr>
          <w:vertAlign w:val="superscript"/>
        </w:rPr>
        <w:footnoteRef/>
      </w:r>
      <w:r>
        <w:rPr>
          <w:sz w:val="20"/>
          <w:szCs w:val="20"/>
        </w:rPr>
        <w:t xml:space="preserve"> </w:t>
      </w:r>
      <w:r w:rsidR="00C675A3" w:rsidRPr="00F249EA">
        <w:rPr>
          <w:sz w:val="20"/>
          <w:szCs w:val="20"/>
        </w:rPr>
        <w:t xml:space="preserve">Sarah Iles Johnston, </w:t>
      </w:r>
      <w:r w:rsidR="00C675A3" w:rsidRPr="00F249EA">
        <w:rPr>
          <w:i/>
          <w:iCs/>
          <w:sz w:val="20"/>
          <w:szCs w:val="20"/>
        </w:rPr>
        <w:t>Ancient Greek Divination</w:t>
      </w:r>
      <w:r w:rsidR="00C675A3" w:rsidRPr="00F249EA">
        <w:rPr>
          <w:sz w:val="20"/>
          <w:szCs w:val="20"/>
        </w:rPr>
        <w:t xml:space="preserve"> (John Wiley &amp; Sons, 2008), </w:t>
      </w:r>
      <w:proofErr w:type="spellStart"/>
      <w:r w:rsidR="00C675A3" w:rsidRPr="00F249EA">
        <w:rPr>
          <w:sz w:val="20"/>
          <w:szCs w:val="20"/>
        </w:rPr>
        <w:t>chs</w:t>
      </w:r>
      <w:proofErr w:type="spellEnd"/>
      <w:r w:rsidR="00C675A3" w:rsidRPr="00F249EA">
        <w:rPr>
          <w:sz w:val="20"/>
          <w:szCs w:val="20"/>
        </w:rPr>
        <w:t xml:space="preserve"> 2–4.</w:t>
      </w:r>
    </w:p>
  </w:footnote>
  <w:footnote w:id="15">
    <w:p w14:paraId="0000007C" w14:textId="0E62B9D6" w:rsidR="00694F06" w:rsidRDefault="00000000">
      <w:pPr>
        <w:spacing w:before="0" w:after="0" w:line="240" w:lineRule="auto"/>
        <w:rPr>
          <w:sz w:val="20"/>
          <w:szCs w:val="20"/>
        </w:rPr>
      </w:pPr>
      <w:r>
        <w:rPr>
          <w:vertAlign w:val="superscript"/>
        </w:rPr>
        <w:footnoteRef/>
      </w:r>
      <w:r>
        <w:rPr>
          <w:sz w:val="20"/>
          <w:szCs w:val="20"/>
        </w:rPr>
        <w:t xml:space="preserve"> </w:t>
      </w:r>
      <w:r w:rsidR="00D34AC3">
        <w:rPr>
          <w:sz w:val="20"/>
          <w:szCs w:val="20"/>
        </w:rPr>
        <w:t xml:space="preserve">Catherine </w:t>
      </w:r>
      <w:r w:rsidR="00C675A3" w:rsidRPr="00C675A3">
        <w:rPr>
          <w:sz w:val="20"/>
          <w:szCs w:val="20"/>
        </w:rPr>
        <w:t xml:space="preserve">Bell, </w:t>
      </w:r>
      <w:r w:rsidR="00C675A3" w:rsidRPr="00C675A3">
        <w:rPr>
          <w:i/>
          <w:iCs/>
          <w:sz w:val="20"/>
          <w:szCs w:val="20"/>
        </w:rPr>
        <w:t>Ritual. Perspectives and Dimensions</w:t>
      </w:r>
      <w:r w:rsidR="00C675A3" w:rsidRPr="00C675A3">
        <w:rPr>
          <w:sz w:val="20"/>
          <w:szCs w:val="20"/>
        </w:rPr>
        <w:t xml:space="preserve"> (Oxford University Press, 1997)</w:t>
      </w:r>
      <w:r w:rsidR="00C675A3">
        <w:rPr>
          <w:sz w:val="20"/>
          <w:szCs w:val="20"/>
        </w:rPr>
        <w:t>, p.</w:t>
      </w:r>
      <w:r w:rsidR="00D34AC3">
        <w:rPr>
          <w:sz w:val="20"/>
          <w:szCs w:val="20"/>
        </w:rPr>
        <w:t xml:space="preserve"> </w:t>
      </w:r>
      <w:r w:rsidR="00C675A3">
        <w:rPr>
          <w:sz w:val="20"/>
          <w:szCs w:val="20"/>
        </w:rPr>
        <w:t>32.</w:t>
      </w:r>
    </w:p>
  </w:footnote>
  <w:footnote w:id="16">
    <w:p w14:paraId="0000006E" w14:textId="650AFBD1" w:rsidR="00694F06" w:rsidRDefault="00000000">
      <w:pPr>
        <w:spacing w:before="0" w:after="0" w:line="240" w:lineRule="auto"/>
        <w:rPr>
          <w:sz w:val="20"/>
          <w:szCs w:val="20"/>
        </w:rPr>
      </w:pPr>
      <w:r>
        <w:rPr>
          <w:vertAlign w:val="superscript"/>
        </w:rPr>
        <w:footnoteRef/>
      </w:r>
      <w:r>
        <w:rPr>
          <w:sz w:val="20"/>
          <w:szCs w:val="20"/>
        </w:rPr>
        <w:t xml:space="preserve"> </w:t>
      </w:r>
      <w:r w:rsidR="00D34AC3">
        <w:rPr>
          <w:sz w:val="20"/>
          <w:szCs w:val="20"/>
        </w:rPr>
        <w:t>Malinowski, pp. 13–16.</w:t>
      </w:r>
    </w:p>
  </w:footnote>
  <w:footnote w:id="17">
    <w:p w14:paraId="0000008F" w14:textId="3CC6DD26" w:rsidR="00694F06" w:rsidRDefault="00000000">
      <w:pPr>
        <w:spacing w:before="0" w:after="0" w:line="240" w:lineRule="auto"/>
        <w:rPr>
          <w:sz w:val="20"/>
          <w:szCs w:val="20"/>
        </w:rPr>
      </w:pPr>
      <w:r>
        <w:rPr>
          <w:vertAlign w:val="superscript"/>
        </w:rPr>
        <w:footnoteRef/>
      </w:r>
      <w:r>
        <w:rPr>
          <w:sz w:val="20"/>
          <w:szCs w:val="20"/>
        </w:rPr>
        <w:t xml:space="preserve"> </w:t>
      </w:r>
      <w:r w:rsidR="00C675A3" w:rsidRPr="00F249EA">
        <w:rPr>
          <w:sz w:val="20"/>
          <w:szCs w:val="20"/>
        </w:rPr>
        <w:t>Frazer, pp. 11–12.</w:t>
      </w:r>
    </w:p>
  </w:footnote>
  <w:footnote w:id="18">
    <w:p w14:paraId="00000070" w14:textId="3FE76040" w:rsidR="00694F06" w:rsidRDefault="00000000">
      <w:pPr>
        <w:spacing w:before="0" w:after="0" w:line="240" w:lineRule="auto"/>
        <w:rPr>
          <w:sz w:val="20"/>
          <w:szCs w:val="20"/>
        </w:rPr>
      </w:pPr>
      <w:r>
        <w:rPr>
          <w:vertAlign w:val="superscript"/>
        </w:rPr>
        <w:footnoteRef/>
      </w:r>
      <w:r>
        <w:rPr>
          <w:sz w:val="20"/>
          <w:szCs w:val="20"/>
        </w:rPr>
        <w:t xml:space="preserve"> </w:t>
      </w:r>
      <w:r w:rsidR="00C675A3" w:rsidRPr="00F249EA">
        <w:rPr>
          <w:sz w:val="20"/>
          <w:szCs w:val="20"/>
        </w:rPr>
        <w:t>Frazer, pp. 13–16.</w:t>
      </w:r>
    </w:p>
  </w:footnote>
  <w:footnote w:id="19">
    <w:p w14:paraId="0000006F" w14:textId="2FAA1E06" w:rsidR="00694F06" w:rsidRDefault="00000000">
      <w:pPr>
        <w:spacing w:before="0" w:after="0" w:line="240" w:lineRule="auto"/>
        <w:rPr>
          <w:sz w:val="20"/>
          <w:szCs w:val="20"/>
        </w:rPr>
      </w:pPr>
      <w:r>
        <w:rPr>
          <w:vertAlign w:val="superscript"/>
        </w:rPr>
        <w:footnoteRef/>
      </w:r>
      <w:r>
        <w:rPr>
          <w:sz w:val="20"/>
          <w:szCs w:val="20"/>
        </w:rPr>
        <w:t xml:space="preserve"> </w:t>
      </w:r>
      <w:r w:rsidR="00C675A3" w:rsidRPr="00F249EA">
        <w:rPr>
          <w:sz w:val="20"/>
          <w:szCs w:val="20"/>
        </w:rPr>
        <w:t>Frazer, pp. 13–17</w:t>
      </w:r>
      <w:r w:rsidR="00C675A3" w:rsidRPr="00C675A3">
        <w:t>.</w:t>
      </w:r>
    </w:p>
  </w:footnote>
  <w:footnote w:id="20">
    <w:p w14:paraId="00000071" w14:textId="2C4E8D12" w:rsidR="00694F06" w:rsidRDefault="00000000">
      <w:pPr>
        <w:spacing w:before="0" w:after="0" w:line="240" w:lineRule="auto"/>
        <w:rPr>
          <w:sz w:val="20"/>
          <w:szCs w:val="20"/>
        </w:rPr>
      </w:pPr>
      <w:r>
        <w:rPr>
          <w:vertAlign w:val="superscript"/>
        </w:rPr>
        <w:footnoteRef/>
      </w:r>
      <w:r>
        <w:rPr>
          <w:sz w:val="20"/>
          <w:szCs w:val="20"/>
        </w:rPr>
        <w:t xml:space="preserve"> </w:t>
      </w:r>
      <w:r w:rsidR="00D34AC3">
        <w:rPr>
          <w:sz w:val="20"/>
          <w:szCs w:val="20"/>
        </w:rPr>
        <w:t xml:space="preserve">Marcel </w:t>
      </w:r>
      <w:r w:rsidR="00C675A3" w:rsidRPr="00C675A3">
        <w:rPr>
          <w:sz w:val="20"/>
          <w:szCs w:val="20"/>
        </w:rPr>
        <w:t xml:space="preserve">Mauss, </w:t>
      </w:r>
      <w:r w:rsidR="00C675A3" w:rsidRPr="00F249EA">
        <w:rPr>
          <w:i/>
          <w:iCs/>
          <w:sz w:val="20"/>
          <w:szCs w:val="20"/>
        </w:rPr>
        <w:t>A General Theory of Magic</w:t>
      </w:r>
      <w:r w:rsidR="00C675A3" w:rsidRPr="00C675A3">
        <w:rPr>
          <w:sz w:val="20"/>
          <w:szCs w:val="20"/>
        </w:rPr>
        <w:t xml:space="preserve"> (Routledge &amp; CRC Press, 2001)</w:t>
      </w:r>
      <w:r w:rsidR="00C675A3">
        <w:rPr>
          <w:sz w:val="20"/>
          <w:szCs w:val="20"/>
        </w:rPr>
        <w:t>, pp.</w:t>
      </w:r>
      <w:r w:rsidR="00D34AC3">
        <w:rPr>
          <w:sz w:val="20"/>
          <w:szCs w:val="20"/>
        </w:rPr>
        <w:t xml:space="preserve"> </w:t>
      </w:r>
      <w:r w:rsidR="00C675A3">
        <w:rPr>
          <w:sz w:val="20"/>
          <w:szCs w:val="20"/>
        </w:rPr>
        <w:t>9–10.</w:t>
      </w:r>
    </w:p>
  </w:footnote>
  <w:footnote w:id="21">
    <w:p w14:paraId="00000073" w14:textId="13784BCB" w:rsidR="00694F06" w:rsidRDefault="00000000">
      <w:pPr>
        <w:spacing w:before="0" w:after="0" w:line="240" w:lineRule="auto"/>
        <w:rPr>
          <w:sz w:val="20"/>
          <w:szCs w:val="20"/>
        </w:rPr>
      </w:pPr>
      <w:r>
        <w:rPr>
          <w:vertAlign w:val="superscript"/>
        </w:rPr>
        <w:footnoteRef/>
      </w:r>
      <w:r>
        <w:rPr>
          <w:sz w:val="20"/>
          <w:szCs w:val="20"/>
        </w:rPr>
        <w:t xml:space="preserve"> </w:t>
      </w:r>
      <w:r w:rsidR="00C675A3" w:rsidRPr="00F249EA">
        <w:rPr>
          <w:sz w:val="20"/>
          <w:szCs w:val="20"/>
        </w:rPr>
        <w:t>Malinowski, pp. 69–70.</w:t>
      </w:r>
    </w:p>
  </w:footnote>
  <w:footnote w:id="22">
    <w:p w14:paraId="0000007D" w14:textId="497B7AE4" w:rsidR="00694F06" w:rsidRDefault="00000000">
      <w:pPr>
        <w:spacing w:before="0" w:after="0" w:line="240" w:lineRule="auto"/>
        <w:rPr>
          <w:sz w:val="20"/>
          <w:szCs w:val="20"/>
        </w:rPr>
      </w:pPr>
      <w:r>
        <w:rPr>
          <w:vertAlign w:val="superscript"/>
        </w:rPr>
        <w:footnoteRef/>
      </w:r>
      <w:r>
        <w:rPr>
          <w:sz w:val="20"/>
          <w:szCs w:val="20"/>
        </w:rPr>
        <w:t xml:space="preserve"> </w:t>
      </w:r>
      <w:r w:rsidR="00C675A3" w:rsidRPr="00F249EA">
        <w:rPr>
          <w:sz w:val="20"/>
          <w:szCs w:val="20"/>
        </w:rPr>
        <w:t>Malinowski, pp. 36–37.</w:t>
      </w:r>
    </w:p>
  </w:footnote>
  <w:footnote w:id="23">
    <w:p w14:paraId="00000074" w14:textId="740EDA6C" w:rsidR="00694F06" w:rsidRDefault="00000000">
      <w:pPr>
        <w:spacing w:before="0" w:after="0" w:line="240" w:lineRule="auto"/>
        <w:rPr>
          <w:sz w:val="20"/>
          <w:szCs w:val="20"/>
        </w:rPr>
      </w:pPr>
      <w:r>
        <w:rPr>
          <w:vertAlign w:val="superscript"/>
        </w:rPr>
        <w:footnoteRef/>
      </w:r>
      <w:r>
        <w:rPr>
          <w:sz w:val="20"/>
          <w:szCs w:val="20"/>
        </w:rPr>
        <w:t xml:space="preserve"> </w:t>
      </w:r>
      <w:r w:rsidR="00D34AC3" w:rsidRPr="00F249EA">
        <w:rPr>
          <w:sz w:val="20"/>
          <w:szCs w:val="20"/>
        </w:rPr>
        <w:t>Malinowski, p. 14.</w:t>
      </w:r>
    </w:p>
  </w:footnote>
  <w:footnote w:id="24">
    <w:p w14:paraId="0000007E" w14:textId="0D85FCDF" w:rsidR="00694F06" w:rsidRPr="00D34AC3" w:rsidRDefault="00000000">
      <w:pPr>
        <w:spacing w:before="0" w:after="0" w:line="240" w:lineRule="auto"/>
        <w:rPr>
          <w:sz w:val="20"/>
          <w:szCs w:val="20"/>
        </w:rPr>
      </w:pPr>
      <w:r>
        <w:rPr>
          <w:vertAlign w:val="superscript"/>
        </w:rPr>
        <w:footnoteRef/>
      </w:r>
      <w:r>
        <w:rPr>
          <w:sz w:val="20"/>
          <w:szCs w:val="20"/>
        </w:rPr>
        <w:t xml:space="preserve"> </w:t>
      </w:r>
      <w:r w:rsidR="00D34AC3" w:rsidRPr="00F249EA">
        <w:rPr>
          <w:sz w:val="20"/>
          <w:szCs w:val="20"/>
        </w:rPr>
        <w:t>Malinowski, pp. 68–70.</w:t>
      </w:r>
    </w:p>
  </w:footnote>
  <w:footnote w:id="25">
    <w:p w14:paraId="00000075" w14:textId="5E3E9623" w:rsidR="00694F06" w:rsidRDefault="00000000">
      <w:pPr>
        <w:spacing w:before="0" w:after="0" w:line="240" w:lineRule="auto"/>
        <w:rPr>
          <w:sz w:val="20"/>
          <w:szCs w:val="20"/>
        </w:rPr>
      </w:pPr>
      <w:r>
        <w:rPr>
          <w:vertAlign w:val="superscript"/>
        </w:rPr>
        <w:footnoteRef/>
      </w:r>
      <w:r>
        <w:rPr>
          <w:sz w:val="20"/>
          <w:szCs w:val="20"/>
        </w:rPr>
        <w:t xml:space="preserve"> </w:t>
      </w:r>
      <w:r w:rsidR="00D34AC3" w:rsidRPr="00F249EA">
        <w:rPr>
          <w:sz w:val="20"/>
          <w:szCs w:val="20"/>
        </w:rPr>
        <w:t>Malinowski, pp. 48</w:t>
      </w:r>
      <w:r w:rsidR="00D34AC3">
        <w:rPr>
          <w:sz w:val="20"/>
          <w:szCs w:val="20"/>
        </w:rPr>
        <w:t>–</w:t>
      </w:r>
      <w:r w:rsidR="00D34AC3" w:rsidRPr="00F249EA">
        <w:rPr>
          <w:sz w:val="20"/>
          <w:szCs w:val="20"/>
        </w:rPr>
        <w:t>49.</w:t>
      </w:r>
    </w:p>
  </w:footnote>
  <w:footnote w:id="26">
    <w:p w14:paraId="00000078" w14:textId="7535A702" w:rsidR="00694F06" w:rsidRDefault="00000000">
      <w:pPr>
        <w:spacing w:before="0" w:after="0" w:line="240" w:lineRule="auto"/>
        <w:rPr>
          <w:sz w:val="20"/>
          <w:szCs w:val="20"/>
        </w:rPr>
      </w:pPr>
      <w:r>
        <w:rPr>
          <w:vertAlign w:val="superscript"/>
        </w:rPr>
        <w:footnoteRef/>
      </w:r>
      <w:r>
        <w:rPr>
          <w:sz w:val="20"/>
          <w:szCs w:val="20"/>
        </w:rPr>
        <w:t xml:space="preserve"> </w:t>
      </w:r>
      <w:r w:rsidR="00D34AC3" w:rsidRPr="00F249EA">
        <w:rPr>
          <w:sz w:val="20"/>
          <w:szCs w:val="20"/>
        </w:rPr>
        <w:t xml:space="preserve">Mauss, </w:t>
      </w:r>
      <w:r w:rsidR="00D34AC3" w:rsidRPr="00F249EA">
        <w:rPr>
          <w:i/>
          <w:iCs/>
          <w:sz w:val="20"/>
          <w:szCs w:val="20"/>
        </w:rPr>
        <w:t>The Gift</w:t>
      </w:r>
      <w:r w:rsidR="00D34AC3" w:rsidRPr="00F249EA">
        <w:rPr>
          <w:sz w:val="20"/>
          <w:szCs w:val="20"/>
        </w:rPr>
        <w:t>, p. 50.</w:t>
      </w:r>
    </w:p>
  </w:footnote>
  <w:footnote w:id="27">
    <w:p w14:paraId="0000007F" w14:textId="252B33C8" w:rsidR="00694F06" w:rsidRDefault="00000000">
      <w:pPr>
        <w:spacing w:before="0" w:after="0" w:line="240" w:lineRule="auto"/>
        <w:rPr>
          <w:sz w:val="20"/>
          <w:szCs w:val="20"/>
        </w:rPr>
      </w:pPr>
      <w:r>
        <w:rPr>
          <w:vertAlign w:val="superscript"/>
        </w:rPr>
        <w:footnoteRef/>
      </w:r>
      <w:r>
        <w:rPr>
          <w:sz w:val="20"/>
          <w:szCs w:val="20"/>
        </w:rPr>
        <w:t xml:space="preserve"> </w:t>
      </w:r>
      <w:r w:rsidR="00D34AC3" w:rsidRPr="00F249EA">
        <w:rPr>
          <w:sz w:val="20"/>
          <w:szCs w:val="20"/>
        </w:rPr>
        <w:t>Mauss</w:t>
      </w:r>
      <w:r w:rsidR="00D34AC3">
        <w:rPr>
          <w:sz w:val="20"/>
          <w:szCs w:val="20"/>
        </w:rPr>
        <w:t>,</w:t>
      </w:r>
      <w:r w:rsidR="00D34AC3" w:rsidRPr="00F249EA">
        <w:rPr>
          <w:sz w:val="20"/>
          <w:szCs w:val="20"/>
        </w:rPr>
        <w:t xml:space="preserve"> </w:t>
      </w:r>
      <w:r w:rsidR="00D34AC3" w:rsidRPr="00F249EA">
        <w:rPr>
          <w:i/>
          <w:iCs/>
          <w:sz w:val="20"/>
          <w:szCs w:val="20"/>
        </w:rPr>
        <w:t>The Gift</w:t>
      </w:r>
      <w:r w:rsidR="00D34AC3" w:rsidRPr="00F249EA">
        <w:rPr>
          <w:sz w:val="20"/>
          <w:szCs w:val="20"/>
        </w:rPr>
        <w:t xml:space="preserve">, </w:t>
      </w:r>
      <w:r w:rsidR="00D34AC3">
        <w:rPr>
          <w:sz w:val="20"/>
          <w:szCs w:val="20"/>
        </w:rPr>
        <w:t>p</w:t>
      </w:r>
      <w:r w:rsidR="00D34AC3" w:rsidRPr="00F249EA">
        <w:rPr>
          <w:sz w:val="20"/>
          <w:szCs w:val="20"/>
        </w:rPr>
        <w:t>p. 20, 39.</w:t>
      </w:r>
    </w:p>
  </w:footnote>
  <w:footnote w:id="28">
    <w:p w14:paraId="00000079" w14:textId="6E626AC3" w:rsidR="00694F06" w:rsidRDefault="00000000">
      <w:pPr>
        <w:spacing w:before="0" w:after="0" w:line="240" w:lineRule="auto"/>
        <w:rPr>
          <w:sz w:val="20"/>
          <w:szCs w:val="20"/>
        </w:rPr>
      </w:pPr>
      <w:r>
        <w:rPr>
          <w:vertAlign w:val="superscript"/>
        </w:rPr>
        <w:footnoteRef/>
      </w:r>
      <w:r>
        <w:rPr>
          <w:sz w:val="20"/>
          <w:szCs w:val="20"/>
        </w:rPr>
        <w:t xml:space="preserve"> </w:t>
      </w:r>
      <w:r w:rsidR="00D34AC3" w:rsidRPr="00F249EA">
        <w:rPr>
          <w:sz w:val="20"/>
          <w:szCs w:val="20"/>
        </w:rPr>
        <w:t xml:space="preserve">Mauss, </w:t>
      </w:r>
      <w:r w:rsidR="00D34AC3" w:rsidRPr="00F249EA">
        <w:rPr>
          <w:i/>
          <w:iCs/>
          <w:sz w:val="20"/>
          <w:szCs w:val="20"/>
        </w:rPr>
        <w:t>The Gift</w:t>
      </w:r>
      <w:r w:rsidR="00D34AC3" w:rsidRPr="00F249EA">
        <w:rPr>
          <w:sz w:val="20"/>
          <w:szCs w:val="20"/>
        </w:rPr>
        <w:t>, pp. 56–57.</w:t>
      </w:r>
    </w:p>
  </w:footnote>
  <w:footnote w:id="29">
    <w:p w14:paraId="0000007A" w14:textId="61993B29" w:rsidR="00694F06" w:rsidRDefault="00000000">
      <w:pPr>
        <w:spacing w:before="0" w:after="0" w:line="240" w:lineRule="auto"/>
        <w:rPr>
          <w:sz w:val="20"/>
          <w:szCs w:val="20"/>
        </w:rPr>
      </w:pPr>
      <w:r>
        <w:rPr>
          <w:vertAlign w:val="superscript"/>
        </w:rPr>
        <w:footnoteRef/>
      </w:r>
      <w:r>
        <w:rPr>
          <w:sz w:val="20"/>
          <w:szCs w:val="20"/>
        </w:rPr>
        <w:t xml:space="preserve"> </w:t>
      </w:r>
      <w:r w:rsidR="00D34AC3">
        <w:rPr>
          <w:sz w:val="20"/>
          <w:szCs w:val="20"/>
        </w:rPr>
        <w:t xml:space="preserve">Geraldine </w:t>
      </w:r>
      <w:r w:rsidR="00D34AC3" w:rsidRPr="00D34AC3">
        <w:rPr>
          <w:sz w:val="20"/>
          <w:szCs w:val="20"/>
        </w:rPr>
        <w:t xml:space="preserve">Pinch, </w:t>
      </w:r>
      <w:r w:rsidR="00D34AC3" w:rsidRPr="00D34AC3">
        <w:rPr>
          <w:i/>
          <w:iCs/>
          <w:sz w:val="20"/>
          <w:szCs w:val="20"/>
        </w:rPr>
        <w:t xml:space="preserve">Magic </w:t>
      </w:r>
      <w:proofErr w:type="gramStart"/>
      <w:r w:rsidR="00D34AC3" w:rsidRPr="00D34AC3">
        <w:rPr>
          <w:i/>
          <w:iCs/>
          <w:sz w:val="20"/>
          <w:szCs w:val="20"/>
        </w:rPr>
        <w:t>In</w:t>
      </w:r>
      <w:proofErr w:type="gramEnd"/>
      <w:r w:rsidR="00D34AC3" w:rsidRPr="00D34AC3">
        <w:rPr>
          <w:i/>
          <w:iCs/>
          <w:sz w:val="20"/>
          <w:szCs w:val="20"/>
        </w:rPr>
        <w:t xml:space="preserve"> Ancient Egypt </w:t>
      </w:r>
      <w:r w:rsidR="00D34AC3" w:rsidRPr="00D34AC3">
        <w:rPr>
          <w:sz w:val="20"/>
          <w:szCs w:val="20"/>
        </w:rPr>
        <w:t>(University of Texas Press, 1994)</w:t>
      </w:r>
      <w:r w:rsidR="00D34AC3">
        <w:rPr>
          <w:sz w:val="20"/>
          <w:szCs w:val="20"/>
        </w:rPr>
        <w:t>, p. 102.</w:t>
      </w:r>
    </w:p>
  </w:footnote>
  <w:footnote w:id="30">
    <w:p w14:paraId="297EAA41" w14:textId="1BA50AD2" w:rsidR="00D34AC3" w:rsidRPr="00D34AC3" w:rsidRDefault="00000000" w:rsidP="00D34AC3">
      <w:pPr>
        <w:spacing w:before="0" w:after="0" w:line="240" w:lineRule="auto"/>
        <w:rPr>
          <w:sz w:val="20"/>
          <w:szCs w:val="20"/>
        </w:rPr>
      </w:pPr>
      <w:r>
        <w:rPr>
          <w:vertAlign w:val="superscript"/>
        </w:rPr>
        <w:footnoteRef/>
      </w:r>
      <w:r>
        <w:rPr>
          <w:sz w:val="20"/>
          <w:szCs w:val="20"/>
        </w:rPr>
        <w:t xml:space="preserve"> </w:t>
      </w:r>
      <w:r w:rsidR="00D34AC3" w:rsidRPr="00D34AC3">
        <w:rPr>
          <w:sz w:val="20"/>
          <w:szCs w:val="20"/>
        </w:rPr>
        <w:t>John</w:t>
      </w:r>
      <w:r w:rsidR="00D34AC3">
        <w:rPr>
          <w:sz w:val="20"/>
          <w:szCs w:val="20"/>
        </w:rPr>
        <w:t xml:space="preserve"> Scheid </w:t>
      </w:r>
      <w:r w:rsidR="00D34AC3" w:rsidRPr="00D34AC3">
        <w:rPr>
          <w:sz w:val="20"/>
          <w:szCs w:val="20"/>
        </w:rPr>
        <w:t xml:space="preserve">and Janet Lloyd, </w:t>
      </w:r>
      <w:r w:rsidR="00D34AC3" w:rsidRPr="00D34AC3">
        <w:rPr>
          <w:i/>
          <w:iCs/>
          <w:sz w:val="20"/>
          <w:szCs w:val="20"/>
        </w:rPr>
        <w:t>An Introduction to Roman Religion</w:t>
      </w:r>
      <w:r w:rsidR="00D34AC3" w:rsidRPr="00D34AC3">
        <w:rPr>
          <w:sz w:val="20"/>
          <w:szCs w:val="20"/>
        </w:rPr>
        <w:t xml:space="preserve"> (Indiana University Press, 2003)</w:t>
      </w:r>
      <w:r w:rsidR="00D34AC3">
        <w:rPr>
          <w:sz w:val="20"/>
          <w:szCs w:val="20"/>
        </w:rPr>
        <w:t xml:space="preserve">, p. 72. </w:t>
      </w:r>
    </w:p>
    <w:p w14:paraId="0000007B" w14:textId="7CFA8F5E" w:rsidR="00694F06" w:rsidRDefault="00694F06">
      <w:pPr>
        <w:spacing w:before="0" w:after="0" w:line="240" w:lineRule="auto"/>
        <w:rPr>
          <w:sz w:val="20"/>
          <w:szCs w:val="20"/>
        </w:rPr>
      </w:pPr>
    </w:p>
  </w:footnote>
  <w:footnote w:id="31">
    <w:p w14:paraId="00000080" w14:textId="77777777" w:rsidR="00694F06" w:rsidRDefault="00000000">
      <w:pPr>
        <w:spacing w:before="0" w:after="0" w:line="240" w:lineRule="auto"/>
        <w:rPr>
          <w:sz w:val="20"/>
          <w:szCs w:val="20"/>
        </w:rPr>
      </w:pPr>
      <w:r>
        <w:rPr>
          <w:vertAlign w:val="superscript"/>
        </w:rPr>
        <w:footnoteRef/>
      </w:r>
      <w:r>
        <w:rPr>
          <w:sz w:val="20"/>
          <w:szCs w:val="20"/>
        </w:rPr>
        <w:t xml:space="preserve"> </w:t>
      </w:r>
      <w:hyperlink r:id="rId6">
        <w:r w:rsidR="00694F06">
          <w:rPr>
            <w:sz w:val="20"/>
            <w:szCs w:val="20"/>
          </w:rPr>
          <w:t xml:space="preserve">Hugh Bowden, </w:t>
        </w:r>
      </w:hyperlink>
      <w:hyperlink r:id="rId7">
        <w:r w:rsidR="00694F06">
          <w:rPr>
            <w:i/>
            <w:sz w:val="20"/>
            <w:szCs w:val="20"/>
          </w:rPr>
          <w:t>Classical Athens and the Delphic Oracle: Divination and Democracy</w:t>
        </w:r>
      </w:hyperlink>
      <w:hyperlink r:id="rId8">
        <w:r w:rsidR="00694F06">
          <w:rPr>
            <w:sz w:val="20"/>
            <w:szCs w:val="20"/>
          </w:rPr>
          <w:t xml:space="preserve"> (Cambridge University Press, 2005), p. 16.</w:t>
        </w:r>
      </w:hyperlink>
    </w:p>
  </w:footnote>
  <w:footnote w:id="32">
    <w:p w14:paraId="00000083" w14:textId="2C5426DD" w:rsidR="00694F06" w:rsidRDefault="00000000">
      <w:pPr>
        <w:spacing w:before="0" w:after="0" w:line="240" w:lineRule="auto"/>
        <w:rPr>
          <w:sz w:val="20"/>
          <w:szCs w:val="20"/>
        </w:rPr>
      </w:pPr>
      <w:r>
        <w:rPr>
          <w:vertAlign w:val="superscript"/>
        </w:rPr>
        <w:footnoteRef/>
      </w:r>
      <w:r>
        <w:rPr>
          <w:sz w:val="20"/>
          <w:szCs w:val="20"/>
        </w:rPr>
        <w:t xml:space="preserve"> </w:t>
      </w:r>
      <w:r w:rsidR="00DC7475" w:rsidRPr="00F249EA">
        <w:rPr>
          <w:sz w:val="20"/>
          <w:szCs w:val="20"/>
        </w:rPr>
        <w:t>Johnston, p. 38.</w:t>
      </w:r>
    </w:p>
  </w:footnote>
  <w:footnote w:id="33">
    <w:p w14:paraId="00000082" w14:textId="6C597894" w:rsidR="00694F06" w:rsidRDefault="00000000">
      <w:pPr>
        <w:spacing w:before="0" w:after="0" w:line="240" w:lineRule="auto"/>
        <w:rPr>
          <w:sz w:val="20"/>
          <w:szCs w:val="20"/>
        </w:rPr>
      </w:pPr>
      <w:r>
        <w:rPr>
          <w:vertAlign w:val="superscript"/>
        </w:rPr>
        <w:footnoteRef/>
      </w:r>
      <w:r>
        <w:rPr>
          <w:sz w:val="20"/>
          <w:szCs w:val="20"/>
        </w:rPr>
        <w:t xml:space="preserve"> </w:t>
      </w:r>
      <w:r w:rsidR="00DC7475" w:rsidRPr="00F249EA">
        <w:rPr>
          <w:sz w:val="20"/>
          <w:szCs w:val="20"/>
        </w:rPr>
        <w:t>Johnston, p. 50.</w:t>
      </w:r>
    </w:p>
  </w:footnote>
  <w:footnote w:id="34">
    <w:p w14:paraId="00000081" w14:textId="38EFFE83" w:rsidR="00694F06" w:rsidRDefault="00000000">
      <w:pPr>
        <w:spacing w:before="0" w:after="0" w:line="240" w:lineRule="auto"/>
        <w:rPr>
          <w:sz w:val="20"/>
          <w:szCs w:val="20"/>
        </w:rPr>
      </w:pPr>
      <w:r>
        <w:rPr>
          <w:vertAlign w:val="superscript"/>
        </w:rPr>
        <w:footnoteRef/>
      </w:r>
      <w:r>
        <w:rPr>
          <w:sz w:val="20"/>
          <w:szCs w:val="20"/>
        </w:rPr>
        <w:t xml:space="preserve"> </w:t>
      </w:r>
      <w:r w:rsidR="00DC7475" w:rsidRPr="00F249EA">
        <w:rPr>
          <w:sz w:val="20"/>
          <w:szCs w:val="20"/>
        </w:rPr>
        <w:t xml:space="preserve">Michael </w:t>
      </w:r>
      <w:proofErr w:type="spellStart"/>
      <w:r w:rsidR="00DC7475" w:rsidRPr="00F249EA">
        <w:rPr>
          <w:sz w:val="20"/>
          <w:szCs w:val="20"/>
        </w:rPr>
        <w:t>Attyah</w:t>
      </w:r>
      <w:proofErr w:type="spellEnd"/>
      <w:r w:rsidR="00DC7475" w:rsidRPr="00F249EA">
        <w:rPr>
          <w:sz w:val="20"/>
          <w:szCs w:val="20"/>
        </w:rPr>
        <w:t xml:space="preserve"> Flower, </w:t>
      </w:r>
      <w:r w:rsidR="00DC7475" w:rsidRPr="00F249EA">
        <w:rPr>
          <w:i/>
          <w:iCs/>
          <w:sz w:val="20"/>
          <w:szCs w:val="20"/>
        </w:rPr>
        <w:t>The Seer in Ancient Greece</w:t>
      </w:r>
      <w:r w:rsidR="00DC7475" w:rsidRPr="00F249EA">
        <w:rPr>
          <w:sz w:val="20"/>
          <w:szCs w:val="20"/>
        </w:rPr>
        <w:t xml:space="preserve">, 1st </w:t>
      </w:r>
      <w:proofErr w:type="spellStart"/>
      <w:r w:rsidR="00DC7475" w:rsidRPr="00F249EA">
        <w:rPr>
          <w:sz w:val="20"/>
          <w:szCs w:val="20"/>
        </w:rPr>
        <w:t>edn</w:t>
      </w:r>
      <w:proofErr w:type="spellEnd"/>
      <w:r w:rsidR="00DC7475" w:rsidRPr="00F249EA">
        <w:rPr>
          <w:sz w:val="20"/>
          <w:szCs w:val="20"/>
        </w:rPr>
        <w:t xml:space="preserve"> (University of California Press, 2007), pp. 1–2.</w:t>
      </w:r>
    </w:p>
  </w:footnote>
  <w:footnote w:id="35">
    <w:p w14:paraId="00000084" w14:textId="53F1DECC" w:rsidR="00694F06" w:rsidRDefault="00000000">
      <w:pPr>
        <w:spacing w:before="0" w:after="0" w:line="240" w:lineRule="auto"/>
        <w:rPr>
          <w:sz w:val="20"/>
          <w:szCs w:val="20"/>
        </w:rPr>
      </w:pPr>
      <w:r>
        <w:rPr>
          <w:vertAlign w:val="superscript"/>
        </w:rPr>
        <w:footnoteRef/>
      </w:r>
      <w:r>
        <w:rPr>
          <w:sz w:val="20"/>
          <w:szCs w:val="20"/>
        </w:rPr>
        <w:t xml:space="preserve"> </w:t>
      </w:r>
      <w:r w:rsidR="00DC7475" w:rsidRPr="00F249EA">
        <w:rPr>
          <w:sz w:val="20"/>
          <w:szCs w:val="20"/>
        </w:rPr>
        <w:t xml:space="preserve">Robert Parker, ‘Greek States and Greek Oracles’, </w:t>
      </w:r>
      <w:r w:rsidR="00DC7475" w:rsidRPr="00F249EA">
        <w:rPr>
          <w:i/>
          <w:iCs/>
          <w:sz w:val="20"/>
          <w:szCs w:val="20"/>
        </w:rPr>
        <w:t>History of Political Thought</w:t>
      </w:r>
      <w:r w:rsidR="00DC7475" w:rsidRPr="00F249EA">
        <w:rPr>
          <w:sz w:val="20"/>
          <w:szCs w:val="20"/>
        </w:rPr>
        <w:t>, 6.1/2 (1985), pp. 303</w:t>
      </w:r>
      <w:r w:rsidR="00DC7475">
        <w:rPr>
          <w:sz w:val="20"/>
          <w:szCs w:val="20"/>
        </w:rPr>
        <w:t>–</w:t>
      </w:r>
      <w:r w:rsidR="00DC7475" w:rsidRPr="00F249EA">
        <w:rPr>
          <w:sz w:val="20"/>
          <w:szCs w:val="20"/>
        </w:rPr>
        <w:t>304.</w:t>
      </w:r>
    </w:p>
  </w:footnote>
  <w:footnote w:id="36">
    <w:p w14:paraId="2872C64B" w14:textId="136920EC" w:rsidR="00DC7475" w:rsidRPr="00DC7475" w:rsidRDefault="00000000" w:rsidP="00DC7475">
      <w:pPr>
        <w:spacing w:before="0" w:after="0" w:line="240" w:lineRule="auto"/>
        <w:rPr>
          <w:sz w:val="20"/>
          <w:szCs w:val="20"/>
        </w:rPr>
      </w:pPr>
      <w:r>
        <w:rPr>
          <w:vertAlign w:val="superscript"/>
        </w:rPr>
        <w:footnoteRef/>
      </w:r>
      <w:r>
        <w:rPr>
          <w:sz w:val="20"/>
          <w:szCs w:val="20"/>
        </w:rPr>
        <w:t xml:space="preserve"> </w:t>
      </w:r>
      <w:r w:rsidR="00DC7475" w:rsidRPr="00DC7475">
        <w:rPr>
          <w:sz w:val="20"/>
          <w:szCs w:val="20"/>
        </w:rPr>
        <w:t>Herodotus, Book I (Loeb Classical Library, 1920)</w:t>
      </w:r>
      <w:r w:rsidR="00DC7475">
        <w:rPr>
          <w:sz w:val="20"/>
          <w:szCs w:val="20"/>
        </w:rPr>
        <w:t xml:space="preserve">, </w:t>
      </w:r>
      <w:proofErr w:type="spellStart"/>
      <w:r w:rsidR="00DC7475">
        <w:rPr>
          <w:sz w:val="20"/>
          <w:szCs w:val="20"/>
        </w:rPr>
        <w:t>chs</w:t>
      </w:r>
      <w:proofErr w:type="spellEnd"/>
      <w:r w:rsidR="00DC7475">
        <w:rPr>
          <w:sz w:val="20"/>
          <w:szCs w:val="20"/>
        </w:rPr>
        <w:t xml:space="preserve"> 53–91.</w:t>
      </w:r>
    </w:p>
    <w:p w14:paraId="00000085" w14:textId="00FD0CA2" w:rsidR="00694F06" w:rsidRDefault="00694F06">
      <w:pPr>
        <w:spacing w:before="0" w:after="0" w:line="240" w:lineRule="auto"/>
        <w:rPr>
          <w:sz w:val="20"/>
          <w:szCs w:val="20"/>
        </w:rPr>
      </w:pPr>
    </w:p>
  </w:footnote>
  <w:footnote w:id="37">
    <w:p w14:paraId="0000008D" w14:textId="56433A73" w:rsidR="00694F06" w:rsidRDefault="00000000">
      <w:pPr>
        <w:spacing w:before="0" w:after="0" w:line="240" w:lineRule="auto"/>
        <w:rPr>
          <w:sz w:val="20"/>
          <w:szCs w:val="20"/>
        </w:rPr>
      </w:pPr>
      <w:r>
        <w:rPr>
          <w:vertAlign w:val="superscript"/>
        </w:rPr>
        <w:footnoteRef/>
      </w:r>
      <w:r>
        <w:rPr>
          <w:sz w:val="20"/>
          <w:szCs w:val="20"/>
        </w:rPr>
        <w:t xml:space="preserve"> </w:t>
      </w:r>
      <w:r w:rsidR="00DC7475">
        <w:rPr>
          <w:sz w:val="20"/>
          <w:szCs w:val="20"/>
        </w:rPr>
        <w:t xml:space="preserve">Anne </w:t>
      </w:r>
      <w:r w:rsidR="00DC7475" w:rsidRPr="00DC7475">
        <w:rPr>
          <w:sz w:val="20"/>
          <w:szCs w:val="20"/>
        </w:rPr>
        <w:t>Marchais-</w:t>
      </w:r>
      <w:proofErr w:type="spellStart"/>
      <w:r w:rsidR="00DC7475" w:rsidRPr="00DC7475">
        <w:rPr>
          <w:sz w:val="20"/>
          <w:szCs w:val="20"/>
        </w:rPr>
        <w:t>Roubelat</w:t>
      </w:r>
      <w:proofErr w:type="spellEnd"/>
      <w:r w:rsidR="00DC7475">
        <w:rPr>
          <w:sz w:val="20"/>
          <w:szCs w:val="20"/>
        </w:rPr>
        <w:t xml:space="preserve"> </w:t>
      </w:r>
      <w:r w:rsidR="00DC7475" w:rsidRPr="00DC7475">
        <w:rPr>
          <w:sz w:val="20"/>
          <w:szCs w:val="20"/>
        </w:rPr>
        <w:t xml:space="preserve">and Fabrice </w:t>
      </w:r>
      <w:proofErr w:type="spellStart"/>
      <w:r w:rsidR="00DC7475" w:rsidRPr="00DC7475">
        <w:rPr>
          <w:sz w:val="20"/>
          <w:szCs w:val="20"/>
        </w:rPr>
        <w:t>Roubelat</w:t>
      </w:r>
      <w:proofErr w:type="spellEnd"/>
      <w:r w:rsidR="00DC7475" w:rsidRPr="00DC7475">
        <w:rPr>
          <w:sz w:val="20"/>
          <w:szCs w:val="20"/>
        </w:rPr>
        <w:t xml:space="preserve">, ‘The Delphi Method as a Ritual: Inquiring the Delphic Oracle’, </w:t>
      </w:r>
      <w:r w:rsidR="00DC7475" w:rsidRPr="00DC7475">
        <w:rPr>
          <w:i/>
          <w:iCs/>
          <w:sz w:val="20"/>
          <w:szCs w:val="20"/>
        </w:rPr>
        <w:t>Technological Forecasting and Social Change</w:t>
      </w:r>
      <w:r w:rsidR="00DC7475" w:rsidRPr="00DC7475">
        <w:rPr>
          <w:sz w:val="20"/>
          <w:szCs w:val="20"/>
        </w:rPr>
        <w:t>, 78.9 (2011), 149</w:t>
      </w:r>
      <w:r w:rsidR="00DC7475">
        <w:rPr>
          <w:sz w:val="20"/>
          <w:szCs w:val="20"/>
        </w:rPr>
        <w:t>5–6.</w:t>
      </w:r>
    </w:p>
  </w:footnote>
  <w:footnote w:id="38">
    <w:p w14:paraId="00000086" w14:textId="11DA0255" w:rsidR="00694F06" w:rsidRDefault="00000000">
      <w:pPr>
        <w:spacing w:before="0" w:after="0" w:line="240" w:lineRule="auto"/>
        <w:rPr>
          <w:sz w:val="20"/>
          <w:szCs w:val="20"/>
        </w:rPr>
      </w:pPr>
      <w:r>
        <w:rPr>
          <w:vertAlign w:val="superscript"/>
        </w:rPr>
        <w:footnoteRef/>
      </w:r>
      <w:r>
        <w:rPr>
          <w:sz w:val="20"/>
          <w:szCs w:val="20"/>
        </w:rPr>
        <w:t xml:space="preserve"> </w:t>
      </w:r>
      <w:r w:rsidR="00DC7475" w:rsidRPr="00DC7475">
        <w:rPr>
          <w:sz w:val="20"/>
          <w:szCs w:val="20"/>
        </w:rPr>
        <w:t xml:space="preserve">Gager, John G. (ed.), </w:t>
      </w:r>
      <w:r w:rsidR="00DC7475" w:rsidRPr="00DC7475">
        <w:rPr>
          <w:i/>
          <w:iCs/>
          <w:sz w:val="20"/>
          <w:szCs w:val="20"/>
        </w:rPr>
        <w:t>Curse Tablets and Binding Spells from the Ancient World</w:t>
      </w:r>
      <w:r w:rsidR="00DC7475" w:rsidRPr="00DC7475">
        <w:rPr>
          <w:sz w:val="20"/>
          <w:szCs w:val="20"/>
        </w:rPr>
        <w:t xml:space="preserve"> (Oxford University Press, 1999)</w:t>
      </w:r>
      <w:r w:rsidR="00DC7475">
        <w:rPr>
          <w:sz w:val="20"/>
          <w:szCs w:val="20"/>
        </w:rPr>
        <w:t>, p. 21.</w:t>
      </w:r>
    </w:p>
  </w:footnote>
  <w:footnote w:id="39">
    <w:p w14:paraId="00000089" w14:textId="330D4F28" w:rsidR="00694F06" w:rsidRDefault="00000000">
      <w:pPr>
        <w:spacing w:before="0" w:after="0" w:line="240" w:lineRule="auto"/>
        <w:rPr>
          <w:sz w:val="20"/>
          <w:szCs w:val="20"/>
        </w:rPr>
      </w:pPr>
      <w:r>
        <w:rPr>
          <w:vertAlign w:val="superscript"/>
        </w:rPr>
        <w:footnoteRef/>
      </w:r>
      <w:r>
        <w:rPr>
          <w:sz w:val="20"/>
          <w:szCs w:val="20"/>
        </w:rPr>
        <w:t xml:space="preserve"> </w:t>
      </w:r>
      <w:r w:rsidR="00DC7475" w:rsidRPr="00F249EA">
        <w:rPr>
          <w:sz w:val="20"/>
          <w:szCs w:val="20"/>
        </w:rPr>
        <w:t>Gager, pp. 3–4, 18.</w:t>
      </w:r>
    </w:p>
  </w:footnote>
  <w:footnote w:id="40">
    <w:p w14:paraId="00000087" w14:textId="1776056D" w:rsidR="00694F06" w:rsidRDefault="00000000">
      <w:pPr>
        <w:spacing w:before="0" w:after="0" w:line="240" w:lineRule="auto"/>
        <w:rPr>
          <w:sz w:val="20"/>
          <w:szCs w:val="20"/>
        </w:rPr>
      </w:pPr>
      <w:r>
        <w:rPr>
          <w:vertAlign w:val="superscript"/>
        </w:rPr>
        <w:footnoteRef/>
      </w:r>
      <w:r>
        <w:rPr>
          <w:sz w:val="20"/>
          <w:szCs w:val="20"/>
        </w:rPr>
        <w:t xml:space="preserve"> </w:t>
      </w:r>
      <w:r w:rsidR="00DC7475">
        <w:rPr>
          <w:sz w:val="20"/>
          <w:szCs w:val="20"/>
        </w:rPr>
        <w:t>Gager, pp. 4–6.</w:t>
      </w:r>
    </w:p>
  </w:footnote>
  <w:footnote w:id="41">
    <w:p w14:paraId="00000088" w14:textId="0F6BF8A0" w:rsidR="00694F06" w:rsidRDefault="00000000">
      <w:pPr>
        <w:spacing w:before="0" w:after="0" w:line="240" w:lineRule="auto"/>
        <w:rPr>
          <w:sz w:val="20"/>
          <w:szCs w:val="20"/>
        </w:rPr>
      </w:pPr>
      <w:r>
        <w:rPr>
          <w:vertAlign w:val="superscript"/>
        </w:rPr>
        <w:footnoteRef/>
      </w:r>
      <w:r>
        <w:rPr>
          <w:sz w:val="20"/>
          <w:szCs w:val="20"/>
        </w:rPr>
        <w:t xml:space="preserve"> </w:t>
      </w:r>
      <w:r w:rsidR="00DC7475" w:rsidRPr="00F249EA">
        <w:rPr>
          <w:sz w:val="20"/>
          <w:szCs w:val="20"/>
        </w:rPr>
        <w:t>Gager, pp. 18–21.</w:t>
      </w:r>
    </w:p>
  </w:footnote>
  <w:footnote w:id="42">
    <w:p w14:paraId="0000008A" w14:textId="6227DDCA" w:rsidR="00694F06" w:rsidRDefault="00000000">
      <w:pPr>
        <w:spacing w:before="0" w:after="0" w:line="240" w:lineRule="auto"/>
        <w:rPr>
          <w:sz w:val="20"/>
          <w:szCs w:val="20"/>
        </w:rPr>
      </w:pPr>
      <w:r>
        <w:rPr>
          <w:vertAlign w:val="superscript"/>
        </w:rPr>
        <w:footnoteRef/>
      </w:r>
      <w:r>
        <w:rPr>
          <w:sz w:val="20"/>
          <w:szCs w:val="20"/>
        </w:rPr>
        <w:t xml:space="preserve"> </w:t>
      </w:r>
      <w:r w:rsidR="00DC7475">
        <w:rPr>
          <w:sz w:val="20"/>
          <w:szCs w:val="20"/>
        </w:rPr>
        <w:t xml:space="preserve">Juraj </w:t>
      </w:r>
      <w:r w:rsidR="00DC7475" w:rsidRPr="00DC7475">
        <w:rPr>
          <w:sz w:val="20"/>
          <w:szCs w:val="20"/>
        </w:rPr>
        <w:t>Franek</w:t>
      </w:r>
      <w:r w:rsidR="00DC7475">
        <w:rPr>
          <w:sz w:val="20"/>
          <w:szCs w:val="20"/>
        </w:rPr>
        <w:t xml:space="preserve"> </w:t>
      </w:r>
      <w:r w:rsidR="00DC7475" w:rsidRPr="00DC7475">
        <w:rPr>
          <w:sz w:val="20"/>
          <w:szCs w:val="20"/>
        </w:rPr>
        <w:t xml:space="preserve">and Daniela </w:t>
      </w:r>
      <w:proofErr w:type="spellStart"/>
      <w:r w:rsidR="00DC7475" w:rsidRPr="00DC7475">
        <w:rPr>
          <w:sz w:val="20"/>
          <w:szCs w:val="20"/>
        </w:rPr>
        <w:t>Urbanova</w:t>
      </w:r>
      <w:proofErr w:type="spellEnd"/>
      <w:r w:rsidR="00DC7475" w:rsidRPr="00DC7475">
        <w:rPr>
          <w:sz w:val="20"/>
          <w:szCs w:val="20"/>
        </w:rPr>
        <w:t xml:space="preserve">, ‘“May Their Limbs Melt, Just as This Lead Shall Melt…”: Sympathetic Magic and Similia </w:t>
      </w:r>
      <w:proofErr w:type="spellStart"/>
      <w:r w:rsidR="00DC7475" w:rsidRPr="00DC7475">
        <w:rPr>
          <w:sz w:val="20"/>
          <w:szCs w:val="20"/>
        </w:rPr>
        <w:t>Similibus</w:t>
      </w:r>
      <w:proofErr w:type="spellEnd"/>
      <w:r w:rsidR="00DC7475" w:rsidRPr="00DC7475">
        <w:rPr>
          <w:sz w:val="20"/>
          <w:szCs w:val="20"/>
        </w:rPr>
        <w:t xml:space="preserve"> Formulae in Greek and Latin Curse Tablets (Part 1)’, </w:t>
      </w:r>
      <w:proofErr w:type="spellStart"/>
      <w:r w:rsidR="00DC7475" w:rsidRPr="00DC7475">
        <w:rPr>
          <w:i/>
          <w:iCs/>
          <w:sz w:val="20"/>
          <w:szCs w:val="20"/>
        </w:rPr>
        <w:t>Philologia</w:t>
      </w:r>
      <w:proofErr w:type="spellEnd"/>
      <w:r w:rsidR="00DC7475" w:rsidRPr="00DC7475">
        <w:rPr>
          <w:i/>
          <w:iCs/>
          <w:sz w:val="20"/>
          <w:szCs w:val="20"/>
        </w:rPr>
        <w:t xml:space="preserve"> Classica</w:t>
      </w:r>
      <w:r w:rsidR="00DC7475" w:rsidRPr="00DC7475">
        <w:rPr>
          <w:sz w:val="20"/>
          <w:szCs w:val="20"/>
        </w:rPr>
        <w:t xml:space="preserve">, </w:t>
      </w:r>
      <w:r w:rsidR="00DC7475" w:rsidRPr="00DC7475">
        <w:rPr>
          <w:i/>
          <w:iCs/>
          <w:sz w:val="20"/>
          <w:szCs w:val="20"/>
        </w:rPr>
        <w:t>14</w:t>
      </w:r>
      <w:r w:rsidR="00DC7475" w:rsidRPr="00DC7475">
        <w:rPr>
          <w:sz w:val="20"/>
          <w:szCs w:val="20"/>
        </w:rPr>
        <w:t>(1) (2019),</w:t>
      </w:r>
      <w:r w:rsidR="00DC7475" w:rsidRPr="00DC7475">
        <w:rPr>
          <w:i/>
          <w:iCs/>
          <w:sz w:val="20"/>
          <w:szCs w:val="20"/>
        </w:rPr>
        <w:t xml:space="preserve"> </w:t>
      </w:r>
      <w:r w:rsidR="00DC7475">
        <w:rPr>
          <w:sz w:val="20"/>
          <w:szCs w:val="20"/>
        </w:rPr>
        <w:t xml:space="preserve">39. </w:t>
      </w:r>
    </w:p>
  </w:footnote>
  <w:footnote w:id="43">
    <w:p w14:paraId="0000008C" w14:textId="2E747496" w:rsidR="00694F06" w:rsidRDefault="00000000">
      <w:pPr>
        <w:spacing w:before="0" w:after="0" w:line="240" w:lineRule="auto"/>
        <w:rPr>
          <w:sz w:val="20"/>
          <w:szCs w:val="20"/>
        </w:rPr>
      </w:pPr>
      <w:r>
        <w:rPr>
          <w:vertAlign w:val="superscript"/>
        </w:rPr>
        <w:footnoteRef/>
      </w:r>
      <w:r>
        <w:rPr>
          <w:sz w:val="20"/>
          <w:szCs w:val="20"/>
        </w:rPr>
        <w:t xml:space="preserve"> </w:t>
      </w:r>
      <w:r w:rsidR="00DC7475" w:rsidRPr="00F249EA">
        <w:rPr>
          <w:sz w:val="20"/>
          <w:szCs w:val="20"/>
        </w:rPr>
        <w:t xml:space="preserve">Franek and </w:t>
      </w:r>
      <w:proofErr w:type="spellStart"/>
      <w:r w:rsidR="00DC7475" w:rsidRPr="00F249EA">
        <w:rPr>
          <w:sz w:val="20"/>
          <w:szCs w:val="20"/>
        </w:rPr>
        <w:t>Urbanova</w:t>
      </w:r>
      <w:proofErr w:type="spellEnd"/>
      <w:r w:rsidR="00DC7475" w:rsidRPr="00F249EA">
        <w:rPr>
          <w:sz w:val="20"/>
          <w:szCs w:val="20"/>
        </w:rPr>
        <w:t>, p. 40.</w:t>
      </w:r>
    </w:p>
  </w:footnote>
  <w:footnote w:id="44">
    <w:p w14:paraId="0000008B" w14:textId="3315B697" w:rsidR="00694F06" w:rsidRDefault="00000000">
      <w:pPr>
        <w:spacing w:before="0" w:after="0" w:line="240" w:lineRule="auto"/>
        <w:rPr>
          <w:sz w:val="20"/>
          <w:szCs w:val="20"/>
        </w:rPr>
      </w:pPr>
      <w:r>
        <w:rPr>
          <w:vertAlign w:val="superscript"/>
        </w:rPr>
        <w:footnoteRef/>
      </w:r>
      <w:r>
        <w:rPr>
          <w:sz w:val="20"/>
          <w:szCs w:val="20"/>
        </w:rPr>
        <w:t xml:space="preserve"> </w:t>
      </w:r>
      <w:r w:rsidR="00DC7475" w:rsidRPr="00F249EA">
        <w:rPr>
          <w:sz w:val="20"/>
          <w:szCs w:val="20"/>
        </w:rPr>
        <w:t>Gager, p. 24.</w:t>
      </w:r>
      <w:r w:rsidR="00DC7475">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C" w14:textId="01FF8C22" w:rsidR="00694F06" w:rsidRDefault="00000000">
    <w:pPr>
      <w:pBdr>
        <w:top w:val="nil"/>
        <w:left w:val="nil"/>
        <w:bottom w:val="nil"/>
        <w:right w:val="nil"/>
        <w:between w:val="nil"/>
      </w:pBdr>
      <w:tabs>
        <w:tab w:val="center" w:pos="4680"/>
        <w:tab w:val="right" w:pos="9360"/>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821EEC">
      <w:rPr>
        <w:noProof/>
        <w:color w:val="000000"/>
      </w:rPr>
      <w:t>1</w:t>
    </w:r>
    <w:r>
      <w:rPr>
        <w:color w:val="000000"/>
      </w:rPr>
      <w:fldChar w:fldCharType="end"/>
    </w:r>
  </w:p>
  <w:p w14:paraId="0000005D" w14:textId="77777777" w:rsidR="00694F06" w:rsidRDefault="00694F06">
    <w:pPr>
      <w:pBdr>
        <w:top w:val="nil"/>
        <w:left w:val="nil"/>
        <w:bottom w:val="nil"/>
        <w:right w:val="nil"/>
        <w:between w:val="nil"/>
      </w:pBdr>
      <w:tabs>
        <w:tab w:val="center" w:pos="4680"/>
        <w:tab w:val="right" w:pos="9360"/>
      </w:tabs>
      <w:spacing w:before="0"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F06"/>
    <w:rsid w:val="000E2695"/>
    <w:rsid w:val="00162F97"/>
    <w:rsid w:val="0020044E"/>
    <w:rsid w:val="00210659"/>
    <w:rsid w:val="00295DEB"/>
    <w:rsid w:val="00297913"/>
    <w:rsid w:val="002A198A"/>
    <w:rsid w:val="00306E6B"/>
    <w:rsid w:val="004033E1"/>
    <w:rsid w:val="0041020A"/>
    <w:rsid w:val="00442695"/>
    <w:rsid w:val="00460D55"/>
    <w:rsid w:val="00497D76"/>
    <w:rsid w:val="004A2CFD"/>
    <w:rsid w:val="005567E3"/>
    <w:rsid w:val="0056757E"/>
    <w:rsid w:val="00612D92"/>
    <w:rsid w:val="00694F06"/>
    <w:rsid w:val="00702EBB"/>
    <w:rsid w:val="00753031"/>
    <w:rsid w:val="0081746F"/>
    <w:rsid w:val="00821EEC"/>
    <w:rsid w:val="008E5715"/>
    <w:rsid w:val="00A35321"/>
    <w:rsid w:val="00A56423"/>
    <w:rsid w:val="00B120A9"/>
    <w:rsid w:val="00B36BB5"/>
    <w:rsid w:val="00B81CF3"/>
    <w:rsid w:val="00C65FB7"/>
    <w:rsid w:val="00C675A3"/>
    <w:rsid w:val="00C81B3D"/>
    <w:rsid w:val="00CB015A"/>
    <w:rsid w:val="00CF5FA0"/>
    <w:rsid w:val="00D34AC3"/>
    <w:rsid w:val="00DC7475"/>
    <w:rsid w:val="00DD7470"/>
    <w:rsid w:val="00EC6F78"/>
    <w:rsid w:val="00F00A6A"/>
    <w:rsid w:val="00F249EA"/>
    <w:rsid w:val="00FF0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38DFD"/>
  <w15:docId w15:val="{D729AC80-7FD1-2D41-9F9E-173B32197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before="120" w:after="12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jc w:val="both"/>
      <w:outlineLvl w:val="0"/>
    </w:pPr>
    <w:rPr>
      <w:b/>
    </w:rPr>
  </w:style>
  <w:style w:type="paragraph" w:styleId="Heading2">
    <w:name w:val="heading 2"/>
    <w:basedOn w:val="Normal"/>
    <w:next w:val="Normal"/>
    <w:uiPriority w:val="9"/>
    <w:semiHidden/>
    <w:unhideWhenUsed/>
    <w:qFormat/>
    <w:pPr>
      <w:keepNext/>
      <w:keepLines/>
      <w:spacing w:before="160" w:after="80"/>
      <w:outlineLvl w:val="1"/>
    </w:pPr>
    <w:rPr>
      <w:rFonts w:ascii="Calibri" w:eastAsia="Calibri" w:hAnsi="Calibri" w:cs="Calibri"/>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ascii="Calibri" w:eastAsia="Calibri" w:hAnsi="Calibri" w:cs="Calibri"/>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spacing w:before="80" w:after="40"/>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40" w:after="0"/>
      <w:outlineLvl w:val="5"/>
    </w:pPr>
    <w:rPr>
      <w:rFonts w:ascii="Calibri" w:eastAsia="Calibri" w:hAnsi="Calibri" w:cs="Calibri"/>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spacing w:before="0" w:after="80" w:line="240" w:lineRule="auto"/>
    </w:pPr>
    <w:rPr>
      <w:rFonts w:ascii="Calibri" w:eastAsia="Calibri" w:hAnsi="Calibri" w:cs="Calibri"/>
      <w:sz w:val="56"/>
      <w:szCs w:val="56"/>
    </w:rPr>
  </w:style>
  <w:style w:type="paragraph" w:styleId="Subtitle">
    <w:name w:val="Subtitle"/>
    <w:basedOn w:val="Normal"/>
    <w:next w:val="Normal"/>
    <w:uiPriority w:val="11"/>
    <w:qFormat/>
    <w:pPr>
      <w:spacing w:after="160"/>
    </w:pPr>
    <w:rPr>
      <w:rFonts w:ascii="Calibri" w:eastAsia="Calibri" w:hAnsi="Calibri" w:cs="Calibri"/>
      <w:color w:val="595959"/>
      <w:sz w:val="28"/>
      <w:szCs w:val="28"/>
    </w:rPr>
  </w:style>
  <w:style w:type="paragraph" w:styleId="Revision">
    <w:name w:val="Revision"/>
    <w:hidden/>
    <w:uiPriority w:val="99"/>
    <w:semiHidden/>
    <w:rsid w:val="00FF0032"/>
    <w:pPr>
      <w:spacing w:before="0" w:after="0" w:line="240" w:lineRule="auto"/>
    </w:pPr>
  </w:style>
  <w:style w:type="character" w:styleId="CommentReference">
    <w:name w:val="annotation reference"/>
    <w:basedOn w:val="DefaultParagraphFont"/>
    <w:uiPriority w:val="99"/>
    <w:semiHidden/>
    <w:unhideWhenUsed/>
    <w:rsid w:val="00FF0032"/>
    <w:rPr>
      <w:sz w:val="16"/>
      <w:szCs w:val="16"/>
    </w:rPr>
  </w:style>
  <w:style w:type="paragraph" w:styleId="CommentText">
    <w:name w:val="annotation text"/>
    <w:basedOn w:val="Normal"/>
    <w:link w:val="CommentTextChar"/>
    <w:uiPriority w:val="99"/>
    <w:semiHidden/>
    <w:unhideWhenUsed/>
    <w:rsid w:val="00FF0032"/>
    <w:pPr>
      <w:spacing w:line="240" w:lineRule="auto"/>
    </w:pPr>
    <w:rPr>
      <w:sz w:val="20"/>
      <w:szCs w:val="20"/>
    </w:rPr>
  </w:style>
  <w:style w:type="character" w:customStyle="1" w:styleId="CommentTextChar">
    <w:name w:val="Comment Text Char"/>
    <w:basedOn w:val="DefaultParagraphFont"/>
    <w:link w:val="CommentText"/>
    <w:uiPriority w:val="99"/>
    <w:semiHidden/>
    <w:rsid w:val="00FF0032"/>
    <w:rPr>
      <w:sz w:val="20"/>
      <w:szCs w:val="20"/>
    </w:rPr>
  </w:style>
  <w:style w:type="paragraph" w:styleId="CommentSubject">
    <w:name w:val="annotation subject"/>
    <w:basedOn w:val="CommentText"/>
    <w:next w:val="CommentText"/>
    <w:link w:val="CommentSubjectChar"/>
    <w:uiPriority w:val="99"/>
    <w:semiHidden/>
    <w:unhideWhenUsed/>
    <w:rsid w:val="00FF0032"/>
    <w:rPr>
      <w:b/>
      <w:bCs/>
    </w:rPr>
  </w:style>
  <w:style w:type="character" w:customStyle="1" w:styleId="CommentSubjectChar">
    <w:name w:val="Comment Subject Char"/>
    <w:basedOn w:val="CommentTextChar"/>
    <w:link w:val="CommentSubject"/>
    <w:uiPriority w:val="99"/>
    <w:semiHidden/>
    <w:rsid w:val="00FF0032"/>
    <w:rPr>
      <w:b/>
      <w:bCs/>
      <w:sz w:val="20"/>
      <w:szCs w:val="20"/>
    </w:rPr>
  </w:style>
  <w:style w:type="paragraph" w:styleId="NormalWeb">
    <w:name w:val="Normal (Web)"/>
    <w:basedOn w:val="Normal"/>
    <w:uiPriority w:val="99"/>
    <w:unhideWhenUsed/>
    <w:rsid w:val="00CB015A"/>
    <w:pPr>
      <w:spacing w:before="100" w:beforeAutospacing="1" w:after="100" w:afterAutospacing="1" w:line="240" w:lineRule="auto"/>
    </w:pPr>
    <w:rPr>
      <w:rFonts w:ascii="Georgia" w:eastAsia="SimSun" w:hAnsi="Georgia"/>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zotero.org/google-docs/?st89aH" TargetMode="External"/><Relationship Id="rId3" Type="http://schemas.openxmlformats.org/officeDocument/2006/relationships/hyperlink" Target="https://www.zotero.org/google-docs/?NJO9ON" TargetMode="External"/><Relationship Id="rId7" Type="http://schemas.openxmlformats.org/officeDocument/2006/relationships/hyperlink" Target="https://www.zotero.org/google-docs/?st89aH" TargetMode="External"/><Relationship Id="rId2" Type="http://schemas.openxmlformats.org/officeDocument/2006/relationships/hyperlink" Target="https://www.zotero.org/google-docs/?kKaVZ8" TargetMode="External"/><Relationship Id="rId1" Type="http://schemas.openxmlformats.org/officeDocument/2006/relationships/hyperlink" Target="https://www.zotero.org/google-docs/?kKaVZ8" TargetMode="External"/><Relationship Id="rId6" Type="http://schemas.openxmlformats.org/officeDocument/2006/relationships/hyperlink" Target="https://www.zotero.org/google-docs/?st89aH" TargetMode="External"/><Relationship Id="rId5" Type="http://schemas.openxmlformats.org/officeDocument/2006/relationships/hyperlink" Target="https://www.zotero.org/google-docs/?BmoDu2" TargetMode="External"/><Relationship Id="rId4" Type="http://schemas.openxmlformats.org/officeDocument/2006/relationships/hyperlink" Target="https://www.zotero.org/google-docs/?griYL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5158</Words>
  <Characters>29407</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Shelby Bundy</dc:creator>
  <cp:lastModifiedBy>Shelby Bundy</cp:lastModifiedBy>
  <cp:revision>3</cp:revision>
  <dcterms:created xsi:type="dcterms:W3CDTF">2025-07-24T22:25:00Z</dcterms:created>
  <dcterms:modified xsi:type="dcterms:W3CDTF">2025-07-24T22:26:00Z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9fdd143b-22ef-4bb3-b808-1b340a009344</vt:lpwstr>
  </property>
</Properties>
</file>