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CD97531" wp14:paraId="52B3069D" wp14:textId="2F9A79FE">
      <w:pPr>
        <w:spacing w:before="195" w:beforeAutospacing="off" w:after="195" w:afterAutospacing="off"/>
        <w:rPr>
          <w:rFonts w:ascii="Arial" w:hAnsi="Arial" w:eastAsia="Arial" w:cs="Arial"/>
          <w:b w:val="1"/>
          <w:bCs w:val="1"/>
          <w:noProof w:val="0"/>
          <w:sz w:val="22"/>
          <w:szCs w:val="22"/>
          <w:lang w:val="en-GB"/>
        </w:rPr>
      </w:pPr>
    </w:p>
    <w:p xmlns:wp14="http://schemas.microsoft.com/office/word/2010/wordml" w:rsidP="0CD97531" wp14:paraId="75502E31" wp14:textId="0660098B">
      <w:pPr>
        <w:spacing w:before="195" w:beforeAutospacing="off" w:after="195" w:afterAutospacing="off"/>
        <w:rPr>
          <w:rFonts w:ascii="Arial" w:hAnsi="Arial" w:eastAsia="Arial" w:cs="Arial"/>
          <w:b w:val="1"/>
          <w:bCs w:val="1"/>
          <w:noProof w:val="0"/>
          <w:sz w:val="22"/>
          <w:szCs w:val="22"/>
          <w:lang w:val="en-GB"/>
        </w:rPr>
      </w:pPr>
      <w:r w:rsidR="1A320672">
        <w:drawing>
          <wp:inline xmlns:wp14="http://schemas.microsoft.com/office/word/2010/wordprocessingDrawing" wp14:editId="0501981C" wp14:anchorId="4CBD3BEE">
            <wp:extent cx="6638925" cy="2771775"/>
            <wp:effectExtent l="0" t="0" r="0" b="0"/>
            <wp:docPr id="3085300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8530083" name=""/>
                    <pic:cNvPicPr/>
                  </pic:nvPicPr>
                  <pic:blipFill>
                    <a:blip xmlns:r="http://schemas.openxmlformats.org/officeDocument/2006/relationships" r:embed="rId1057839307">
                      <a:extLst>
                        <a:ext xmlns:a="http://schemas.openxmlformats.org/drawingml/2006/main" uri="{28A0092B-C50C-407E-A947-70E740481C1C}">
                          <a14:useLocalDpi xmlns:a14="http://schemas.microsoft.com/office/drawing/2010/main" val="0"/>
                        </a:ext>
                      </a:extLst>
                    </a:blip>
                    <a:stretch>
                      <a:fillRect/>
                    </a:stretch>
                  </pic:blipFill>
                  <pic:spPr>
                    <a:xfrm>
                      <a:off x="0" y="0"/>
                      <a:ext cx="6638925" cy="2771775"/>
                    </a:xfrm>
                    <a:prstGeom prst="rect">
                      <a:avLst/>
                    </a:prstGeom>
                  </pic:spPr>
                </pic:pic>
              </a:graphicData>
            </a:graphic>
          </wp:inline>
        </w:drawing>
      </w:r>
    </w:p>
    <w:p xmlns:wp14="http://schemas.microsoft.com/office/word/2010/wordml" w:rsidP="0CD97531" wp14:paraId="4D267D29" wp14:textId="2EB04F12">
      <w:pPr>
        <w:pStyle w:val="Normal"/>
        <w:spacing w:before="195" w:beforeAutospacing="off" w:after="195" w:afterAutospacing="off"/>
      </w:pPr>
    </w:p>
    <w:p xmlns:wp14="http://schemas.microsoft.com/office/word/2010/wordml" w:rsidP="0CD97531" wp14:paraId="460CC0AF" wp14:textId="3418F462">
      <w:pPr>
        <w:spacing w:before="195" w:beforeAutospacing="off" w:after="195" w:afterAutospacing="off"/>
        <w:rPr>
          <w:rFonts w:ascii="Arial" w:hAnsi="Arial" w:eastAsia="Arial" w:cs="Arial"/>
          <w:b w:val="1"/>
          <w:bCs w:val="1"/>
          <w:noProof w:val="0"/>
          <w:sz w:val="22"/>
          <w:szCs w:val="22"/>
          <w:lang w:val="en-GB"/>
        </w:rPr>
      </w:pPr>
    </w:p>
    <w:p xmlns:wp14="http://schemas.microsoft.com/office/word/2010/wordml" w:rsidP="0CD97531" wp14:paraId="2FBB8C99" wp14:textId="68BDDB5D">
      <w:pPr>
        <w:spacing w:before="195" w:beforeAutospacing="off" w:after="195" w:afterAutospacing="off"/>
        <w:rPr>
          <w:rFonts w:ascii="Arial" w:hAnsi="Arial" w:eastAsia="Arial" w:cs="Arial"/>
          <w:noProof w:val="0"/>
          <w:sz w:val="22"/>
          <w:szCs w:val="22"/>
          <w:lang w:val="en-GB"/>
        </w:rPr>
      </w:pPr>
      <w:r w:rsidRPr="0CD97531" w:rsidR="146D745F">
        <w:rPr>
          <w:rFonts w:ascii="Arial" w:hAnsi="Arial" w:eastAsia="Arial" w:cs="Arial"/>
          <w:b w:val="1"/>
          <w:bCs w:val="1"/>
          <w:noProof w:val="0"/>
          <w:sz w:val="22"/>
          <w:szCs w:val="22"/>
          <w:lang w:val="en-GB"/>
        </w:rPr>
        <w:t>Student name: Mihaela Valkova</w:t>
      </w:r>
    </w:p>
    <w:p xmlns:wp14="http://schemas.microsoft.com/office/word/2010/wordml" w:rsidP="0CD97531" wp14:paraId="15D96D42" wp14:textId="126347FB">
      <w:pPr>
        <w:spacing w:before="195" w:beforeAutospacing="off" w:after="195" w:afterAutospacing="off"/>
        <w:rPr>
          <w:rFonts w:ascii="Arial" w:hAnsi="Arial" w:eastAsia="Arial" w:cs="Arial"/>
          <w:noProof w:val="0"/>
          <w:sz w:val="22"/>
          <w:szCs w:val="22"/>
          <w:lang w:val="en-GB"/>
        </w:rPr>
      </w:pPr>
      <w:r w:rsidRPr="0CD97531" w:rsidR="146D745F">
        <w:rPr>
          <w:rFonts w:ascii="Arial" w:hAnsi="Arial" w:eastAsia="Arial" w:cs="Arial"/>
          <w:b w:val="1"/>
          <w:bCs w:val="1"/>
          <w:noProof w:val="0"/>
          <w:sz w:val="22"/>
          <w:szCs w:val="22"/>
          <w:lang w:val="en-GB"/>
        </w:rPr>
        <w:t>Student ID 2243479</w:t>
      </w:r>
    </w:p>
    <w:p xmlns:wp14="http://schemas.microsoft.com/office/word/2010/wordml" w:rsidP="0CD97531" wp14:paraId="6CEA725F" wp14:textId="5763BDE5">
      <w:pPr>
        <w:spacing w:before="195" w:beforeAutospacing="off" w:after="195" w:afterAutospacing="off"/>
        <w:rPr>
          <w:rFonts w:ascii="Arial" w:hAnsi="Arial" w:eastAsia="Arial" w:cs="Arial"/>
          <w:noProof w:val="0"/>
          <w:sz w:val="22"/>
          <w:szCs w:val="22"/>
          <w:lang w:val="en-GB"/>
        </w:rPr>
      </w:pPr>
      <w:r w:rsidRPr="0CD97531" w:rsidR="146D745F">
        <w:rPr>
          <w:rFonts w:ascii="Arial" w:hAnsi="Arial" w:eastAsia="Arial" w:cs="Arial"/>
          <w:b w:val="1"/>
          <w:bCs w:val="1"/>
          <w:noProof w:val="0"/>
          <w:sz w:val="22"/>
          <w:szCs w:val="22"/>
          <w:lang w:val="en-GB"/>
        </w:rPr>
        <w:t>Module: Introduction to Health and Social Care</w:t>
      </w:r>
    </w:p>
    <w:p xmlns:wp14="http://schemas.microsoft.com/office/word/2010/wordml" w:rsidP="0CD97531" wp14:paraId="43C44143" wp14:textId="5ACAE157">
      <w:pPr>
        <w:spacing w:before="195" w:beforeAutospacing="off" w:after="195" w:afterAutospacing="off"/>
        <w:rPr>
          <w:rFonts w:ascii="Arial" w:hAnsi="Arial" w:eastAsia="Arial" w:cs="Arial"/>
          <w:noProof w:val="0"/>
          <w:sz w:val="22"/>
          <w:szCs w:val="22"/>
          <w:lang w:val="en-GB"/>
        </w:rPr>
      </w:pPr>
      <w:r w:rsidRPr="0CD97531" w:rsidR="146D745F">
        <w:rPr>
          <w:rFonts w:ascii="Arial" w:hAnsi="Arial" w:eastAsia="Arial" w:cs="Arial"/>
          <w:b w:val="1"/>
          <w:bCs w:val="1"/>
          <w:noProof w:val="0"/>
          <w:sz w:val="22"/>
          <w:szCs w:val="22"/>
          <w:lang w:val="en-GB"/>
        </w:rPr>
        <w:t>Module code: LCHS4003</w:t>
      </w:r>
    </w:p>
    <w:p xmlns:wp14="http://schemas.microsoft.com/office/word/2010/wordml" w:rsidP="0CD97531" wp14:paraId="7FEC795F" wp14:textId="027A94C7">
      <w:pPr>
        <w:spacing w:before="195" w:beforeAutospacing="off" w:after="195" w:afterAutospacing="off"/>
        <w:rPr>
          <w:rFonts w:ascii="Arial" w:hAnsi="Arial" w:eastAsia="Arial" w:cs="Arial"/>
          <w:noProof w:val="0"/>
          <w:color w:val="1D2125"/>
          <w:sz w:val="22"/>
          <w:szCs w:val="22"/>
          <w:lang w:val="en-GB"/>
        </w:rPr>
      </w:pPr>
      <w:r w:rsidRPr="0CD97531" w:rsidR="146D745F">
        <w:rPr>
          <w:rFonts w:ascii="Arial" w:hAnsi="Arial" w:eastAsia="Arial" w:cs="Arial"/>
          <w:b w:val="1"/>
          <w:bCs w:val="1"/>
          <w:noProof w:val="0"/>
          <w:sz w:val="22"/>
          <w:szCs w:val="22"/>
          <w:lang w:val="en-GB"/>
        </w:rPr>
        <w:t xml:space="preserve">Lecturer: Dr </w:t>
      </w:r>
      <w:r w:rsidRPr="0CD97531" w:rsidR="146D745F">
        <w:rPr>
          <w:rFonts w:ascii="Arial" w:hAnsi="Arial" w:eastAsia="Arial" w:cs="Arial"/>
          <w:b w:val="1"/>
          <w:bCs w:val="1"/>
          <w:noProof w:val="0"/>
          <w:color w:val="1D2125"/>
          <w:sz w:val="22"/>
          <w:szCs w:val="22"/>
          <w:lang w:val="en-GB"/>
        </w:rPr>
        <w:t>Aishat Bakre</w:t>
      </w:r>
    </w:p>
    <w:p xmlns:wp14="http://schemas.microsoft.com/office/word/2010/wordml" w:rsidP="0CD97531" wp14:paraId="2E19313A" wp14:textId="1FA61C71">
      <w:pPr>
        <w:pStyle w:val="Title"/>
        <w:spacing w:after="80" w:line="240" w:lineRule="auto"/>
        <w:rPr>
          <w:rFonts w:ascii="Arial" w:hAnsi="Arial" w:eastAsia="Arial" w:cs="Arial"/>
          <w:noProof w:val="0"/>
          <w:sz w:val="22"/>
          <w:szCs w:val="22"/>
          <w:lang w:val="en-GB"/>
        </w:rPr>
      </w:pPr>
      <w:r w:rsidRPr="0CD97531" w:rsidR="146D745F">
        <w:rPr>
          <w:rFonts w:ascii="Arial" w:hAnsi="Arial" w:eastAsia="Arial" w:cs="Arial"/>
          <w:b w:val="1"/>
          <w:bCs w:val="1"/>
          <w:noProof w:val="0"/>
          <w:sz w:val="22"/>
          <w:szCs w:val="22"/>
          <w:lang w:val="en-GB"/>
        </w:rPr>
        <w:t>Assignment title: Written assignment component 2 Case study: Mrs Mann</w:t>
      </w:r>
    </w:p>
    <w:p xmlns:wp14="http://schemas.microsoft.com/office/word/2010/wordml" w:rsidP="0CD97531" wp14:paraId="3BC2E75B" wp14:textId="3336AE4F">
      <w:pPr>
        <w:spacing w:before="195" w:beforeAutospacing="off" w:after="195" w:afterAutospacing="off"/>
        <w:rPr>
          <w:rFonts w:ascii="Arial" w:hAnsi="Arial" w:eastAsia="Arial" w:cs="Arial"/>
          <w:noProof w:val="0"/>
          <w:sz w:val="22"/>
          <w:szCs w:val="22"/>
          <w:lang w:val="en-GB"/>
        </w:rPr>
      </w:pPr>
    </w:p>
    <w:p xmlns:wp14="http://schemas.microsoft.com/office/word/2010/wordml" w:rsidP="0CD97531" wp14:paraId="4F016340" wp14:textId="1ABDB47F">
      <w:pPr>
        <w:spacing w:before="195" w:beforeAutospacing="off" w:after="195" w:afterAutospacing="off"/>
        <w:rPr>
          <w:rFonts w:ascii="Helvetica Neue" w:hAnsi="Helvetica Neue" w:eastAsia="Helvetica Neue" w:cs="Helvetica Neue"/>
          <w:noProof w:val="0"/>
          <w:sz w:val="19"/>
          <w:szCs w:val="19"/>
          <w:lang w:val="en-GB"/>
        </w:rPr>
      </w:pPr>
    </w:p>
    <w:p xmlns:wp14="http://schemas.microsoft.com/office/word/2010/wordml" w:rsidP="0CD97531" wp14:paraId="7479DE20" wp14:textId="18887137">
      <w:pPr>
        <w:spacing w:before="195" w:beforeAutospacing="off" w:after="195" w:afterAutospacing="off"/>
        <w:rPr>
          <w:rFonts w:ascii="Helvetica Neue" w:hAnsi="Helvetica Neue" w:eastAsia="Helvetica Neue" w:cs="Helvetica Neue"/>
          <w:noProof w:val="0"/>
          <w:sz w:val="19"/>
          <w:szCs w:val="19"/>
          <w:lang w:val="en-GB"/>
        </w:rPr>
      </w:pPr>
    </w:p>
    <w:p xmlns:wp14="http://schemas.microsoft.com/office/word/2010/wordml" w:rsidP="0CD97531" wp14:paraId="317B1F80" wp14:textId="1E71BC9E">
      <w:pPr>
        <w:pStyle w:val="Heading1"/>
        <w:spacing w:before="195" w:beforeAutospacing="off" w:after="195" w:afterAutospacing="off"/>
        <w:rPr>
          <w:rFonts w:ascii="Arial" w:hAnsi="Arial" w:eastAsia="Arial" w:cs="Arial"/>
          <w:b w:val="1"/>
          <w:bCs w:val="1"/>
          <w:noProof w:val="0"/>
          <w:color w:val="auto"/>
          <w:sz w:val="22"/>
          <w:szCs w:val="22"/>
          <w:lang w:val="en-GB"/>
        </w:rPr>
      </w:pPr>
    </w:p>
    <w:p xmlns:wp14="http://schemas.microsoft.com/office/word/2010/wordml" w:rsidP="0CD97531" wp14:paraId="63A9F51D" wp14:textId="76F5EF8F">
      <w:pPr>
        <w:pStyle w:val="Heading1"/>
        <w:spacing w:before="195" w:beforeAutospacing="off" w:after="195" w:afterAutospacing="off"/>
        <w:rPr>
          <w:rFonts w:ascii="Arial" w:hAnsi="Arial" w:eastAsia="Arial" w:cs="Arial"/>
          <w:noProof w:val="0"/>
          <w:color w:val="auto"/>
          <w:sz w:val="22"/>
          <w:szCs w:val="22"/>
          <w:lang w:val="en-GB"/>
        </w:rPr>
      </w:pPr>
      <w:r w:rsidRPr="0CD97531" w:rsidR="146D745F">
        <w:rPr>
          <w:rFonts w:ascii="Arial" w:hAnsi="Arial" w:eastAsia="Arial" w:cs="Arial"/>
          <w:b w:val="1"/>
          <w:bCs w:val="1"/>
          <w:noProof w:val="0"/>
          <w:color w:val="auto"/>
          <w:sz w:val="22"/>
          <w:szCs w:val="22"/>
          <w:lang w:val="en-GB"/>
        </w:rPr>
        <w:t xml:space="preserve">Introduction </w:t>
      </w:r>
    </w:p>
    <w:p xmlns:wp14="http://schemas.microsoft.com/office/word/2010/wordml" w:rsidP="0CD97531" wp14:paraId="29D21807" wp14:textId="00E862CE">
      <w:pPr>
        <w:pStyle w:val="Normal"/>
        <w:spacing w:before="0" w:beforeAutospacing="off" w:after="0" w:afterAutospacing="off" w:line="360" w:lineRule="auto"/>
        <w:contextualSpacing w:val="1"/>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High-quality health and social care practice relies on effective communication, </w:t>
      </w:r>
      <w:r w:rsidRPr="0CD97531" w:rsidR="146D745F">
        <w:rPr>
          <w:rFonts w:ascii="Arial" w:hAnsi="Arial" w:eastAsia="Arial" w:cs="Arial"/>
          <w:noProof w:val="0"/>
          <w:color w:val="auto"/>
          <w:sz w:val="22"/>
          <w:szCs w:val="22"/>
          <w:lang w:val="en-GB"/>
        </w:rPr>
        <w:t>accurate</w:t>
      </w:r>
      <w:r w:rsidRPr="0CD97531" w:rsidR="146D745F">
        <w:rPr>
          <w:rFonts w:ascii="Arial" w:hAnsi="Arial" w:eastAsia="Arial" w:cs="Arial"/>
          <w:noProof w:val="0"/>
          <w:color w:val="auto"/>
          <w:sz w:val="22"/>
          <w:szCs w:val="22"/>
          <w:lang w:val="en-GB"/>
        </w:rPr>
        <w:t xml:space="preserve"> administrative processes, and coordinated interprofessional collaboration. These elements ensure safe, lawful, and person-centred support, especially for vulnerable individuals such as Mrs Mann, a 72-year-old woman recovering from hip-replacement surgery (NMC, 2018). According to National Healthcare Service (NHS) England guidance, effective rehabilitation requires clear communication and coordinated multi-agency support (NHS England, 2023). </w:t>
      </w:r>
    </w:p>
    <w:p xmlns:wp14="http://schemas.microsoft.com/office/word/2010/wordml" w:rsidP="0CD97531" wp14:paraId="0A1C1607" wp14:textId="166DB359">
      <w:pPr>
        <w:pStyle w:val="Normal"/>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Mrs Mann’s limited English skills increase the risk of misunderstanding important health information, and according to the Equality Act 2010, providers must make reasonable adjustments to prevent disadvantage based on language needs. Research </w:t>
      </w:r>
      <w:r w:rsidRPr="0CD97531" w:rsidR="146D745F">
        <w:rPr>
          <w:rFonts w:ascii="Arial" w:hAnsi="Arial" w:eastAsia="Arial" w:cs="Arial"/>
          <w:noProof w:val="0"/>
          <w:color w:val="auto"/>
          <w:sz w:val="22"/>
          <w:szCs w:val="22"/>
          <w:lang w:val="en-GB"/>
        </w:rPr>
        <w:t>demonstrates</w:t>
      </w:r>
      <w:r w:rsidRPr="0CD97531" w:rsidR="146D745F">
        <w:rPr>
          <w:rFonts w:ascii="Arial" w:hAnsi="Arial" w:eastAsia="Arial" w:cs="Arial"/>
          <w:noProof w:val="0"/>
          <w:color w:val="auto"/>
          <w:sz w:val="22"/>
          <w:szCs w:val="22"/>
          <w:lang w:val="en-GB"/>
        </w:rPr>
        <w:t xml:space="preserve"> that language barriers increase medication errors and reduce adherence to rehabilitation plans among older adults (Joseph et al., 2022). Evidence also </w:t>
      </w:r>
      <w:r w:rsidRPr="0CD97531" w:rsidR="146D745F">
        <w:rPr>
          <w:rFonts w:ascii="Arial" w:hAnsi="Arial" w:eastAsia="Arial" w:cs="Arial"/>
          <w:noProof w:val="0"/>
          <w:color w:val="auto"/>
          <w:sz w:val="22"/>
          <w:szCs w:val="22"/>
          <w:lang w:val="en-GB"/>
        </w:rPr>
        <w:t>indicates</w:t>
      </w:r>
      <w:r w:rsidRPr="0CD97531" w:rsidR="146D745F">
        <w:rPr>
          <w:rFonts w:ascii="Arial" w:hAnsi="Arial" w:eastAsia="Arial" w:cs="Arial"/>
          <w:noProof w:val="0"/>
          <w:color w:val="auto"/>
          <w:sz w:val="22"/>
          <w:szCs w:val="22"/>
          <w:lang w:val="en-GB"/>
        </w:rPr>
        <w:t xml:space="preserve"> that limited English skills contribute to communication-related safety concerns following discharge (O’Hagan and Persaud, 2021). </w:t>
      </w:r>
    </w:p>
    <w:p xmlns:wp14="http://schemas.microsoft.com/office/word/2010/wordml" w:rsidP="0CD97531" wp14:paraId="7EFFDEE9" wp14:textId="24B7F6E0">
      <w:pPr>
        <w:pStyle w:val="Normal"/>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Safe care further depends on </w:t>
      </w:r>
      <w:r w:rsidRPr="0CD97531" w:rsidR="146D745F">
        <w:rPr>
          <w:rFonts w:ascii="Arial" w:hAnsi="Arial" w:eastAsia="Arial" w:cs="Arial"/>
          <w:noProof w:val="0"/>
          <w:color w:val="auto"/>
          <w:sz w:val="22"/>
          <w:szCs w:val="22"/>
          <w:lang w:val="en-GB"/>
        </w:rPr>
        <w:t>accurate</w:t>
      </w:r>
      <w:r w:rsidRPr="0CD97531" w:rsidR="146D745F">
        <w:rPr>
          <w:rFonts w:ascii="Arial" w:hAnsi="Arial" w:eastAsia="Arial" w:cs="Arial"/>
          <w:noProof w:val="0"/>
          <w:color w:val="auto"/>
          <w:sz w:val="22"/>
          <w:szCs w:val="22"/>
          <w:lang w:val="en-GB"/>
        </w:rPr>
        <w:t xml:space="preserve"> documentation and </w:t>
      </w:r>
      <w:r w:rsidRPr="0CD97531" w:rsidR="146D745F">
        <w:rPr>
          <w:rFonts w:ascii="Arial" w:hAnsi="Arial" w:eastAsia="Arial" w:cs="Arial"/>
          <w:noProof w:val="0"/>
          <w:color w:val="auto"/>
          <w:sz w:val="22"/>
          <w:szCs w:val="22"/>
          <w:lang w:val="en-GB"/>
        </w:rPr>
        <w:t>timely</w:t>
      </w:r>
      <w:r w:rsidRPr="0CD97531" w:rsidR="146D745F">
        <w:rPr>
          <w:rFonts w:ascii="Arial" w:hAnsi="Arial" w:eastAsia="Arial" w:cs="Arial"/>
          <w:noProof w:val="0"/>
          <w:color w:val="auto"/>
          <w:sz w:val="22"/>
          <w:szCs w:val="22"/>
          <w:lang w:val="en-GB"/>
        </w:rPr>
        <w:t xml:space="preserve"> communication between her GP, physiotherapist, and domiciliary carers, as highlighted by the </w:t>
      </w:r>
      <w:r w:rsidRPr="0CD97531" w:rsidR="146D745F">
        <w:rPr>
          <w:rFonts w:ascii="Arial" w:hAnsi="Arial" w:eastAsia="Arial" w:cs="Arial"/>
          <w:noProof w:val="0"/>
          <w:color w:val="auto"/>
          <w:sz w:val="22"/>
          <w:szCs w:val="22"/>
          <w:lang w:val="en-GB"/>
        </w:rPr>
        <w:t>previous</w:t>
      </w:r>
      <w:r w:rsidRPr="0CD97531" w:rsidR="146D745F">
        <w:rPr>
          <w:rFonts w:ascii="Arial" w:hAnsi="Arial" w:eastAsia="Arial" w:cs="Arial"/>
          <w:noProof w:val="0"/>
          <w:color w:val="auto"/>
          <w:sz w:val="22"/>
          <w:szCs w:val="22"/>
          <w:lang w:val="en-GB"/>
        </w:rPr>
        <w:t xml:space="preserve"> delay in medication adjustment (Williams and Jones, 2020). According to NHS England guidance, consistent documentation is essential for safe clinical decision-making and continuity of care (NHS England, 2019). This assignment explores communication, administrative practice, and interprofessional working, showing how legislation, professional standards, and current evidence support high-quality care for Mrs Mann.</w:t>
      </w:r>
    </w:p>
    <w:p xmlns:wp14="http://schemas.microsoft.com/office/word/2010/wordml" w:rsidP="0CD97531" wp14:paraId="647326D6" wp14:textId="5B22AFA7">
      <w:pPr>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61FB974E" wp14:textId="1D6706CC">
      <w:pPr>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4FBA0DE6" wp14:textId="11D3E6D4">
      <w:pPr>
        <w:pStyle w:val="Heading1"/>
        <w:keepNext w:val="1"/>
        <w:keepLines w:val="1"/>
        <w:spacing w:before="0" w:beforeAutospacing="off" w:after="0" w:afterAutospacing="off" w:line="360" w:lineRule="auto"/>
        <w:contextualSpacing w:val="1"/>
        <w:rPr>
          <w:rFonts w:ascii="Arial" w:hAnsi="Arial" w:eastAsia="Arial" w:cs="Arial"/>
          <w:noProof w:val="0"/>
          <w:color w:val="auto"/>
          <w:sz w:val="22"/>
          <w:szCs w:val="22"/>
          <w:lang w:val="en-GB"/>
        </w:rPr>
      </w:pPr>
      <w:r w:rsidRPr="0CD97531" w:rsidR="146D745F">
        <w:rPr>
          <w:rFonts w:ascii="Arial" w:hAnsi="Arial" w:eastAsia="Arial" w:cs="Arial"/>
          <w:b w:val="1"/>
          <w:bCs w:val="1"/>
          <w:noProof w:val="0"/>
          <w:color w:val="auto"/>
          <w:sz w:val="22"/>
          <w:szCs w:val="22"/>
          <w:lang w:val="en-GB"/>
        </w:rPr>
        <w:t xml:space="preserve">Effective Communication </w:t>
      </w:r>
    </w:p>
    <w:p xmlns:wp14="http://schemas.microsoft.com/office/word/2010/wordml" w:rsidP="0CD97531" wp14:paraId="4E63A12C" wp14:textId="2594EFAE">
      <w:pPr>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36388DF8" wp14:textId="0D8CA195">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Effective communication is essential for safe, person-centred care, helping professionals build rapport, provide clear information, and support autonomy (Skills for Care, 2022). Research </w:t>
      </w:r>
      <w:r w:rsidRPr="0CD97531" w:rsidR="146D745F">
        <w:rPr>
          <w:rFonts w:ascii="Arial" w:hAnsi="Arial" w:eastAsia="Arial" w:cs="Arial"/>
          <w:noProof w:val="0"/>
          <w:color w:val="auto"/>
          <w:sz w:val="22"/>
          <w:szCs w:val="22"/>
          <w:lang w:val="en-GB"/>
        </w:rPr>
        <w:t>identifies</w:t>
      </w:r>
      <w:r w:rsidRPr="0CD97531" w:rsidR="146D745F">
        <w:rPr>
          <w:rFonts w:ascii="Arial" w:hAnsi="Arial" w:eastAsia="Arial" w:cs="Arial"/>
          <w:noProof w:val="0"/>
          <w:color w:val="auto"/>
          <w:sz w:val="22"/>
          <w:szCs w:val="22"/>
          <w:lang w:val="en-GB"/>
        </w:rPr>
        <w:t xml:space="preserve"> clarity, structure, and adaptation as key elements of effective communication in health and social care (Silverman, </w:t>
      </w:r>
      <w:r w:rsidRPr="0CD97531" w:rsidR="146D745F">
        <w:rPr>
          <w:rFonts w:ascii="Arial" w:hAnsi="Arial" w:eastAsia="Arial" w:cs="Arial"/>
          <w:noProof w:val="0"/>
          <w:color w:val="auto"/>
          <w:sz w:val="22"/>
          <w:szCs w:val="22"/>
          <w:lang w:val="en-GB"/>
        </w:rPr>
        <w:t>Kurtz</w:t>
      </w:r>
      <w:r w:rsidRPr="0CD97531" w:rsidR="146D745F">
        <w:rPr>
          <w:rFonts w:ascii="Arial" w:hAnsi="Arial" w:eastAsia="Arial" w:cs="Arial"/>
          <w:noProof w:val="0"/>
          <w:color w:val="auto"/>
          <w:sz w:val="22"/>
          <w:szCs w:val="22"/>
          <w:lang w:val="en-GB"/>
        </w:rPr>
        <w:t xml:space="preserve"> and Draper, 2016). For Mrs Mann, communication must be adapted to support her limited English </w:t>
      </w:r>
      <w:r w:rsidRPr="0CD97531" w:rsidR="146D745F">
        <w:rPr>
          <w:rFonts w:ascii="Arial" w:hAnsi="Arial" w:eastAsia="Arial" w:cs="Arial"/>
          <w:noProof w:val="0"/>
          <w:color w:val="auto"/>
          <w:sz w:val="22"/>
          <w:szCs w:val="22"/>
          <w:lang w:val="en-GB"/>
        </w:rPr>
        <w:t>proficiency</w:t>
      </w:r>
      <w:r w:rsidRPr="0CD97531" w:rsidR="146D745F">
        <w:rPr>
          <w:rFonts w:ascii="Arial" w:hAnsi="Arial" w:eastAsia="Arial" w:cs="Arial"/>
          <w:noProof w:val="0"/>
          <w:color w:val="auto"/>
          <w:sz w:val="22"/>
          <w:szCs w:val="22"/>
          <w:lang w:val="en-GB"/>
        </w:rPr>
        <w:t xml:space="preserve">. Evidence shows that older adults with limited English experience significantly higher rates of medication errors due to misunderstandings (Joseph et al., 2022). </w:t>
      </w:r>
      <w:r w:rsidRPr="0CD97531" w:rsidR="146D745F">
        <w:rPr>
          <w:rFonts w:ascii="Arial" w:hAnsi="Arial" w:eastAsia="Arial" w:cs="Arial"/>
          <w:noProof w:val="0"/>
          <w:color w:val="auto"/>
          <w:sz w:val="22"/>
          <w:szCs w:val="22"/>
          <w:lang w:val="en-GB"/>
        </w:rPr>
        <w:t>Additional</w:t>
      </w:r>
      <w:r w:rsidRPr="0CD97531" w:rsidR="146D745F">
        <w:rPr>
          <w:rFonts w:ascii="Arial" w:hAnsi="Arial" w:eastAsia="Arial" w:cs="Arial"/>
          <w:noProof w:val="0"/>
          <w:color w:val="auto"/>
          <w:sz w:val="22"/>
          <w:szCs w:val="22"/>
          <w:lang w:val="en-GB"/>
        </w:rPr>
        <w:t xml:space="preserve"> research highlights an increased risk of safety incidents when communication barriers are not addressed (Williams and Jones, 2020).</w:t>
      </w:r>
    </w:p>
    <w:p xmlns:wp14="http://schemas.microsoft.com/office/word/2010/wordml" w:rsidP="0CD97531" wp14:paraId="059B9505" wp14:textId="6D697BB9">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According to the Equality Act 2010, health and social care providers are legally required to make reasonable adjustments for individuals disadvantaged by language barriers. In practice, this means offering a trained interpreter rather than relying solely on family members. Research shows that professional interpreters provide greater accuracy and safety than informal family interpreting (O’Hagan and Persaud, 2021). This further supports the need to prioritise </w:t>
      </w:r>
      <w:r w:rsidRPr="0CD97531" w:rsidR="146D745F">
        <w:rPr>
          <w:rFonts w:ascii="Arial" w:hAnsi="Arial" w:eastAsia="Arial" w:cs="Arial"/>
          <w:noProof w:val="0"/>
          <w:color w:val="auto"/>
          <w:sz w:val="22"/>
          <w:szCs w:val="22"/>
          <w:lang w:val="en-GB"/>
        </w:rPr>
        <w:t>accurate</w:t>
      </w:r>
      <w:r w:rsidRPr="0CD97531" w:rsidR="146D745F">
        <w:rPr>
          <w:rFonts w:ascii="Arial" w:hAnsi="Arial" w:eastAsia="Arial" w:cs="Arial"/>
          <w:noProof w:val="0"/>
          <w:color w:val="auto"/>
          <w:sz w:val="22"/>
          <w:szCs w:val="22"/>
          <w:lang w:val="en-GB"/>
        </w:rPr>
        <w:t xml:space="preserve"> information exchange and ensure Mrs Mann’s involvement in her care.</w:t>
      </w:r>
    </w:p>
    <w:p xmlns:wp14="http://schemas.microsoft.com/office/word/2010/wordml" w:rsidP="0CD97531" wp14:paraId="59AD4E38" wp14:textId="68D43407">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Communication theory also guides practice. Berlo’s (1960) SMCR model emphasises the importance of Source, Message, Channel, and Receiver. Applied to Mrs Mann, this means simplifying verbal information and using visual prompts or demonstrations to enhance understanding (McCabe and Timmins, 2018). Selecting </w:t>
      </w:r>
      <w:r w:rsidRPr="0CD97531" w:rsidR="146D745F">
        <w:rPr>
          <w:rFonts w:ascii="Arial" w:hAnsi="Arial" w:eastAsia="Arial" w:cs="Arial"/>
          <w:noProof w:val="0"/>
          <w:color w:val="auto"/>
          <w:sz w:val="22"/>
          <w:szCs w:val="22"/>
          <w:lang w:val="en-GB"/>
        </w:rPr>
        <w:t>an appropriate communication</w:t>
      </w:r>
      <w:r w:rsidRPr="0CD97531" w:rsidR="146D745F">
        <w:rPr>
          <w:rFonts w:ascii="Arial" w:hAnsi="Arial" w:eastAsia="Arial" w:cs="Arial"/>
          <w:noProof w:val="0"/>
          <w:color w:val="auto"/>
          <w:sz w:val="22"/>
          <w:szCs w:val="22"/>
          <w:lang w:val="en-GB"/>
        </w:rPr>
        <w:t xml:space="preserve"> channel, such as translated information or physical demonstration, supports comprehension (Arnold and Boggs, 2019). NHS England recommends the ‘teach-back’ method to reduce errors and confirm understanding (NHS England, 2023), and research shows this approach improves comprehension among older adults (Joseph et al., 2022).</w:t>
      </w:r>
    </w:p>
    <w:p xmlns:wp14="http://schemas.microsoft.com/office/word/2010/wordml" w:rsidP="0CD97531" wp14:paraId="7152CAA3" wp14:textId="7B1E6BDB">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Non-verbal communication also plays a vital role. Supportive tone, gentle facial expression, and </w:t>
      </w:r>
      <w:r w:rsidRPr="0CD97531" w:rsidR="146D745F">
        <w:rPr>
          <w:rFonts w:ascii="Arial" w:hAnsi="Arial" w:eastAsia="Arial" w:cs="Arial"/>
          <w:noProof w:val="0"/>
          <w:color w:val="auto"/>
          <w:sz w:val="22"/>
          <w:szCs w:val="22"/>
          <w:lang w:val="en-GB"/>
        </w:rPr>
        <w:t>appropriate eye</w:t>
      </w:r>
      <w:r w:rsidRPr="0CD97531" w:rsidR="146D745F">
        <w:rPr>
          <w:rFonts w:ascii="Arial" w:hAnsi="Arial" w:eastAsia="Arial" w:cs="Arial"/>
          <w:noProof w:val="0"/>
          <w:color w:val="auto"/>
          <w:sz w:val="22"/>
          <w:szCs w:val="22"/>
          <w:lang w:val="en-GB"/>
        </w:rPr>
        <w:t xml:space="preserve"> contact help reduce anxiety and build rapport when verbal communication is limited (Silverman, </w:t>
      </w:r>
      <w:r w:rsidRPr="0CD97531" w:rsidR="146D745F">
        <w:rPr>
          <w:rFonts w:ascii="Arial" w:hAnsi="Arial" w:eastAsia="Arial" w:cs="Arial"/>
          <w:noProof w:val="0"/>
          <w:color w:val="auto"/>
          <w:sz w:val="22"/>
          <w:szCs w:val="22"/>
          <w:lang w:val="en-GB"/>
        </w:rPr>
        <w:t>Kurtz</w:t>
      </w:r>
      <w:r w:rsidRPr="0CD97531" w:rsidR="146D745F">
        <w:rPr>
          <w:rFonts w:ascii="Arial" w:hAnsi="Arial" w:eastAsia="Arial" w:cs="Arial"/>
          <w:noProof w:val="0"/>
          <w:color w:val="auto"/>
          <w:sz w:val="22"/>
          <w:szCs w:val="22"/>
          <w:lang w:val="en-GB"/>
        </w:rPr>
        <w:t xml:space="preserve"> and Draper, 2016). Evidence further suggests that culturally sensitive non-verbal communication enhances trust among minority patients (O’Hagan and Persaud, 2021).</w:t>
      </w:r>
    </w:p>
    <w:p xmlns:wp14="http://schemas.microsoft.com/office/word/2010/wordml" w:rsidP="0CD97531" wp14:paraId="3A553F69" wp14:textId="6EDC186D">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Interprofessional communication is essential for ensuring consistency in Mrs Mann’s care. According to Institute for Healthcare Improvement (IHI) guidance, structured tools such as SBAR improve clarity and reduce the likelihood of missed information (IHI, 2022). Research additionally supports the use of digital care platforms to improve real-time information sharing (Green and Dawkins, 2021). Overall, legislation, professional guidance, and evidence-based strategies work together to promote safe and inclusive communication for Mrs Mann.</w:t>
      </w:r>
    </w:p>
    <w:p xmlns:wp14="http://schemas.microsoft.com/office/word/2010/wordml" w:rsidP="0CD97531" wp14:paraId="380FF3F5" wp14:textId="30605662">
      <w:pPr>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18F635BA" wp14:textId="26C018F7">
      <w:pPr>
        <w:pStyle w:val="Normal"/>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27B78E16" wp14:textId="41095278">
      <w:pPr>
        <w:pStyle w:val="Heading1"/>
        <w:keepNext w:val="1"/>
        <w:keepLines w:val="1"/>
        <w:spacing w:before="360" w:after="80" w:line="360" w:lineRule="auto"/>
        <w:rPr>
          <w:rFonts w:ascii="Arial" w:hAnsi="Arial" w:eastAsia="Arial" w:cs="Arial"/>
          <w:noProof w:val="0"/>
          <w:color w:val="auto"/>
          <w:sz w:val="22"/>
          <w:szCs w:val="22"/>
          <w:lang w:val="en-GB"/>
        </w:rPr>
      </w:pPr>
      <w:r w:rsidRPr="0CD97531" w:rsidR="146D745F">
        <w:rPr>
          <w:rFonts w:ascii="Arial" w:hAnsi="Arial" w:eastAsia="Arial" w:cs="Arial"/>
          <w:b w:val="1"/>
          <w:bCs w:val="1"/>
          <w:noProof w:val="0"/>
          <w:color w:val="auto"/>
          <w:sz w:val="22"/>
          <w:szCs w:val="22"/>
          <w:lang w:val="en-GB"/>
        </w:rPr>
        <w:t>Importance of Administrative Skills and Record Keeping</w:t>
      </w:r>
    </w:p>
    <w:p xmlns:wp14="http://schemas.microsoft.com/office/word/2010/wordml" w:rsidP="0CD97531" wp14:paraId="6A1AA249" wp14:textId="39B06822">
      <w:pPr>
        <w:spacing w:line="360" w:lineRule="auto"/>
        <w:rPr>
          <w:rFonts w:ascii="Arial" w:hAnsi="Arial" w:eastAsia="Arial" w:cs="Arial"/>
          <w:noProof w:val="0"/>
          <w:color w:val="auto"/>
          <w:sz w:val="22"/>
          <w:szCs w:val="22"/>
          <w:lang w:val="en-GB"/>
        </w:rPr>
      </w:pPr>
    </w:p>
    <w:p xmlns:wp14="http://schemas.microsoft.com/office/word/2010/wordml" w:rsidP="0CD97531" wp14:paraId="53FA07AF" wp14:textId="3B6069A5">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Administrative competence and </w:t>
      </w:r>
      <w:r w:rsidRPr="0CD97531" w:rsidR="146D745F">
        <w:rPr>
          <w:rFonts w:ascii="Arial" w:hAnsi="Arial" w:eastAsia="Arial" w:cs="Arial"/>
          <w:noProof w:val="0"/>
          <w:color w:val="auto"/>
          <w:sz w:val="22"/>
          <w:szCs w:val="22"/>
          <w:lang w:val="en-GB"/>
        </w:rPr>
        <w:t>accurate</w:t>
      </w:r>
      <w:r w:rsidRPr="0CD97531" w:rsidR="146D745F">
        <w:rPr>
          <w:rFonts w:ascii="Arial" w:hAnsi="Arial" w:eastAsia="Arial" w:cs="Arial"/>
          <w:noProof w:val="0"/>
          <w:color w:val="auto"/>
          <w:sz w:val="22"/>
          <w:szCs w:val="22"/>
          <w:lang w:val="en-GB"/>
        </w:rPr>
        <w:t xml:space="preserve"> record keeping are essential for safe, lawful, and coordinated health and social care practice. Clear and </w:t>
      </w:r>
      <w:r w:rsidRPr="0CD97531" w:rsidR="146D745F">
        <w:rPr>
          <w:rFonts w:ascii="Arial" w:hAnsi="Arial" w:eastAsia="Arial" w:cs="Arial"/>
          <w:noProof w:val="0"/>
          <w:color w:val="auto"/>
          <w:sz w:val="22"/>
          <w:szCs w:val="22"/>
          <w:lang w:val="en-GB"/>
        </w:rPr>
        <w:t>timely</w:t>
      </w:r>
      <w:r w:rsidRPr="0CD97531" w:rsidR="146D745F">
        <w:rPr>
          <w:rFonts w:ascii="Arial" w:hAnsi="Arial" w:eastAsia="Arial" w:cs="Arial"/>
          <w:noProof w:val="0"/>
          <w:color w:val="auto"/>
          <w:sz w:val="22"/>
          <w:szCs w:val="22"/>
          <w:lang w:val="en-GB"/>
        </w:rPr>
        <w:t xml:space="preserve"> records enable professionals to track changes, </w:t>
      </w:r>
      <w:r w:rsidRPr="0CD97531" w:rsidR="146D745F">
        <w:rPr>
          <w:rFonts w:ascii="Arial" w:hAnsi="Arial" w:eastAsia="Arial" w:cs="Arial"/>
          <w:noProof w:val="0"/>
          <w:color w:val="auto"/>
          <w:sz w:val="22"/>
          <w:szCs w:val="22"/>
          <w:lang w:val="en-GB"/>
        </w:rPr>
        <w:t>monitor</w:t>
      </w:r>
      <w:r w:rsidRPr="0CD97531" w:rsidR="146D745F">
        <w:rPr>
          <w:rFonts w:ascii="Arial" w:hAnsi="Arial" w:eastAsia="Arial" w:cs="Arial"/>
          <w:noProof w:val="0"/>
          <w:color w:val="auto"/>
          <w:sz w:val="22"/>
          <w:szCs w:val="22"/>
          <w:lang w:val="en-GB"/>
        </w:rPr>
        <w:t xml:space="preserve"> progress, and make informed decisions, which is especially important in multi-agency care such as Mrs Mann’s (Skills for Care, 2021). Research has shown that poor documentation significantly increases the likelihood of errors and reduces continuity of care for older adults with complex needs (</w:t>
      </w:r>
      <w:r w:rsidRPr="0CD97531" w:rsidR="146D745F">
        <w:rPr>
          <w:rFonts w:ascii="Arial" w:hAnsi="Arial" w:eastAsia="Arial" w:cs="Arial"/>
          <w:noProof w:val="0"/>
          <w:color w:val="auto"/>
          <w:sz w:val="22"/>
          <w:szCs w:val="22"/>
          <w:lang w:val="en-GB"/>
        </w:rPr>
        <w:t>Vaismoradi</w:t>
      </w:r>
      <w:r w:rsidRPr="0CD97531" w:rsidR="146D745F">
        <w:rPr>
          <w:rFonts w:ascii="Arial" w:hAnsi="Arial" w:eastAsia="Arial" w:cs="Arial"/>
          <w:noProof w:val="0"/>
          <w:color w:val="auto"/>
          <w:sz w:val="22"/>
          <w:szCs w:val="22"/>
          <w:lang w:val="en-GB"/>
        </w:rPr>
        <w:t xml:space="preserve">, Jordan and Kangasniemi, 2019). In Mrs Mann’s case, inconsistent documentation has already contributed to a delayed medication adjustment, </w:t>
      </w:r>
      <w:r w:rsidRPr="0CD97531" w:rsidR="146D745F">
        <w:rPr>
          <w:rFonts w:ascii="Arial" w:hAnsi="Arial" w:eastAsia="Arial" w:cs="Arial"/>
          <w:noProof w:val="0"/>
          <w:color w:val="auto"/>
          <w:sz w:val="22"/>
          <w:szCs w:val="22"/>
          <w:lang w:val="en-GB"/>
        </w:rPr>
        <w:t>demonstrating</w:t>
      </w:r>
      <w:r w:rsidRPr="0CD97531" w:rsidR="146D745F">
        <w:rPr>
          <w:rFonts w:ascii="Arial" w:hAnsi="Arial" w:eastAsia="Arial" w:cs="Arial"/>
          <w:noProof w:val="0"/>
          <w:color w:val="auto"/>
          <w:sz w:val="22"/>
          <w:szCs w:val="22"/>
          <w:lang w:val="en-GB"/>
        </w:rPr>
        <w:t xml:space="preserve"> how administrative weaknesses can directly compromise safety (Williams and Jones, 2020).</w:t>
      </w:r>
    </w:p>
    <w:p xmlns:wp14="http://schemas.microsoft.com/office/word/2010/wordml" w:rsidP="0CD97531" wp14:paraId="02623525" wp14:textId="7EFF9087">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According to the NMC (2018) Code and the Health and Care Professions Council (HCPC, 2023) standards, professionals must ensure that all records are </w:t>
      </w:r>
      <w:r w:rsidRPr="0CD97531" w:rsidR="146D745F">
        <w:rPr>
          <w:rFonts w:ascii="Arial" w:hAnsi="Arial" w:eastAsia="Arial" w:cs="Arial"/>
          <w:noProof w:val="0"/>
          <w:color w:val="auto"/>
          <w:sz w:val="22"/>
          <w:szCs w:val="22"/>
          <w:lang w:val="en-GB"/>
        </w:rPr>
        <w:t>accurate</w:t>
      </w:r>
      <w:r w:rsidRPr="0CD97531" w:rsidR="146D745F">
        <w:rPr>
          <w:rFonts w:ascii="Arial" w:hAnsi="Arial" w:eastAsia="Arial" w:cs="Arial"/>
          <w:noProof w:val="0"/>
          <w:color w:val="auto"/>
          <w:sz w:val="22"/>
          <w:szCs w:val="22"/>
          <w:lang w:val="en-GB"/>
        </w:rPr>
        <w:t xml:space="preserve">, </w:t>
      </w:r>
      <w:r w:rsidRPr="0CD97531" w:rsidR="146D745F">
        <w:rPr>
          <w:rFonts w:ascii="Arial" w:hAnsi="Arial" w:eastAsia="Arial" w:cs="Arial"/>
          <w:noProof w:val="0"/>
          <w:color w:val="auto"/>
          <w:sz w:val="22"/>
          <w:szCs w:val="22"/>
          <w:lang w:val="en-GB"/>
        </w:rPr>
        <w:t>objective</w:t>
      </w:r>
      <w:r w:rsidRPr="0CD97531" w:rsidR="146D745F">
        <w:rPr>
          <w:rFonts w:ascii="Arial" w:hAnsi="Arial" w:eastAsia="Arial" w:cs="Arial"/>
          <w:noProof w:val="0"/>
          <w:color w:val="auto"/>
          <w:sz w:val="22"/>
          <w:szCs w:val="22"/>
          <w:lang w:val="en-GB"/>
        </w:rPr>
        <w:t xml:space="preserve">, complete, and written as soon as possible after the event. This includes documenting communication with family members, mobility progress, pain levels, medication changes, and updates from the physiotherapist. Research also emphasises that incomplete or unclear documentation is a major contributing factor to adverse events, particularly in situations requiring shared responsibility between agencies (Jefferies, </w:t>
      </w:r>
      <w:r w:rsidRPr="0CD97531" w:rsidR="146D745F">
        <w:rPr>
          <w:rFonts w:ascii="Arial" w:hAnsi="Arial" w:eastAsia="Arial" w:cs="Arial"/>
          <w:noProof w:val="0"/>
          <w:color w:val="auto"/>
          <w:sz w:val="22"/>
          <w:szCs w:val="22"/>
          <w:lang w:val="en-GB"/>
        </w:rPr>
        <w:t>Johnson</w:t>
      </w:r>
      <w:r w:rsidRPr="0CD97531" w:rsidR="146D745F">
        <w:rPr>
          <w:rFonts w:ascii="Arial" w:hAnsi="Arial" w:eastAsia="Arial" w:cs="Arial"/>
          <w:noProof w:val="0"/>
          <w:color w:val="auto"/>
          <w:sz w:val="22"/>
          <w:szCs w:val="22"/>
          <w:lang w:val="en-GB"/>
        </w:rPr>
        <w:t xml:space="preserve"> and Nicholls, 2012).</w:t>
      </w:r>
    </w:p>
    <w:p xmlns:wp14="http://schemas.microsoft.com/office/word/2010/wordml" w:rsidP="0CD97531" wp14:paraId="2BC96AE6" wp14:textId="3A05B6C8">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According to the Data Protection Act 2018 and the UK GDPR, all personal information must be processed lawfully, kept secure, and shared only with individuals directly involved in the person’s care. This means that Mrs Mann’s records, whether digital or paper-based, must be stored securely, protected by passwords or restricted access, and shared responsibly. Information Commissioner’s Office (ICO) guidance highlights the importance of secure digital systems, encrypted devices, and </w:t>
      </w:r>
      <w:r w:rsidRPr="0CD97531" w:rsidR="146D745F">
        <w:rPr>
          <w:rFonts w:ascii="Arial" w:hAnsi="Arial" w:eastAsia="Arial" w:cs="Arial"/>
          <w:noProof w:val="0"/>
          <w:color w:val="auto"/>
          <w:sz w:val="22"/>
          <w:szCs w:val="22"/>
          <w:lang w:val="en-GB"/>
        </w:rPr>
        <w:t>appropriate access</w:t>
      </w:r>
      <w:r w:rsidRPr="0CD97531" w:rsidR="146D745F">
        <w:rPr>
          <w:rFonts w:ascii="Arial" w:hAnsi="Arial" w:eastAsia="Arial" w:cs="Arial"/>
          <w:noProof w:val="0"/>
          <w:color w:val="auto"/>
          <w:sz w:val="22"/>
          <w:szCs w:val="22"/>
          <w:lang w:val="en-GB"/>
        </w:rPr>
        <w:t xml:space="preserve"> controls to safeguard sensitive health information (ICO, 2023). Research also </w:t>
      </w:r>
      <w:r w:rsidRPr="0CD97531" w:rsidR="146D745F">
        <w:rPr>
          <w:rFonts w:ascii="Arial" w:hAnsi="Arial" w:eastAsia="Arial" w:cs="Arial"/>
          <w:noProof w:val="0"/>
          <w:color w:val="auto"/>
          <w:sz w:val="22"/>
          <w:szCs w:val="22"/>
          <w:lang w:val="en-GB"/>
        </w:rPr>
        <w:t>indicates</w:t>
      </w:r>
      <w:r w:rsidRPr="0CD97531" w:rsidR="146D745F">
        <w:rPr>
          <w:rFonts w:ascii="Arial" w:hAnsi="Arial" w:eastAsia="Arial" w:cs="Arial"/>
          <w:noProof w:val="0"/>
          <w:color w:val="auto"/>
          <w:sz w:val="22"/>
          <w:szCs w:val="22"/>
          <w:lang w:val="en-GB"/>
        </w:rPr>
        <w:t xml:space="preserve"> that breaches of confidentiality reduce trust and can discourage individuals from sharing essential health information (Rowley, 2018).</w:t>
      </w:r>
    </w:p>
    <w:p xmlns:wp14="http://schemas.microsoft.com/office/word/2010/wordml" w:rsidP="0CD97531" wp14:paraId="6AFAD164" wp14:textId="19005F4C">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The Caldicott Principles further guide safe information sharing. According to these principles, professionals must justify the purpose for accessing or sharing information, use the minimum necessary, and ensure that sharing is in the patient’s best interest. Applying these principles in Mrs Mann’s case ensures that relevant information is shared appropriately with her GP and physiotherapist, without compromising confidentiality. Administrative responsibilities also extend to scheduling, prioritisation, and escalation. When documentation is missing, ambiguous, or inconsistent, care workers must escalate the concern promptly to senior staff or the GP. NHS England guidance stresses that unclear or incomplete communication between teams is a common cause of avoidable harm and that concerns should never be ignored (NHS England, 2019). Research shows that digital care platforms can improve record accuracy by enabling real-time updates and reducing duplication (Green and Dawkins, 2021).</w:t>
      </w:r>
    </w:p>
    <w:p xmlns:wp14="http://schemas.microsoft.com/office/word/2010/wordml" w:rsidP="0CD97531" wp14:paraId="04E66D49" wp14:textId="2C3805E6">
      <w:pPr>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0334C23D" wp14:textId="18C7E376">
      <w:pPr>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14F4F160" wp14:textId="248AFA6B">
      <w:pPr>
        <w:keepNext w:val="1"/>
        <w:keepLines w:val="1"/>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5CB51F4F" wp14:textId="535CC504">
      <w:pPr>
        <w:pStyle w:val="Heading1"/>
        <w:keepNext w:val="1"/>
        <w:keepLines w:val="1"/>
        <w:spacing w:before="0" w:beforeAutospacing="off" w:after="0" w:afterAutospacing="off" w:line="360" w:lineRule="auto"/>
        <w:contextualSpacing w:val="1"/>
        <w:rPr>
          <w:rFonts w:ascii="Arial" w:hAnsi="Arial" w:eastAsia="Arial" w:cs="Arial"/>
          <w:noProof w:val="0"/>
          <w:color w:val="auto"/>
          <w:sz w:val="22"/>
          <w:szCs w:val="22"/>
          <w:lang w:val="en-GB"/>
        </w:rPr>
      </w:pPr>
      <w:r w:rsidRPr="0CD97531" w:rsidR="146D745F">
        <w:rPr>
          <w:rFonts w:ascii="Arial" w:hAnsi="Arial" w:eastAsia="Arial" w:cs="Arial"/>
          <w:b w:val="1"/>
          <w:bCs w:val="1"/>
          <w:noProof w:val="0"/>
          <w:color w:val="auto"/>
          <w:sz w:val="22"/>
          <w:szCs w:val="22"/>
          <w:lang w:val="en-GB"/>
        </w:rPr>
        <w:t xml:space="preserve">Importance of Interprofessional Working </w:t>
      </w:r>
    </w:p>
    <w:p xmlns:wp14="http://schemas.microsoft.com/office/word/2010/wordml" w:rsidP="0CD97531" wp14:paraId="48E06C88" wp14:textId="4ADFB5A4">
      <w:pPr>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0AB6E76E" wp14:textId="079F2A06">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Interprofessional collaboration is essential when multiple professionals are involved in supporting a service user’s care. Effective teamwork improves coordination, prevents duplication, and enhances outcomes, particularly for individuals with complex needs such as Mrs Mann (SCIE, 2023). Research </w:t>
      </w:r>
      <w:r w:rsidRPr="0CD97531" w:rsidR="146D745F">
        <w:rPr>
          <w:rFonts w:ascii="Arial" w:hAnsi="Arial" w:eastAsia="Arial" w:cs="Arial"/>
          <w:noProof w:val="0"/>
          <w:color w:val="auto"/>
          <w:sz w:val="22"/>
          <w:szCs w:val="22"/>
          <w:lang w:val="en-GB"/>
        </w:rPr>
        <w:t>demonstrates</w:t>
      </w:r>
      <w:r w:rsidRPr="0CD97531" w:rsidR="146D745F">
        <w:rPr>
          <w:rFonts w:ascii="Arial" w:hAnsi="Arial" w:eastAsia="Arial" w:cs="Arial"/>
          <w:noProof w:val="0"/>
          <w:color w:val="auto"/>
          <w:sz w:val="22"/>
          <w:szCs w:val="22"/>
          <w:lang w:val="en-GB"/>
        </w:rPr>
        <w:t xml:space="preserve"> that integrated teamwork reduces hospital admissions, improves recovery outcomes, and ensures that service users receive holistic support across agencies (Green and Dawkins, 2021).</w:t>
      </w:r>
    </w:p>
    <w:p xmlns:wp14="http://schemas.microsoft.com/office/word/2010/wordml" w:rsidP="0CD97531" wp14:paraId="6CA6C0AE" wp14:textId="4E89E0B0">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Good teamwork requires clear understanding of roles, </w:t>
      </w:r>
      <w:r w:rsidRPr="0CD97531" w:rsidR="146D745F">
        <w:rPr>
          <w:rFonts w:ascii="Arial" w:hAnsi="Arial" w:eastAsia="Arial" w:cs="Arial"/>
          <w:noProof w:val="0"/>
          <w:color w:val="auto"/>
          <w:sz w:val="22"/>
          <w:szCs w:val="22"/>
          <w:lang w:val="en-GB"/>
        </w:rPr>
        <w:t>timely</w:t>
      </w:r>
      <w:r w:rsidRPr="0CD97531" w:rsidR="146D745F">
        <w:rPr>
          <w:rFonts w:ascii="Arial" w:hAnsi="Arial" w:eastAsia="Arial" w:cs="Arial"/>
          <w:noProof w:val="0"/>
          <w:color w:val="auto"/>
          <w:sz w:val="22"/>
          <w:szCs w:val="22"/>
          <w:lang w:val="en-GB"/>
        </w:rPr>
        <w:t xml:space="preserve"> updates, and joint problem-solving. For example, if the physiotherapist adjusts Mrs Mann’s mobility plan, this must be communicated promptly to the care workers to prevent unsafe mobility </w:t>
      </w:r>
      <w:r w:rsidRPr="0CD97531" w:rsidR="146D745F">
        <w:rPr>
          <w:rFonts w:ascii="Arial" w:hAnsi="Arial" w:eastAsia="Arial" w:cs="Arial"/>
          <w:noProof w:val="0"/>
          <w:color w:val="auto"/>
          <w:sz w:val="22"/>
          <w:szCs w:val="22"/>
          <w:lang w:val="en-GB"/>
        </w:rPr>
        <w:t>assistance</w:t>
      </w:r>
      <w:r w:rsidRPr="0CD97531" w:rsidR="146D745F">
        <w:rPr>
          <w:rFonts w:ascii="Arial" w:hAnsi="Arial" w:eastAsia="Arial" w:cs="Arial"/>
          <w:noProof w:val="0"/>
          <w:color w:val="auto"/>
          <w:sz w:val="22"/>
          <w:szCs w:val="22"/>
          <w:lang w:val="en-GB"/>
        </w:rPr>
        <w:t>. According to the NMC (2018) Code, all professionals have a duty to communicate clearly with colleagues and share essential information. Research reinforces that gaps in communication are a leading cause of avoidable incidents and misunderstandings in multi-agency care (Reeves et al., 2017).</w:t>
      </w:r>
    </w:p>
    <w:p xmlns:wp14="http://schemas.microsoft.com/office/word/2010/wordml" w:rsidP="0CD97531" wp14:paraId="03F55D0C" wp14:textId="09CC2D4D">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Structured communication tools support safer and more consistent teamwork. According to IHI guidance, the SBAR framework helps professionals organise information clearly during phone calls, handovers, and referrals, reducing confusion and improving decision-making (IHI, 2022). Research also shows that digital care-sharing systems improve efficiency and help ensure all agencies receive </w:t>
      </w:r>
      <w:r w:rsidRPr="0CD97531" w:rsidR="146D745F">
        <w:rPr>
          <w:rFonts w:ascii="Arial" w:hAnsi="Arial" w:eastAsia="Arial" w:cs="Arial"/>
          <w:noProof w:val="0"/>
          <w:color w:val="auto"/>
          <w:sz w:val="22"/>
          <w:szCs w:val="22"/>
          <w:lang w:val="en-GB"/>
        </w:rPr>
        <w:t>accurate</w:t>
      </w:r>
      <w:r w:rsidRPr="0CD97531" w:rsidR="146D745F">
        <w:rPr>
          <w:rFonts w:ascii="Arial" w:hAnsi="Arial" w:eastAsia="Arial" w:cs="Arial"/>
          <w:noProof w:val="0"/>
          <w:color w:val="auto"/>
          <w:sz w:val="22"/>
          <w:szCs w:val="22"/>
          <w:lang w:val="en-GB"/>
        </w:rPr>
        <w:t xml:space="preserve"> updates in real time (Green and Dawkins, 2021).</w:t>
      </w:r>
    </w:p>
    <w:p xmlns:wp14="http://schemas.microsoft.com/office/word/2010/wordml" w:rsidP="0CD97531" wp14:paraId="6CBC6FCF" wp14:textId="2DD113D6">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However, collaborative working may face challenges such as differing communication styles, unclear responsibilities, or incompatible documentation systems. Research </w:t>
      </w:r>
      <w:r w:rsidRPr="0CD97531" w:rsidR="146D745F">
        <w:rPr>
          <w:rFonts w:ascii="Arial" w:hAnsi="Arial" w:eastAsia="Arial" w:cs="Arial"/>
          <w:noProof w:val="0"/>
          <w:color w:val="auto"/>
          <w:sz w:val="22"/>
          <w:szCs w:val="22"/>
          <w:lang w:val="en-GB"/>
        </w:rPr>
        <w:t>identifies</w:t>
      </w:r>
      <w:r w:rsidRPr="0CD97531" w:rsidR="146D745F">
        <w:rPr>
          <w:rFonts w:ascii="Arial" w:hAnsi="Arial" w:eastAsia="Arial" w:cs="Arial"/>
          <w:noProof w:val="0"/>
          <w:color w:val="auto"/>
          <w:sz w:val="22"/>
          <w:szCs w:val="22"/>
          <w:lang w:val="en-GB"/>
        </w:rPr>
        <w:t xml:space="preserve"> these barriers as common contributors to delays and miscommunication in multi-professional teams (O’Daniel and Rosenstein, 2008). According to NHS England (2019) guidance, joint training, shared care plans, and regular multidisciplinary meetings help overcome these barriers by improving consistency, building trust, and creating shared expectations across teams. Social Care Institute for Excellence (SCIE) guidance also highlights the importance of professional respect, open communication, and shared problem-solving to </w:t>
      </w:r>
      <w:r w:rsidRPr="0CD97531" w:rsidR="146D745F">
        <w:rPr>
          <w:rFonts w:ascii="Arial" w:hAnsi="Arial" w:eastAsia="Arial" w:cs="Arial"/>
          <w:noProof w:val="0"/>
          <w:color w:val="auto"/>
          <w:sz w:val="22"/>
          <w:szCs w:val="22"/>
          <w:lang w:val="en-GB"/>
        </w:rPr>
        <w:t>maintain</w:t>
      </w:r>
      <w:r w:rsidRPr="0CD97531" w:rsidR="146D745F">
        <w:rPr>
          <w:rFonts w:ascii="Arial" w:hAnsi="Arial" w:eastAsia="Arial" w:cs="Arial"/>
          <w:noProof w:val="0"/>
          <w:color w:val="auto"/>
          <w:sz w:val="22"/>
          <w:szCs w:val="22"/>
          <w:lang w:val="en-GB"/>
        </w:rPr>
        <w:t xml:space="preserve"> effective collaboration (SCIE, 2023).</w:t>
      </w:r>
    </w:p>
    <w:p xmlns:wp14="http://schemas.microsoft.com/office/word/2010/wordml" w:rsidP="0CD97531" wp14:paraId="34378BBE" wp14:textId="41C49A89">
      <w:pPr>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53AFE410" wp14:textId="7448FDC1">
      <w:pPr>
        <w:keepNext w:val="1"/>
        <w:keepLines w:val="1"/>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2E8EF22E" wp14:textId="568ED496">
      <w:pPr>
        <w:pStyle w:val="Heading1"/>
        <w:keepNext w:val="1"/>
        <w:keepLines w:val="1"/>
        <w:spacing w:before="0" w:beforeAutospacing="off" w:after="0" w:afterAutospacing="off" w:line="360" w:lineRule="auto"/>
        <w:contextualSpacing w:val="1"/>
        <w:rPr>
          <w:rFonts w:ascii="Arial" w:hAnsi="Arial" w:eastAsia="Arial" w:cs="Arial"/>
          <w:noProof w:val="0"/>
          <w:color w:val="auto"/>
          <w:sz w:val="22"/>
          <w:szCs w:val="22"/>
          <w:lang w:val="en-GB"/>
        </w:rPr>
      </w:pPr>
      <w:r w:rsidRPr="0CD97531" w:rsidR="146D745F">
        <w:rPr>
          <w:rFonts w:ascii="Arial" w:hAnsi="Arial" w:eastAsia="Arial" w:cs="Arial"/>
          <w:b w:val="1"/>
          <w:bCs w:val="1"/>
          <w:noProof w:val="0"/>
          <w:color w:val="auto"/>
          <w:sz w:val="22"/>
          <w:szCs w:val="22"/>
          <w:lang w:val="en-GB"/>
        </w:rPr>
        <w:t xml:space="preserve">Conclusion </w:t>
      </w:r>
    </w:p>
    <w:p xmlns:wp14="http://schemas.microsoft.com/office/word/2010/wordml" w:rsidP="0CD97531" wp14:paraId="0A3F5844" wp14:textId="1CA0B857">
      <w:pPr>
        <w:spacing w:before="0" w:beforeAutospacing="off" w:after="0" w:afterAutospacing="off" w:line="360" w:lineRule="auto"/>
        <w:contextualSpacing w:val="1"/>
        <w:rPr>
          <w:rFonts w:ascii="Arial" w:hAnsi="Arial" w:eastAsia="Arial" w:cs="Arial"/>
          <w:noProof w:val="0"/>
          <w:color w:val="auto"/>
          <w:sz w:val="22"/>
          <w:szCs w:val="22"/>
          <w:lang w:val="en-GB"/>
        </w:rPr>
      </w:pPr>
    </w:p>
    <w:p xmlns:wp14="http://schemas.microsoft.com/office/word/2010/wordml" w:rsidP="0CD97531" wp14:paraId="3494F162" wp14:textId="280A163C">
      <w:pPr>
        <w:spacing w:before="195" w:beforeAutospacing="off" w:after="195" w:afterAutospacing="off" w:line="360" w:lineRule="auto"/>
        <w:rPr>
          <w:rFonts w:ascii="Arial" w:hAnsi="Arial" w:eastAsia="Arial" w:cs="Arial"/>
          <w:noProof w:val="0"/>
          <w:color w:val="auto"/>
          <w:sz w:val="22"/>
          <w:szCs w:val="22"/>
          <w:lang w:val="en-GB"/>
        </w:rPr>
      </w:pPr>
      <w:r w:rsidRPr="0CD97531" w:rsidR="146D745F">
        <w:rPr>
          <w:rFonts w:ascii="Arial" w:hAnsi="Arial" w:eastAsia="Arial" w:cs="Arial"/>
          <w:noProof w:val="0"/>
          <w:color w:val="auto"/>
          <w:sz w:val="22"/>
          <w:szCs w:val="22"/>
          <w:lang w:val="en-GB"/>
        </w:rPr>
        <w:t xml:space="preserve">Mrs Mann’s case highlights the importance of effective communication, </w:t>
      </w:r>
      <w:r w:rsidRPr="0CD97531" w:rsidR="146D745F">
        <w:rPr>
          <w:rFonts w:ascii="Arial" w:hAnsi="Arial" w:eastAsia="Arial" w:cs="Arial"/>
          <w:noProof w:val="0"/>
          <w:color w:val="auto"/>
          <w:sz w:val="22"/>
          <w:szCs w:val="22"/>
          <w:lang w:val="en-GB"/>
        </w:rPr>
        <w:t>accurate</w:t>
      </w:r>
      <w:r w:rsidRPr="0CD97531" w:rsidR="146D745F">
        <w:rPr>
          <w:rFonts w:ascii="Arial" w:hAnsi="Arial" w:eastAsia="Arial" w:cs="Arial"/>
          <w:noProof w:val="0"/>
          <w:color w:val="auto"/>
          <w:sz w:val="22"/>
          <w:szCs w:val="22"/>
          <w:lang w:val="en-GB"/>
        </w:rPr>
        <w:t xml:space="preserve"> administrative practice, and strong interprofessional working in delivering safe and person-centred care. Clear communication, supported by legislation and theory, ensures understanding and safety for service users with language needs. According to the Equality Act 2010, providers must make reasonable adjustments to support people with limited English, and research </w:t>
      </w:r>
      <w:r w:rsidRPr="0CD97531" w:rsidR="146D745F">
        <w:rPr>
          <w:rFonts w:ascii="Arial" w:hAnsi="Arial" w:eastAsia="Arial" w:cs="Arial"/>
          <w:noProof w:val="0"/>
          <w:color w:val="auto"/>
          <w:sz w:val="22"/>
          <w:szCs w:val="22"/>
          <w:lang w:val="en-GB"/>
        </w:rPr>
        <w:t>demonstrates</w:t>
      </w:r>
      <w:r w:rsidRPr="0CD97531" w:rsidR="146D745F">
        <w:rPr>
          <w:rFonts w:ascii="Arial" w:hAnsi="Arial" w:eastAsia="Arial" w:cs="Arial"/>
          <w:noProof w:val="0"/>
          <w:color w:val="auto"/>
          <w:sz w:val="22"/>
          <w:szCs w:val="22"/>
          <w:lang w:val="en-GB"/>
        </w:rPr>
        <w:t xml:space="preserve"> that tailored communication improves safety and reduces the risk of medication errors. Accurate record keeping and strong administrative practice </w:t>
      </w:r>
      <w:r w:rsidRPr="0CD97531" w:rsidR="146D745F">
        <w:rPr>
          <w:rFonts w:ascii="Arial" w:hAnsi="Arial" w:eastAsia="Arial" w:cs="Arial"/>
          <w:noProof w:val="0"/>
          <w:color w:val="auto"/>
          <w:sz w:val="22"/>
          <w:szCs w:val="22"/>
          <w:lang w:val="en-GB"/>
        </w:rPr>
        <w:t>maintain</w:t>
      </w:r>
      <w:r w:rsidRPr="0CD97531" w:rsidR="146D745F">
        <w:rPr>
          <w:rFonts w:ascii="Arial" w:hAnsi="Arial" w:eastAsia="Arial" w:cs="Arial"/>
          <w:noProof w:val="0"/>
          <w:color w:val="auto"/>
          <w:sz w:val="22"/>
          <w:szCs w:val="22"/>
          <w:lang w:val="en-GB"/>
        </w:rPr>
        <w:t xml:space="preserve"> legal compliance, protect confidentiality, and support continuity of care in line with professional standards such as the NMC (2018) Code and the Data Protection Act 2018. Effective interprofessional collaboration further enhances coordination, reduces risks, and supports holistic rehabilitation by ensuring </w:t>
      </w:r>
      <w:r w:rsidRPr="0CD97531" w:rsidR="146D745F">
        <w:rPr>
          <w:rFonts w:ascii="Arial" w:hAnsi="Arial" w:eastAsia="Arial" w:cs="Arial"/>
          <w:noProof w:val="0"/>
          <w:color w:val="auto"/>
          <w:sz w:val="22"/>
          <w:szCs w:val="22"/>
          <w:lang w:val="en-GB"/>
        </w:rPr>
        <w:t>timely</w:t>
      </w:r>
      <w:r w:rsidRPr="0CD97531" w:rsidR="146D745F">
        <w:rPr>
          <w:rFonts w:ascii="Arial" w:hAnsi="Arial" w:eastAsia="Arial" w:cs="Arial"/>
          <w:noProof w:val="0"/>
          <w:color w:val="auto"/>
          <w:sz w:val="22"/>
          <w:szCs w:val="22"/>
          <w:lang w:val="en-GB"/>
        </w:rPr>
        <w:t xml:space="preserve"> information sharing and structured communication. Collectively, these principles form the foundation of high-quality practice and ensure that Mrs Mann receives safe, dignified, and inclusive care</w:t>
      </w:r>
    </w:p>
    <w:p xmlns:wp14="http://schemas.microsoft.com/office/word/2010/wordml" w:rsidP="0CD97531" wp14:paraId="003E3EC9" wp14:textId="4C00B3E1">
      <w:pPr>
        <w:pStyle w:val="Heading1"/>
        <w:rPr>
          <w:rFonts w:ascii="Arial" w:hAnsi="Arial" w:eastAsia="Arial" w:cs="Arial"/>
          <w:b w:val="1"/>
          <w:bCs w:val="1"/>
          <w:noProof w:val="0"/>
          <w:color w:val="auto"/>
          <w:sz w:val="22"/>
          <w:szCs w:val="22"/>
          <w:lang w:val="en-GB"/>
        </w:rPr>
      </w:pPr>
      <w:r w:rsidRPr="0CD97531" w:rsidR="146D745F">
        <w:rPr>
          <w:rFonts w:ascii="Arial" w:hAnsi="Arial" w:eastAsia="Arial" w:cs="Arial"/>
          <w:b w:val="1"/>
          <w:bCs w:val="1"/>
          <w:noProof w:val="0"/>
          <w:color w:val="auto"/>
          <w:sz w:val="22"/>
          <w:szCs w:val="22"/>
          <w:lang w:val="en-GB"/>
        </w:rPr>
        <w:t>References</w:t>
      </w:r>
    </w:p>
    <w:p xmlns:wp14="http://schemas.microsoft.com/office/word/2010/wordml" w:rsidP="0CD97531" wp14:paraId="403F92DE" wp14:textId="4D55E8B8">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Arnold, </w:t>
      </w:r>
      <w:r w:rsidRPr="0CD97531" w:rsidR="40B9E685">
        <w:rPr>
          <w:rFonts w:ascii="Arial" w:hAnsi="Arial" w:eastAsia="Arial" w:cs="Arial"/>
          <w:i w:val="0"/>
          <w:iCs w:val="0"/>
          <w:noProof w:val="0"/>
          <w:sz w:val="22"/>
          <w:szCs w:val="22"/>
          <w:lang w:val="en-GB"/>
        </w:rPr>
        <w:t>E.</w:t>
      </w:r>
      <w:r w:rsidRPr="0CD97531" w:rsidR="40B9E685">
        <w:rPr>
          <w:rFonts w:ascii="Arial" w:hAnsi="Arial" w:eastAsia="Arial" w:cs="Arial"/>
          <w:i w:val="0"/>
          <w:iCs w:val="0"/>
          <w:noProof w:val="0"/>
          <w:sz w:val="22"/>
          <w:szCs w:val="22"/>
          <w:lang w:val="en-GB"/>
        </w:rPr>
        <w:t xml:space="preserve"> and Boggs, K. (2019) Interpersonal relationships: Professional communication skills for nurses. 8th </w:t>
      </w:r>
      <w:r w:rsidRPr="0CD97531" w:rsidR="40B9E685">
        <w:rPr>
          <w:rFonts w:ascii="Arial" w:hAnsi="Arial" w:eastAsia="Arial" w:cs="Arial"/>
          <w:i w:val="0"/>
          <w:iCs w:val="0"/>
          <w:noProof w:val="0"/>
          <w:sz w:val="22"/>
          <w:szCs w:val="22"/>
          <w:lang w:val="en-GB"/>
        </w:rPr>
        <w:t>edn</w:t>
      </w:r>
      <w:r w:rsidRPr="0CD97531" w:rsidR="40B9E685">
        <w:rPr>
          <w:rFonts w:ascii="Arial" w:hAnsi="Arial" w:eastAsia="Arial" w:cs="Arial"/>
          <w:i w:val="0"/>
          <w:iCs w:val="0"/>
          <w:noProof w:val="0"/>
          <w:sz w:val="22"/>
          <w:szCs w:val="22"/>
          <w:lang w:val="en-GB"/>
        </w:rPr>
        <w:t>. St. Louis: Elsevier.</w:t>
      </w:r>
    </w:p>
    <w:p xmlns:wp14="http://schemas.microsoft.com/office/word/2010/wordml" w:rsidP="0CD97531" wp14:paraId="03082F30" wp14:textId="6DD84166">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Berlo, D. (1960) The process of communication. New York: Holt, </w:t>
      </w:r>
      <w:r w:rsidRPr="0CD97531" w:rsidR="40B9E685">
        <w:rPr>
          <w:rFonts w:ascii="Arial" w:hAnsi="Arial" w:eastAsia="Arial" w:cs="Arial"/>
          <w:i w:val="0"/>
          <w:iCs w:val="0"/>
          <w:noProof w:val="0"/>
          <w:sz w:val="22"/>
          <w:szCs w:val="22"/>
          <w:lang w:val="en-GB"/>
        </w:rPr>
        <w:t>Rinehart</w:t>
      </w:r>
      <w:r w:rsidRPr="0CD97531" w:rsidR="40B9E685">
        <w:rPr>
          <w:rFonts w:ascii="Arial" w:hAnsi="Arial" w:eastAsia="Arial" w:cs="Arial"/>
          <w:i w:val="0"/>
          <w:iCs w:val="0"/>
          <w:noProof w:val="0"/>
          <w:sz w:val="22"/>
          <w:szCs w:val="22"/>
          <w:lang w:val="en-GB"/>
        </w:rPr>
        <w:t xml:space="preserve"> and Winston.</w:t>
      </w:r>
    </w:p>
    <w:p xmlns:wp14="http://schemas.microsoft.com/office/word/2010/wordml" w:rsidP="0CD97531" wp14:paraId="5624BA54" wp14:textId="181282A4">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Caldicott Review (DHSC) (2016) Review of data security, </w:t>
      </w:r>
      <w:r w:rsidRPr="0CD97531" w:rsidR="40B9E685">
        <w:rPr>
          <w:rFonts w:ascii="Arial" w:hAnsi="Arial" w:eastAsia="Arial" w:cs="Arial"/>
          <w:i w:val="0"/>
          <w:iCs w:val="0"/>
          <w:noProof w:val="0"/>
          <w:sz w:val="22"/>
          <w:szCs w:val="22"/>
          <w:lang w:val="en-GB"/>
        </w:rPr>
        <w:t>consent</w:t>
      </w:r>
      <w:r w:rsidRPr="0CD97531" w:rsidR="40B9E685">
        <w:rPr>
          <w:rFonts w:ascii="Arial" w:hAnsi="Arial" w:eastAsia="Arial" w:cs="Arial"/>
          <w:i w:val="0"/>
          <w:iCs w:val="0"/>
          <w:noProof w:val="0"/>
          <w:sz w:val="22"/>
          <w:szCs w:val="22"/>
          <w:lang w:val="en-GB"/>
        </w:rPr>
        <w:t xml:space="preserve"> and opt-outs. London: Department of Health and Social Care.</w:t>
      </w:r>
    </w:p>
    <w:p xmlns:wp14="http://schemas.microsoft.com/office/word/2010/wordml" w:rsidP="0CD97531" wp14:paraId="3770055F" wp14:textId="67DC44EC">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Data Protection Act (2018) Data Protection Act 2018. London: The Stationery Office.</w:t>
      </w:r>
    </w:p>
    <w:p xmlns:wp14="http://schemas.microsoft.com/office/word/2010/wordml" w:rsidP="0CD97531" wp14:paraId="7324A2FE" wp14:textId="48F459B0">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Equality Act (2010) Equality Act 2010. London: The Stationery Office.</w:t>
      </w:r>
    </w:p>
    <w:p xmlns:wp14="http://schemas.microsoft.com/office/word/2010/wordml" w:rsidP="0CD97531" wp14:paraId="02058981" wp14:textId="3CC9B3BF">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Green, </w:t>
      </w:r>
      <w:r w:rsidRPr="0CD97531" w:rsidR="40B9E685">
        <w:rPr>
          <w:rFonts w:ascii="Arial" w:hAnsi="Arial" w:eastAsia="Arial" w:cs="Arial"/>
          <w:i w:val="0"/>
          <w:iCs w:val="0"/>
          <w:noProof w:val="0"/>
          <w:sz w:val="22"/>
          <w:szCs w:val="22"/>
          <w:lang w:val="en-GB"/>
        </w:rPr>
        <w:t>J.</w:t>
      </w:r>
      <w:r w:rsidRPr="0CD97531" w:rsidR="40B9E685">
        <w:rPr>
          <w:rFonts w:ascii="Arial" w:hAnsi="Arial" w:eastAsia="Arial" w:cs="Arial"/>
          <w:i w:val="0"/>
          <w:iCs w:val="0"/>
          <w:noProof w:val="0"/>
          <w:sz w:val="22"/>
          <w:szCs w:val="22"/>
          <w:lang w:val="en-GB"/>
        </w:rPr>
        <w:t xml:space="preserve"> and Dawkins, S. (2021) ‘Digital integration in adult social care: Improving communication and continuity’, Health Informatics Journal, 27(3), pp. 1–12.</w:t>
      </w:r>
    </w:p>
    <w:p xmlns:wp14="http://schemas.microsoft.com/office/word/2010/wordml" w:rsidP="0CD97531" wp14:paraId="4B3399AE" wp14:textId="46C09DBA">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Griffith, R. and </w:t>
      </w:r>
      <w:r w:rsidRPr="0CD97531" w:rsidR="40B9E685">
        <w:rPr>
          <w:rFonts w:ascii="Arial" w:hAnsi="Arial" w:eastAsia="Arial" w:cs="Arial"/>
          <w:i w:val="0"/>
          <w:iCs w:val="0"/>
          <w:noProof w:val="0"/>
          <w:sz w:val="22"/>
          <w:szCs w:val="22"/>
          <w:lang w:val="en-GB"/>
        </w:rPr>
        <w:t>Tengnah</w:t>
      </w:r>
      <w:r w:rsidRPr="0CD97531" w:rsidR="40B9E685">
        <w:rPr>
          <w:rFonts w:ascii="Arial" w:hAnsi="Arial" w:eastAsia="Arial" w:cs="Arial"/>
          <w:i w:val="0"/>
          <w:iCs w:val="0"/>
          <w:noProof w:val="0"/>
          <w:sz w:val="22"/>
          <w:szCs w:val="22"/>
          <w:lang w:val="en-GB"/>
        </w:rPr>
        <w:t xml:space="preserve">, C. (2020) Law and professional issues in nursing. 6th </w:t>
      </w:r>
      <w:r w:rsidRPr="0CD97531" w:rsidR="40B9E685">
        <w:rPr>
          <w:rFonts w:ascii="Arial" w:hAnsi="Arial" w:eastAsia="Arial" w:cs="Arial"/>
          <w:i w:val="0"/>
          <w:iCs w:val="0"/>
          <w:noProof w:val="0"/>
          <w:sz w:val="22"/>
          <w:szCs w:val="22"/>
          <w:lang w:val="en-GB"/>
        </w:rPr>
        <w:t>edn</w:t>
      </w:r>
      <w:r w:rsidRPr="0CD97531" w:rsidR="40B9E685">
        <w:rPr>
          <w:rFonts w:ascii="Arial" w:hAnsi="Arial" w:eastAsia="Arial" w:cs="Arial"/>
          <w:i w:val="0"/>
          <w:iCs w:val="0"/>
          <w:noProof w:val="0"/>
          <w:sz w:val="22"/>
          <w:szCs w:val="22"/>
          <w:lang w:val="en-GB"/>
        </w:rPr>
        <w:t>. London: SAGE.</w:t>
      </w:r>
    </w:p>
    <w:p xmlns:wp14="http://schemas.microsoft.com/office/word/2010/wordml" w:rsidP="0CD97531" wp14:paraId="70E32016" wp14:textId="774F6480">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HCPC (2023) Standards of conduct, </w:t>
      </w:r>
      <w:r w:rsidRPr="0CD97531" w:rsidR="40B9E685">
        <w:rPr>
          <w:rFonts w:ascii="Arial" w:hAnsi="Arial" w:eastAsia="Arial" w:cs="Arial"/>
          <w:i w:val="0"/>
          <w:iCs w:val="0"/>
          <w:noProof w:val="0"/>
          <w:sz w:val="22"/>
          <w:szCs w:val="22"/>
          <w:lang w:val="en-GB"/>
        </w:rPr>
        <w:t>performance</w:t>
      </w:r>
      <w:r w:rsidRPr="0CD97531" w:rsidR="40B9E685">
        <w:rPr>
          <w:rFonts w:ascii="Arial" w:hAnsi="Arial" w:eastAsia="Arial" w:cs="Arial"/>
          <w:i w:val="0"/>
          <w:iCs w:val="0"/>
          <w:noProof w:val="0"/>
          <w:sz w:val="22"/>
          <w:szCs w:val="22"/>
          <w:lang w:val="en-GB"/>
        </w:rPr>
        <w:t xml:space="preserve"> and ethics. London: Health and Care Professions Council.</w:t>
      </w:r>
    </w:p>
    <w:p xmlns:wp14="http://schemas.microsoft.com/office/word/2010/wordml" w:rsidP="0CD97531" wp14:paraId="2E346798" wp14:textId="2BB8B119">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IHI (2022) SBAR Communication Technique. Cambridge, MA: Institute for Healthcare Improvement.</w:t>
      </w:r>
    </w:p>
    <w:p xmlns:wp14="http://schemas.microsoft.com/office/word/2010/wordml" w:rsidP="0CD97531" wp14:paraId="534CDF77" wp14:textId="750EC3C4">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ICO (2023) Guide to the UK GDPR. Wilmslow: Information Commissioner’s Office.</w:t>
      </w:r>
    </w:p>
    <w:p xmlns:wp14="http://schemas.microsoft.com/office/word/2010/wordml" w:rsidP="0CD97531" wp14:paraId="02BC39BF" wp14:textId="14F54C82">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Jefferies, D., Johnson, </w:t>
      </w:r>
      <w:r w:rsidRPr="0CD97531" w:rsidR="40B9E685">
        <w:rPr>
          <w:rFonts w:ascii="Arial" w:hAnsi="Arial" w:eastAsia="Arial" w:cs="Arial"/>
          <w:i w:val="0"/>
          <w:iCs w:val="0"/>
          <w:noProof w:val="0"/>
          <w:sz w:val="22"/>
          <w:szCs w:val="22"/>
          <w:lang w:val="en-GB"/>
        </w:rPr>
        <w:t>M.</w:t>
      </w:r>
      <w:r w:rsidRPr="0CD97531" w:rsidR="40B9E685">
        <w:rPr>
          <w:rFonts w:ascii="Arial" w:hAnsi="Arial" w:eastAsia="Arial" w:cs="Arial"/>
          <w:i w:val="0"/>
          <w:iCs w:val="0"/>
          <w:noProof w:val="0"/>
          <w:sz w:val="22"/>
          <w:szCs w:val="22"/>
          <w:lang w:val="en-GB"/>
        </w:rPr>
        <w:t xml:space="preserve"> and Nicholls, D. (2012) ‘Nursing documentation: How meaning is obscured by fragmentary language’, Nursing Outlook, 60(3), pp. e6–e12.</w:t>
      </w:r>
    </w:p>
    <w:p xmlns:wp14="http://schemas.microsoft.com/office/word/2010/wordml" w:rsidP="0CD97531" wp14:paraId="1C65FE6B" wp14:textId="6BDA6A1E">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Joseph, L., Patel, </w:t>
      </w:r>
      <w:r w:rsidRPr="0CD97531" w:rsidR="40B9E685">
        <w:rPr>
          <w:rFonts w:ascii="Arial" w:hAnsi="Arial" w:eastAsia="Arial" w:cs="Arial"/>
          <w:i w:val="0"/>
          <w:iCs w:val="0"/>
          <w:noProof w:val="0"/>
          <w:sz w:val="22"/>
          <w:szCs w:val="22"/>
          <w:lang w:val="en-GB"/>
        </w:rPr>
        <w:t>R.</w:t>
      </w:r>
      <w:r w:rsidRPr="0CD97531" w:rsidR="40B9E685">
        <w:rPr>
          <w:rFonts w:ascii="Arial" w:hAnsi="Arial" w:eastAsia="Arial" w:cs="Arial"/>
          <w:i w:val="0"/>
          <w:iCs w:val="0"/>
          <w:noProof w:val="0"/>
          <w:sz w:val="22"/>
          <w:szCs w:val="22"/>
          <w:lang w:val="en-GB"/>
        </w:rPr>
        <w:t xml:space="preserve"> and Khan, M. (2022) ‘Language barriers and medication safety in older adults: A systematic review’, Journal of Patient Safety, 18(4), pp. 310–318.</w:t>
      </w:r>
    </w:p>
    <w:p xmlns:wp14="http://schemas.microsoft.com/office/word/2010/wordml" w:rsidP="0CD97531" wp14:paraId="37C33280" wp14:textId="38053427">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McCabe, </w:t>
      </w:r>
      <w:r w:rsidRPr="0CD97531" w:rsidR="40B9E685">
        <w:rPr>
          <w:rFonts w:ascii="Arial" w:hAnsi="Arial" w:eastAsia="Arial" w:cs="Arial"/>
          <w:i w:val="0"/>
          <w:iCs w:val="0"/>
          <w:noProof w:val="0"/>
          <w:sz w:val="22"/>
          <w:szCs w:val="22"/>
          <w:lang w:val="en-GB"/>
        </w:rPr>
        <w:t>C.</w:t>
      </w:r>
      <w:r w:rsidRPr="0CD97531" w:rsidR="40B9E685">
        <w:rPr>
          <w:rFonts w:ascii="Arial" w:hAnsi="Arial" w:eastAsia="Arial" w:cs="Arial"/>
          <w:i w:val="0"/>
          <w:iCs w:val="0"/>
          <w:noProof w:val="0"/>
          <w:sz w:val="22"/>
          <w:szCs w:val="22"/>
          <w:lang w:val="en-GB"/>
        </w:rPr>
        <w:t xml:space="preserve"> and Timmins, F. (2018) Communication skills for nursing practice. 3rd </w:t>
      </w:r>
      <w:r w:rsidRPr="0CD97531" w:rsidR="40B9E685">
        <w:rPr>
          <w:rFonts w:ascii="Arial" w:hAnsi="Arial" w:eastAsia="Arial" w:cs="Arial"/>
          <w:i w:val="0"/>
          <w:iCs w:val="0"/>
          <w:noProof w:val="0"/>
          <w:sz w:val="22"/>
          <w:szCs w:val="22"/>
          <w:lang w:val="en-GB"/>
        </w:rPr>
        <w:t>edn</w:t>
      </w:r>
      <w:r w:rsidRPr="0CD97531" w:rsidR="40B9E685">
        <w:rPr>
          <w:rFonts w:ascii="Arial" w:hAnsi="Arial" w:eastAsia="Arial" w:cs="Arial"/>
          <w:i w:val="0"/>
          <w:iCs w:val="0"/>
          <w:noProof w:val="0"/>
          <w:sz w:val="22"/>
          <w:szCs w:val="22"/>
          <w:lang w:val="en-GB"/>
        </w:rPr>
        <w:t>. London: Palgrave Macmillan.</w:t>
      </w:r>
    </w:p>
    <w:p xmlns:wp14="http://schemas.microsoft.com/office/word/2010/wordml" w:rsidP="0CD97531" wp14:paraId="10C6739E" wp14:textId="1D037F28">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NHS England (2019) The NHS Patient Safety Strategy:</w:t>
      </w:r>
      <w:r w:rsidRPr="0CD97531" w:rsidR="40B9E685">
        <w:rPr>
          <w:rFonts w:ascii="Arial" w:hAnsi="Arial" w:eastAsia="Arial" w:cs="Arial"/>
          <w:i w:val="0"/>
          <w:iCs w:val="0"/>
          <w:noProof w:val="0"/>
          <w:sz w:val="22"/>
          <w:szCs w:val="22"/>
          <w:lang w:val="en-GB"/>
        </w:rPr>
        <w:t xml:space="preserve"> Safer culture, safer systems, safer patients. London: NHS England.</w:t>
      </w:r>
    </w:p>
    <w:p xmlns:wp14="http://schemas.microsoft.com/office/word/2010/wordml" w:rsidP="0CD97531" wp14:paraId="6B01CC46" wp14:textId="298F09AD">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NHS England (2022) Digital health and social care strategy. London: NHS England.</w:t>
      </w:r>
    </w:p>
    <w:p xmlns:wp14="http://schemas.microsoft.com/office/word/2010/wordml" w:rsidP="0CD97531" wp14:paraId="6EADA549" wp14:textId="441D4F30">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NHS England (2023) Guidance on supporting patient communication needs. London: NHS England.</w:t>
      </w:r>
    </w:p>
    <w:p xmlns:wp14="http://schemas.microsoft.com/office/word/2010/wordml" w:rsidP="0CD97531" wp14:paraId="21D682E6" wp14:textId="5BAC755A">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NMC (2018) The Code: Professional standards of practice and behaviour for nurses, </w:t>
      </w:r>
      <w:r w:rsidRPr="0CD97531" w:rsidR="40B9E685">
        <w:rPr>
          <w:rFonts w:ascii="Arial" w:hAnsi="Arial" w:eastAsia="Arial" w:cs="Arial"/>
          <w:i w:val="0"/>
          <w:iCs w:val="0"/>
          <w:noProof w:val="0"/>
          <w:sz w:val="22"/>
          <w:szCs w:val="22"/>
          <w:lang w:val="en-GB"/>
        </w:rPr>
        <w:t>midwives</w:t>
      </w:r>
      <w:r w:rsidRPr="0CD97531" w:rsidR="40B9E685">
        <w:rPr>
          <w:rFonts w:ascii="Arial" w:hAnsi="Arial" w:eastAsia="Arial" w:cs="Arial"/>
          <w:i w:val="0"/>
          <w:iCs w:val="0"/>
          <w:noProof w:val="0"/>
          <w:sz w:val="22"/>
          <w:szCs w:val="22"/>
          <w:lang w:val="en-GB"/>
        </w:rPr>
        <w:t xml:space="preserve"> and nursing associates. London: Nursing and Midwifery Council.</w:t>
      </w:r>
    </w:p>
    <w:p xmlns:wp14="http://schemas.microsoft.com/office/word/2010/wordml" w:rsidP="0CD97531" wp14:paraId="4AB9C9AE" wp14:textId="705C1BBC">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O’Daniel, M. and Rosenstein, A. (2008) ‘Professional communication and teamwork in healthcare’, in Hughes, R. (ed.) Patient safety and quality: An evidence-based handbook for nurses. Rockville, MD: AHRQ.</w:t>
      </w:r>
    </w:p>
    <w:p xmlns:wp14="http://schemas.microsoft.com/office/word/2010/wordml" w:rsidP="0CD97531" wp14:paraId="61815561" wp14:textId="33B8245E">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O’Hagan, S. and Persaud, S. (2021) ‘The impact of interpreting methods on patient understanding and involvement’, BMC Health Services Research, 21(1), pp. 1–11.</w:t>
      </w:r>
    </w:p>
    <w:p xmlns:wp14="http://schemas.microsoft.com/office/word/2010/wordml" w:rsidP="0CD97531" wp14:paraId="5B57DD3C" wp14:textId="5318DC0A">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Reeves, S., </w:t>
      </w:r>
      <w:r w:rsidRPr="0CD97531" w:rsidR="40B9E685">
        <w:rPr>
          <w:rFonts w:ascii="Arial" w:hAnsi="Arial" w:eastAsia="Arial" w:cs="Arial"/>
          <w:i w:val="0"/>
          <w:iCs w:val="0"/>
          <w:noProof w:val="0"/>
          <w:sz w:val="22"/>
          <w:szCs w:val="22"/>
          <w:lang w:val="en-GB"/>
        </w:rPr>
        <w:t>Pelone</w:t>
      </w:r>
      <w:r w:rsidRPr="0CD97531" w:rsidR="40B9E685">
        <w:rPr>
          <w:rFonts w:ascii="Arial" w:hAnsi="Arial" w:eastAsia="Arial" w:cs="Arial"/>
          <w:i w:val="0"/>
          <w:iCs w:val="0"/>
          <w:noProof w:val="0"/>
          <w:sz w:val="22"/>
          <w:szCs w:val="22"/>
          <w:lang w:val="en-GB"/>
        </w:rPr>
        <w:t xml:space="preserve">, F., Harrison, R., Goldman, J. and </w:t>
      </w:r>
      <w:r w:rsidRPr="0CD97531" w:rsidR="40B9E685">
        <w:rPr>
          <w:rFonts w:ascii="Arial" w:hAnsi="Arial" w:eastAsia="Arial" w:cs="Arial"/>
          <w:i w:val="0"/>
          <w:iCs w:val="0"/>
          <w:noProof w:val="0"/>
          <w:sz w:val="22"/>
          <w:szCs w:val="22"/>
          <w:lang w:val="en-GB"/>
        </w:rPr>
        <w:t>Zwarenstein</w:t>
      </w:r>
      <w:r w:rsidRPr="0CD97531" w:rsidR="40B9E685">
        <w:rPr>
          <w:rFonts w:ascii="Arial" w:hAnsi="Arial" w:eastAsia="Arial" w:cs="Arial"/>
          <w:i w:val="0"/>
          <w:iCs w:val="0"/>
          <w:noProof w:val="0"/>
          <w:sz w:val="22"/>
          <w:szCs w:val="22"/>
          <w:lang w:val="en-GB"/>
        </w:rPr>
        <w:t>, M. (2017) ‘Interprofessional collaboration to improve professional practice and healthcare outcomes’, Cochrane Database of Systematic Reviews, 6, pp. 1–48.</w:t>
      </w:r>
    </w:p>
    <w:p xmlns:wp14="http://schemas.microsoft.com/office/word/2010/wordml" w:rsidP="0CD97531" wp14:paraId="4FBA1B37" wp14:textId="18F369DB">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Rowley, J. (2018) Health and social care records: Principles and practice. London: Routledge.</w:t>
      </w:r>
    </w:p>
    <w:p xmlns:wp14="http://schemas.microsoft.com/office/word/2010/wordml" w:rsidP="0CD97531" wp14:paraId="4E6270A9" wp14:textId="46A70C8B">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SCIE (2023) Strengthening multi-agency working in social care. London: Social Care Institute for Excellence.</w:t>
      </w:r>
    </w:p>
    <w:p xmlns:wp14="http://schemas.microsoft.com/office/word/2010/wordml" w:rsidP="0CD97531" wp14:paraId="4A22DEEF" wp14:textId="3792BCA0">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Silverman, J., Kurtz, </w:t>
      </w:r>
      <w:r w:rsidRPr="0CD97531" w:rsidR="40B9E685">
        <w:rPr>
          <w:rFonts w:ascii="Arial" w:hAnsi="Arial" w:eastAsia="Arial" w:cs="Arial"/>
          <w:i w:val="0"/>
          <w:iCs w:val="0"/>
          <w:noProof w:val="0"/>
          <w:sz w:val="22"/>
          <w:szCs w:val="22"/>
          <w:lang w:val="en-GB"/>
        </w:rPr>
        <w:t>S.</w:t>
      </w:r>
      <w:r w:rsidRPr="0CD97531" w:rsidR="40B9E685">
        <w:rPr>
          <w:rFonts w:ascii="Arial" w:hAnsi="Arial" w:eastAsia="Arial" w:cs="Arial"/>
          <w:i w:val="0"/>
          <w:iCs w:val="0"/>
          <w:noProof w:val="0"/>
          <w:sz w:val="22"/>
          <w:szCs w:val="22"/>
          <w:lang w:val="en-GB"/>
        </w:rPr>
        <w:t xml:space="preserve"> and Draper, J. (2016) Skills for communicating with patients. 3rd </w:t>
      </w:r>
      <w:r w:rsidRPr="0CD97531" w:rsidR="40B9E685">
        <w:rPr>
          <w:rFonts w:ascii="Arial" w:hAnsi="Arial" w:eastAsia="Arial" w:cs="Arial"/>
          <w:i w:val="0"/>
          <w:iCs w:val="0"/>
          <w:noProof w:val="0"/>
          <w:sz w:val="22"/>
          <w:szCs w:val="22"/>
          <w:lang w:val="en-GB"/>
        </w:rPr>
        <w:t>edn</w:t>
      </w:r>
      <w:r w:rsidRPr="0CD97531" w:rsidR="40B9E685">
        <w:rPr>
          <w:rFonts w:ascii="Arial" w:hAnsi="Arial" w:eastAsia="Arial" w:cs="Arial"/>
          <w:i w:val="0"/>
          <w:iCs w:val="0"/>
          <w:noProof w:val="0"/>
          <w:sz w:val="22"/>
          <w:szCs w:val="22"/>
          <w:lang w:val="en-GB"/>
        </w:rPr>
        <w:t>. London: CRC Press.</w:t>
      </w:r>
    </w:p>
    <w:p xmlns:wp14="http://schemas.microsoft.com/office/word/2010/wordml" w:rsidP="0CD97531" wp14:paraId="001711E3" wp14:textId="2C3C12A3">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Skills for Care (2021) Effective record keeping: Guidance for adult social care workers. Leeds: Skills for Care.</w:t>
      </w:r>
    </w:p>
    <w:p xmlns:wp14="http://schemas.microsoft.com/office/word/2010/wordml" w:rsidP="0CD97531" wp14:paraId="0BC4B4A8" wp14:textId="75F9BA3A">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Skills for Care (2022) Communication skills for care workers. Leeds: Skills for Care.</w:t>
      </w:r>
    </w:p>
    <w:p xmlns:wp14="http://schemas.microsoft.com/office/word/2010/wordml" w:rsidP="0CD97531" wp14:paraId="65A85A4F" wp14:textId="694AD735">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Vaismoradi</w:t>
      </w:r>
      <w:r w:rsidRPr="0CD97531" w:rsidR="40B9E685">
        <w:rPr>
          <w:rFonts w:ascii="Arial" w:hAnsi="Arial" w:eastAsia="Arial" w:cs="Arial"/>
          <w:i w:val="0"/>
          <w:iCs w:val="0"/>
          <w:noProof w:val="0"/>
          <w:sz w:val="22"/>
          <w:szCs w:val="22"/>
          <w:lang w:val="en-GB"/>
        </w:rPr>
        <w:t>, M., Jordan, S. and Kangasniemi, M. (2019) ‘Documentation and communication in nursing’, Nursing Open, 6(2), pp. 620–630.</w:t>
      </w:r>
    </w:p>
    <w:p xmlns:wp14="http://schemas.microsoft.com/office/word/2010/wordml" w:rsidP="0CD97531" wp14:paraId="3A1C7242" wp14:textId="06AFE382">
      <w:pPr>
        <w:spacing w:before="195" w:beforeAutospacing="off" w:after="195" w:afterAutospacing="off" w:line="360" w:lineRule="auto"/>
        <w:rPr>
          <w:rFonts w:ascii="Arial" w:hAnsi="Arial" w:eastAsia="Arial" w:cs="Arial"/>
          <w:i w:val="0"/>
          <w:iCs w:val="0"/>
          <w:noProof w:val="0"/>
          <w:sz w:val="22"/>
          <w:szCs w:val="22"/>
          <w:lang w:val="en-GB"/>
        </w:rPr>
      </w:pPr>
      <w:r w:rsidRPr="0CD97531" w:rsidR="40B9E685">
        <w:rPr>
          <w:rFonts w:ascii="Arial" w:hAnsi="Arial" w:eastAsia="Arial" w:cs="Arial"/>
          <w:i w:val="0"/>
          <w:iCs w:val="0"/>
          <w:noProof w:val="0"/>
          <w:sz w:val="22"/>
          <w:szCs w:val="22"/>
          <w:lang w:val="en-GB"/>
        </w:rPr>
        <w:t xml:space="preserve">Williams, </w:t>
      </w:r>
      <w:r w:rsidRPr="0CD97531" w:rsidR="40B9E685">
        <w:rPr>
          <w:rFonts w:ascii="Arial" w:hAnsi="Arial" w:eastAsia="Arial" w:cs="Arial"/>
          <w:i w:val="0"/>
          <w:iCs w:val="0"/>
          <w:noProof w:val="0"/>
          <w:sz w:val="22"/>
          <w:szCs w:val="22"/>
          <w:lang w:val="en-GB"/>
        </w:rPr>
        <w:t>R.</w:t>
      </w:r>
      <w:r w:rsidRPr="0CD97531" w:rsidR="40B9E685">
        <w:rPr>
          <w:rFonts w:ascii="Arial" w:hAnsi="Arial" w:eastAsia="Arial" w:cs="Arial"/>
          <w:i w:val="0"/>
          <w:iCs w:val="0"/>
          <w:noProof w:val="0"/>
          <w:sz w:val="22"/>
          <w:szCs w:val="22"/>
          <w:lang w:val="en-GB"/>
        </w:rPr>
        <w:t xml:space="preserve"> and Jones, T. (2020) ‘The impact of communication failures on medication safety in the community’, British Journal of Community Nursing, 25(9), pp. 422–428.</w:t>
      </w:r>
    </w:p>
    <w:p xmlns:wp14="http://schemas.microsoft.com/office/word/2010/wordml" w:rsidP="0CD97531" wp14:paraId="5E5787A5" wp14:textId="5F7D92F9">
      <w:pPr>
        <w:pStyle w:val="Normal"/>
        <w:spacing w:before="0" w:beforeAutospacing="off" w:after="0" w:afterAutospacing="off" w:line="360" w:lineRule="auto"/>
        <w:rPr>
          <w:rFonts w:ascii="Arial" w:hAnsi="Arial" w:eastAsia="Arial" w:cs="Arial"/>
          <w:noProof w:val="0"/>
          <w:color w:val="auto"/>
          <w:sz w:val="22"/>
          <w:szCs w:val="22"/>
          <w:lang w:val="en-GB"/>
        </w:rPr>
      </w:pPr>
    </w:p>
    <w:sectPr>
      <w:pgSz w:w="11906" w:h="16838" w:orient="portrait"/>
      <w:pgMar w:top="720" w:right="720" w:bottom="720" w:left="720" w:header="720" w:footer="720" w:gutter="0"/>
      <w:cols w:space="720"/>
      <w:docGrid w:linePitch="360"/>
      <w:headerReference w:type="default" r:id="R798ab7cfa9954fd7"/>
      <w:footerReference w:type="default" r:id="Rd5b231bcaa98420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D97531" w:rsidTr="0CD97531" w14:paraId="1418CCB4">
      <w:trPr>
        <w:trHeight w:val="300"/>
      </w:trPr>
      <w:tc>
        <w:tcPr>
          <w:tcW w:w="3005" w:type="dxa"/>
          <w:tcMar/>
        </w:tcPr>
        <w:p w:rsidR="0CD97531" w:rsidP="0CD97531" w:rsidRDefault="0CD97531" w14:paraId="47A2B63F" w14:textId="60F14F90">
          <w:pPr>
            <w:pStyle w:val="Header"/>
            <w:bidi w:val="0"/>
            <w:ind w:left="-115"/>
            <w:jc w:val="left"/>
          </w:pPr>
        </w:p>
      </w:tc>
      <w:tc>
        <w:tcPr>
          <w:tcW w:w="3005" w:type="dxa"/>
          <w:tcMar/>
        </w:tcPr>
        <w:p w:rsidR="0CD97531" w:rsidP="0CD97531" w:rsidRDefault="0CD97531" w14:paraId="526ABEDF" w14:textId="5BD9A173">
          <w:pPr>
            <w:pStyle w:val="Header"/>
            <w:bidi w:val="0"/>
            <w:jc w:val="center"/>
          </w:pPr>
        </w:p>
      </w:tc>
      <w:tc>
        <w:tcPr>
          <w:tcW w:w="3005" w:type="dxa"/>
          <w:tcMar/>
        </w:tcPr>
        <w:p w:rsidR="0CD97531" w:rsidP="0CD97531" w:rsidRDefault="0CD97531" w14:paraId="40B67935" w14:textId="4811E33B">
          <w:pPr>
            <w:pStyle w:val="Header"/>
            <w:bidi w:val="0"/>
            <w:ind w:right="-115"/>
            <w:jc w:val="right"/>
          </w:pPr>
          <w:r>
            <w:fldChar w:fldCharType="begin"/>
          </w:r>
          <w:r>
            <w:instrText xml:space="preserve">PAGE</w:instrText>
          </w:r>
          <w:r>
            <w:fldChar w:fldCharType="separate"/>
          </w:r>
          <w:r>
            <w:fldChar w:fldCharType="end"/>
          </w:r>
        </w:p>
      </w:tc>
    </w:tr>
  </w:tbl>
  <w:p w:rsidR="0CD97531" w:rsidP="0CD97531" w:rsidRDefault="0CD97531" w14:paraId="16F52537" w14:textId="49D0BFF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D97531" w:rsidTr="0CD97531" w14:paraId="34E35108">
      <w:trPr>
        <w:trHeight w:val="300"/>
      </w:trPr>
      <w:tc>
        <w:tcPr>
          <w:tcW w:w="3005" w:type="dxa"/>
          <w:tcMar/>
        </w:tcPr>
        <w:p w:rsidR="0CD97531" w:rsidP="0CD97531" w:rsidRDefault="0CD97531" w14:paraId="1F982750" w14:textId="5DD7C3DF">
          <w:pPr>
            <w:pStyle w:val="Header"/>
            <w:bidi w:val="0"/>
            <w:ind w:left="-115"/>
            <w:jc w:val="left"/>
          </w:pPr>
        </w:p>
      </w:tc>
      <w:tc>
        <w:tcPr>
          <w:tcW w:w="3005" w:type="dxa"/>
          <w:tcMar/>
        </w:tcPr>
        <w:p w:rsidR="0CD97531" w:rsidP="0CD97531" w:rsidRDefault="0CD97531" w14:paraId="46A0AD61" w14:textId="6501CB3C">
          <w:pPr>
            <w:pStyle w:val="Header"/>
            <w:bidi w:val="0"/>
            <w:jc w:val="center"/>
          </w:pPr>
        </w:p>
      </w:tc>
      <w:tc>
        <w:tcPr>
          <w:tcW w:w="3005" w:type="dxa"/>
          <w:tcMar/>
        </w:tcPr>
        <w:p w:rsidR="0CD97531" w:rsidP="0CD97531" w:rsidRDefault="0CD97531" w14:paraId="11CF1E4D" w14:textId="0627E94D">
          <w:pPr>
            <w:pStyle w:val="Header"/>
            <w:bidi w:val="0"/>
            <w:ind w:right="-115"/>
            <w:jc w:val="right"/>
          </w:pPr>
        </w:p>
      </w:tc>
    </w:tr>
  </w:tbl>
  <w:p w:rsidR="0CD97531" w:rsidP="0CD97531" w:rsidRDefault="0CD97531" w14:paraId="4E819328" w14:textId="4495846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F57DAE"/>
    <w:rsid w:val="02B146EE"/>
    <w:rsid w:val="046E4E1D"/>
    <w:rsid w:val="04C1C379"/>
    <w:rsid w:val="07F57DAE"/>
    <w:rsid w:val="0CD97531"/>
    <w:rsid w:val="146D745F"/>
    <w:rsid w:val="1A320672"/>
    <w:rsid w:val="213BB70E"/>
    <w:rsid w:val="216E7C43"/>
    <w:rsid w:val="2B1D2F40"/>
    <w:rsid w:val="40B9E685"/>
    <w:rsid w:val="479606C5"/>
    <w:rsid w:val="5151F645"/>
    <w:rsid w:val="56CB3558"/>
    <w:rsid w:val="5ACEF1DE"/>
    <w:rsid w:val="720D9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57DAE"/>
  <w15:chartTrackingRefBased/>
  <w15:docId w15:val="{FD1F9929-E4D7-478B-A343-3CB404096F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CD97531"/>
    <w:pPr>
      <w:tabs>
        <w:tab w:val="center" w:leader="none" w:pos="4680"/>
        <w:tab w:val="right" w:leader="none" w:pos="9360"/>
      </w:tabs>
      <w:spacing w:after="0" w:line="240" w:lineRule="auto"/>
    </w:pPr>
  </w:style>
  <w:style w:type="paragraph" w:styleId="Footer">
    <w:uiPriority w:val="99"/>
    <w:name w:val="footer"/>
    <w:basedOn w:val="Normal"/>
    <w:unhideWhenUsed/>
    <w:rsid w:val="0CD9753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57839307" /><Relationship Type="http://schemas.openxmlformats.org/officeDocument/2006/relationships/header" Target="/word/header.xml" Id="R798ab7cfa9954fd7" /><Relationship Type="http://schemas.openxmlformats.org/officeDocument/2006/relationships/footer" Target="/word/footer.xml" Id="Rd5b231bcaa9842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Mihaela Valkova (2243479)</dc:creator>
  <keywords/>
  <dc:description/>
  <lastModifiedBy>Mihaela Valkova (2243479)</lastModifiedBy>
  <revision>2</revision>
  <dcterms:created xsi:type="dcterms:W3CDTF">2025-11-21T01:57:15.8261059Z</dcterms:created>
  <dcterms:modified xsi:type="dcterms:W3CDTF">2025-11-21T02:05:16.1672851Z</dcterms:modified>
</coreProperties>
</file>