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D3DFE" w:rsidRDefault="00CD3DFE" w:rsidP="00CD3DFE">
      <w:pPr>
        <w:spacing w:after="240"/>
        <w:ind w:left="-1134"/>
        <w:jc w:val="both"/>
        <w:rPr>
          <w:rFonts w:ascii="Times New Roman" w:hAnsi="Times New Roman" w:cs="Times New Roman"/>
          <w:b/>
          <w:sz w:val="28"/>
          <w:szCs w:val="28"/>
          <w:lang w:val="en-US"/>
        </w:rPr>
      </w:pPr>
      <w:r>
        <w:rPr>
          <w:rFonts w:ascii="Times New Roman" w:hAnsi="Times New Roman" w:cs="Times New Roman"/>
          <w:b/>
          <w:noProof/>
          <w:sz w:val="28"/>
          <w:szCs w:val="28"/>
          <w:lang w:val="en-US"/>
        </w:rPr>
        <w:drawing>
          <wp:inline distT="0" distB="0" distL="0" distR="0">
            <wp:extent cx="7391684" cy="6578221"/>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a:stretch>
                      <a:fillRect/>
                    </a:stretch>
                  </pic:blipFill>
                  <pic:spPr bwMode="auto">
                    <a:xfrm>
                      <a:off x="0" y="0"/>
                      <a:ext cx="7404242" cy="6589397"/>
                    </a:xfrm>
                    <a:prstGeom prst="rect">
                      <a:avLst/>
                    </a:prstGeom>
                    <a:noFill/>
                    <a:ln w="9525">
                      <a:noFill/>
                      <a:miter lim="800000"/>
                      <a:headEnd/>
                      <a:tailEnd/>
                    </a:ln>
                  </pic:spPr>
                </pic:pic>
              </a:graphicData>
            </a:graphic>
          </wp:inline>
        </w:drawing>
      </w:r>
    </w:p>
    <w:p w:rsidR="00CD3DFE" w:rsidRDefault="00CD3DFE" w:rsidP="004F002A">
      <w:pPr>
        <w:spacing w:after="240"/>
        <w:jc w:val="both"/>
        <w:rPr>
          <w:rFonts w:ascii="Times New Roman" w:hAnsi="Times New Roman" w:cs="Times New Roman"/>
          <w:b/>
          <w:sz w:val="28"/>
          <w:szCs w:val="28"/>
          <w:lang w:val="en-US"/>
        </w:rPr>
      </w:pPr>
    </w:p>
    <w:p w:rsidR="00CD3DFE" w:rsidRDefault="00CD3DFE" w:rsidP="004F002A">
      <w:pPr>
        <w:spacing w:after="240"/>
        <w:jc w:val="both"/>
        <w:rPr>
          <w:rFonts w:ascii="Times New Roman" w:hAnsi="Times New Roman" w:cs="Times New Roman"/>
          <w:b/>
          <w:sz w:val="28"/>
          <w:szCs w:val="28"/>
          <w:lang w:val="en-US"/>
        </w:rPr>
      </w:pPr>
    </w:p>
    <w:p w:rsidR="00CD3DFE" w:rsidRDefault="00CD3DFE" w:rsidP="004F002A">
      <w:pPr>
        <w:spacing w:after="240"/>
        <w:jc w:val="both"/>
        <w:rPr>
          <w:rFonts w:ascii="Times New Roman" w:hAnsi="Times New Roman" w:cs="Times New Roman"/>
          <w:b/>
          <w:sz w:val="28"/>
          <w:szCs w:val="28"/>
          <w:lang w:val="en-US"/>
        </w:rPr>
      </w:pPr>
    </w:p>
    <w:p w:rsidR="00894758" w:rsidRPr="00DC0745" w:rsidRDefault="00894758" w:rsidP="004F002A">
      <w:pPr>
        <w:spacing w:after="240"/>
        <w:jc w:val="both"/>
        <w:rPr>
          <w:rFonts w:ascii="Times New Roman" w:hAnsi="Times New Roman" w:cs="Times New Roman"/>
          <w:b/>
          <w:sz w:val="28"/>
          <w:szCs w:val="28"/>
          <w:lang w:val="en-US"/>
        </w:rPr>
      </w:pPr>
      <w:r w:rsidRPr="00894758">
        <w:rPr>
          <w:rFonts w:ascii="Times New Roman" w:hAnsi="Times New Roman" w:cs="Times New Roman"/>
          <w:b/>
          <w:sz w:val="28"/>
          <w:szCs w:val="28"/>
          <w:lang w:val="en-US"/>
        </w:rPr>
        <w:lastRenderedPageBreak/>
        <w:t>1 A)</w:t>
      </w:r>
    </w:p>
    <w:p w:rsidR="00DC0745" w:rsidRPr="00DC0745" w:rsidRDefault="00E46C16" w:rsidP="00DC0745">
      <w:pPr>
        <w:spacing w:after="240"/>
        <w:jc w:val="both"/>
        <w:rPr>
          <w:rFonts w:ascii="Times New Roman" w:hAnsi="Times New Roman" w:cs="Times New Roman"/>
          <w:sz w:val="24"/>
          <w:szCs w:val="24"/>
        </w:rPr>
      </w:pPr>
      <w:r>
        <w:rPr>
          <w:rFonts w:ascii="Times New Roman" w:hAnsi="Times New Roman" w:cs="Times New Roman"/>
          <w:sz w:val="24"/>
          <w:szCs w:val="24"/>
        </w:rPr>
        <w:t xml:space="preserve">The information suggests that 75,000 units are sold at a price of </w:t>
      </w:r>
      <w:r w:rsidRPr="00DC0745">
        <w:rPr>
          <w:rFonts w:ascii="Times New Roman" w:hAnsi="Times New Roman" w:cs="Times New Roman"/>
          <w:sz w:val="24"/>
          <w:szCs w:val="24"/>
        </w:rPr>
        <w:t>£11</w:t>
      </w:r>
      <w:r>
        <w:rPr>
          <w:rFonts w:ascii="Times New Roman" w:hAnsi="Times New Roman" w:cs="Times New Roman"/>
          <w:sz w:val="24"/>
          <w:szCs w:val="24"/>
        </w:rPr>
        <w:t xml:space="preserve">. In addition, the fixed costs and variable costs per unit are also given: </w:t>
      </w:r>
      <w:r w:rsidRPr="00DC0745">
        <w:rPr>
          <w:rFonts w:ascii="Times New Roman" w:hAnsi="Times New Roman" w:cs="Times New Roman"/>
          <w:sz w:val="24"/>
          <w:szCs w:val="24"/>
        </w:rPr>
        <w:t>£350,000</w:t>
      </w:r>
      <w:r>
        <w:rPr>
          <w:rFonts w:ascii="Times New Roman" w:hAnsi="Times New Roman" w:cs="Times New Roman"/>
          <w:sz w:val="24"/>
          <w:szCs w:val="24"/>
        </w:rPr>
        <w:t xml:space="preserve"> and </w:t>
      </w:r>
      <w:r w:rsidRPr="00DC0745">
        <w:rPr>
          <w:rFonts w:ascii="Times New Roman" w:hAnsi="Times New Roman" w:cs="Times New Roman"/>
          <w:sz w:val="24"/>
          <w:szCs w:val="24"/>
        </w:rPr>
        <w:t>£6</w:t>
      </w:r>
      <w:r>
        <w:rPr>
          <w:rFonts w:ascii="Times New Roman" w:hAnsi="Times New Roman" w:cs="Times New Roman"/>
          <w:sz w:val="24"/>
          <w:szCs w:val="24"/>
        </w:rPr>
        <w:t xml:space="preserve">, respectively. The break-even point is found by taking into consideration the size of fixed costs and dividing the number by the profit from selling each unit of product, as expressed by the difference between selling price and variable costs. </w:t>
      </w:r>
    </w:p>
    <w:p w:rsidR="00DC0745" w:rsidRPr="00DC0745" w:rsidRDefault="00DC0745" w:rsidP="00E46C16">
      <w:pPr>
        <w:spacing w:after="240"/>
        <w:jc w:val="both"/>
        <w:rPr>
          <w:rFonts w:ascii="Times New Roman" w:hAnsi="Times New Roman" w:cs="Times New Roman"/>
          <w:sz w:val="24"/>
          <w:szCs w:val="24"/>
        </w:rPr>
      </w:pPr>
      <w:r>
        <w:rPr>
          <w:rFonts w:ascii="Times New Roman" w:hAnsi="Times New Roman" w:cs="Times New Roman"/>
          <w:sz w:val="24"/>
          <w:szCs w:val="24"/>
        </w:rPr>
        <w:t>Break-even point</w:t>
      </w:r>
      <w:r w:rsidRPr="00DC0745">
        <w:rPr>
          <w:rFonts w:ascii="Times New Roman" w:hAnsi="Times New Roman" w:cs="Times New Roman"/>
          <w:sz w:val="24"/>
          <w:szCs w:val="24"/>
        </w:rPr>
        <w:t xml:space="preserve"> = FC / (p</w:t>
      </w:r>
      <w:r>
        <w:rPr>
          <w:rFonts w:ascii="Times New Roman" w:hAnsi="Times New Roman" w:cs="Times New Roman"/>
          <w:sz w:val="24"/>
          <w:szCs w:val="24"/>
        </w:rPr>
        <w:t>rice</w:t>
      </w:r>
      <w:r w:rsidRPr="00DC0745">
        <w:rPr>
          <w:rFonts w:ascii="Times New Roman" w:hAnsi="Times New Roman" w:cs="Times New Roman"/>
          <w:sz w:val="24"/>
          <w:szCs w:val="24"/>
        </w:rPr>
        <w:t xml:space="preserve"> – </w:t>
      </w:r>
      <w:r w:rsidR="00E46C16">
        <w:rPr>
          <w:rFonts w:ascii="Times New Roman" w:hAnsi="Times New Roman" w:cs="Times New Roman"/>
          <w:sz w:val="24"/>
          <w:szCs w:val="24"/>
        </w:rPr>
        <w:t>variable cost per unit</w:t>
      </w:r>
      <w:r w:rsidRPr="00DC0745">
        <w:rPr>
          <w:rFonts w:ascii="Times New Roman" w:hAnsi="Times New Roman" w:cs="Times New Roman"/>
          <w:sz w:val="24"/>
          <w:szCs w:val="24"/>
        </w:rPr>
        <w:t>)</w:t>
      </w:r>
    </w:p>
    <w:p w:rsidR="00DC0745" w:rsidRPr="00DC0745" w:rsidRDefault="00E46C16" w:rsidP="00DC0745">
      <w:pPr>
        <w:spacing w:after="240"/>
        <w:jc w:val="both"/>
        <w:rPr>
          <w:rFonts w:ascii="Times New Roman" w:hAnsi="Times New Roman" w:cs="Times New Roman"/>
          <w:sz w:val="24"/>
          <w:szCs w:val="24"/>
        </w:rPr>
      </w:pPr>
      <w:r>
        <w:rPr>
          <w:rFonts w:ascii="Times New Roman" w:hAnsi="Times New Roman" w:cs="Times New Roman"/>
          <w:sz w:val="24"/>
          <w:szCs w:val="24"/>
        </w:rPr>
        <w:t>Break-even point</w:t>
      </w:r>
      <w:r w:rsidR="00DC0745" w:rsidRPr="00DC0745">
        <w:rPr>
          <w:rFonts w:ascii="Times New Roman" w:hAnsi="Times New Roman" w:cs="Times New Roman"/>
          <w:sz w:val="24"/>
          <w:szCs w:val="24"/>
        </w:rPr>
        <w:t xml:space="preserve"> = £350,000 / (£11 - £6) = </w:t>
      </w:r>
      <w:r w:rsidR="00DC0745" w:rsidRPr="00DC0745">
        <w:rPr>
          <w:rFonts w:ascii="Times New Roman" w:hAnsi="Times New Roman" w:cs="Times New Roman"/>
          <w:b/>
          <w:bCs/>
          <w:sz w:val="24"/>
          <w:szCs w:val="24"/>
        </w:rPr>
        <w:t>70,000 units</w:t>
      </w:r>
    </w:p>
    <w:p w:rsidR="00DC0745" w:rsidRPr="00DC0745" w:rsidRDefault="00E46C16" w:rsidP="00DC0745">
      <w:pPr>
        <w:spacing w:after="240"/>
        <w:jc w:val="both"/>
        <w:rPr>
          <w:rFonts w:ascii="Times New Roman" w:hAnsi="Times New Roman" w:cs="Times New Roman"/>
          <w:sz w:val="24"/>
          <w:szCs w:val="24"/>
        </w:rPr>
      </w:pPr>
      <w:r>
        <w:rPr>
          <w:rFonts w:ascii="Times New Roman" w:hAnsi="Times New Roman" w:cs="Times New Roman"/>
          <w:sz w:val="24"/>
          <w:szCs w:val="24"/>
        </w:rPr>
        <w:t xml:space="preserve">This means that </w:t>
      </w:r>
      <w:r>
        <w:rPr>
          <w:sz w:val="23"/>
          <w:szCs w:val="23"/>
        </w:rPr>
        <w:t>Kerrigan Ltd has to sell 70,000 units in order to cover the occurring fixed and variable costs and reach zero profit. Respectively, the revenue of selling 70,000 units is equal to:</w:t>
      </w:r>
    </w:p>
    <w:p w:rsidR="00894758" w:rsidRPr="00E46C16" w:rsidRDefault="00E46C16" w:rsidP="004F002A">
      <w:pPr>
        <w:spacing w:after="240"/>
        <w:jc w:val="both"/>
        <w:rPr>
          <w:rFonts w:ascii="Times New Roman" w:hAnsi="Times New Roman" w:cs="Times New Roman"/>
          <w:sz w:val="24"/>
          <w:szCs w:val="24"/>
        </w:rPr>
      </w:pPr>
      <w:r>
        <w:rPr>
          <w:rFonts w:ascii="Times New Roman" w:hAnsi="Times New Roman" w:cs="Times New Roman"/>
          <w:sz w:val="24"/>
          <w:szCs w:val="24"/>
        </w:rPr>
        <w:t>Revenue</w:t>
      </w:r>
      <w:r w:rsidR="00DC0745" w:rsidRPr="00DC0745">
        <w:rPr>
          <w:rFonts w:ascii="Times New Roman" w:hAnsi="Times New Roman" w:cs="Times New Roman"/>
          <w:sz w:val="24"/>
          <w:szCs w:val="24"/>
        </w:rPr>
        <w:t xml:space="preserve"> = 70,000 units X £11 = </w:t>
      </w:r>
      <w:r w:rsidR="00DC0745" w:rsidRPr="00DC0745">
        <w:rPr>
          <w:rFonts w:ascii="Times New Roman" w:hAnsi="Times New Roman" w:cs="Times New Roman"/>
          <w:b/>
          <w:bCs/>
          <w:sz w:val="24"/>
          <w:szCs w:val="24"/>
        </w:rPr>
        <w:t>£770,000</w:t>
      </w:r>
    </w:p>
    <w:p w:rsidR="00894758" w:rsidRPr="00894758" w:rsidRDefault="00894758" w:rsidP="004F002A">
      <w:pPr>
        <w:spacing w:after="240"/>
        <w:jc w:val="both"/>
        <w:rPr>
          <w:rFonts w:ascii="Times New Roman" w:hAnsi="Times New Roman" w:cs="Times New Roman"/>
          <w:b/>
          <w:sz w:val="28"/>
          <w:szCs w:val="28"/>
          <w:lang w:val="en-US"/>
        </w:rPr>
      </w:pPr>
      <w:r w:rsidRPr="00894758">
        <w:rPr>
          <w:rFonts w:ascii="Times New Roman" w:hAnsi="Times New Roman" w:cs="Times New Roman"/>
          <w:b/>
          <w:sz w:val="28"/>
          <w:szCs w:val="28"/>
          <w:lang w:val="en-US"/>
        </w:rPr>
        <w:t>1 B)</w:t>
      </w:r>
    </w:p>
    <w:p w:rsidR="00894758" w:rsidRDefault="003F7ED0" w:rsidP="004F002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In order to calculate the actual profit from selling 75,000 units, it is important to calculate the total revenue and total costs related to the respective sales. </w:t>
      </w:r>
      <w:r w:rsidR="004274B6">
        <w:rPr>
          <w:rFonts w:ascii="Times New Roman" w:hAnsi="Times New Roman" w:cs="Times New Roman"/>
          <w:sz w:val="24"/>
          <w:szCs w:val="24"/>
          <w:lang w:val="en-US"/>
        </w:rPr>
        <w:t xml:space="preserve">Total costs are expressed as the sum of fixed costs and variable ones given the level of sales. </w:t>
      </w:r>
      <w:r>
        <w:rPr>
          <w:rFonts w:ascii="Times New Roman" w:hAnsi="Times New Roman" w:cs="Times New Roman"/>
          <w:sz w:val="24"/>
          <w:szCs w:val="24"/>
          <w:lang w:val="en-US"/>
        </w:rPr>
        <w:t xml:space="preserve">The following calculations are related to evaluating the profitability of selling 75,000 units. </w:t>
      </w:r>
    </w:p>
    <w:p w:rsidR="00E46C16" w:rsidRPr="00DC0745" w:rsidRDefault="00E46C16" w:rsidP="003F7ED0">
      <w:pPr>
        <w:spacing w:after="240"/>
        <w:jc w:val="both"/>
        <w:rPr>
          <w:rFonts w:ascii="Times New Roman" w:hAnsi="Times New Roman" w:cs="Times New Roman"/>
          <w:sz w:val="24"/>
          <w:szCs w:val="24"/>
        </w:rPr>
      </w:pPr>
      <w:r w:rsidRPr="00DC0745">
        <w:rPr>
          <w:rFonts w:ascii="Times New Roman" w:hAnsi="Times New Roman" w:cs="Times New Roman"/>
          <w:sz w:val="24"/>
          <w:szCs w:val="24"/>
        </w:rPr>
        <w:t>Profit = TR – TC</w:t>
      </w:r>
    </w:p>
    <w:p w:rsidR="00E46C16" w:rsidRPr="00DC0745" w:rsidRDefault="00E46C16" w:rsidP="00E46C16">
      <w:pPr>
        <w:spacing w:after="240"/>
        <w:jc w:val="both"/>
        <w:rPr>
          <w:rFonts w:ascii="Times New Roman" w:hAnsi="Times New Roman" w:cs="Times New Roman"/>
          <w:sz w:val="24"/>
          <w:szCs w:val="24"/>
        </w:rPr>
      </w:pPr>
      <w:r w:rsidRPr="00DC0745">
        <w:rPr>
          <w:rFonts w:ascii="Times New Roman" w:hAnsi="Times New Roman" w:cs="Times New Roman"/>
          <w:sz w:val="24"/>
          <w:szCs w:val="24"/>
        </w:rPr>
        <w:t xml:space="preserve">Profit = (75,000 X £11) - £350,000 – (75,000 X £6) = </w:t>
      </w:r>
    </w:p>
    <w:p w:rsidR="00894758" w:rsidRPr="004274B6" w:rsidRDefault="00E46C16" w:rsidP="004F002A">
      <w:pPr>
        <w:spacing w:after="240"/>
        <w:jc w:val="both"/>
        <w:rPr>
          <w:rFonts w:ascii="Times New Roman" w:hAnsi="Times New Roman" w:cs="Times New Roman"/>
          <w:sz w:val="24"/>
          <w:szCs w:val="24"/>
        </w:rPr>
      </w:pPr>
      <w:r w:rsidRPr="00DC0745">
        <w:rPr>
          <w:rFonts w:ascii="Times New Roman" w:hAnsi="Times New Roman" w:cs="Times New Roman"/>
          <w:sz w:val="24"/>
          <w:szCs w:val="24"/>
        </w:rPr>
        <w:t xml:space="preserve">= £825,000 - £350,000 - £450,000 = </w:t>
      </w:r>
      <w:r w:rsidRPr="00DC0745">
        <w:rPr>
          <w:rFonts w:ascii="Times New Roman" w:hAnsi="Times New Roman" w:cs="Times New Roman"/>
          <w:b/>
          <w:bCs/>
          <w:sz w:val="24"/>
          <w:szCs w:val="24"/>
        </w:rPr>
        <w:t>£25,000</w:t>
      </w:r>
    </w:p>
    <w:p w:rsidR="00894758" w:rsidRPr="00894758" w:rsidRDefault="00894758" w:rsidP="004F002A">
      <w:pPr>
        <w:spacing w:after="240"/>
        <w:jc w:val="both"/>
        <w:rPr>
          <w:rFonts w:ascii="Times New Roman" w:hAnsi="Times New Roman" w:cs="Times New Roman"/>
          <w:b/>
          <w:sz w:val="28"/>
          <w:szCs w:val="28"/>
          <w:lang w:val="en-US"/>
        </w:rPr>
      </w:pPr>
      <w:r w:rsidRPr="00894758">
        <w:rPr>
          <w:rFonts w:ascii="Times New Roman" w:hAnsi="Times New Roman" w:cs="Times New Roman"/>
          <w:b/>
          <w:sz w:val="28"/>
          <w:szCs w:val="28"/>
          <w:lang w:val="en-US"/>
        </w:rPr>
        <w:t>1 C)</w:t>
      </w:r>
    </w:p>
    <w:p w:rsidR="004F002A" w:rsidRPr="004F002A" w:rsidRDefault="00B52D78" w:rsidP="004F002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advertising campaign leads to changes in the fixed costs, variable costs, price and volumes sold. It is important to mention that advertising expenses are considered as an addition to fixed costs. The changes are expressed as follows: </w:t>
      </w:r>
    </w:p>
    <w:p w:rsidR="004274B6" w:rsidRPr="00DC0745" w:rsidRDefault="004274B6" w:rsidP="00B52D78">
      <w:pPr>
        <w:spacing w:after="240"/>
        <w:jc w:val="both"/>
        <w:rPr>
          <w:rFonts w:ascii="Times New Roman" w:hAnsi="Times New Roman" w:cs="Times New Roman"/>
          <w:sz w:val="24"/>
          <w:szCs w:val="24"/>
        </w:rPr>
      </w:pPr>
      <w:r w:rsidRPr="00DC0745">
        <w:rPr>
          <w:rFonts w:ascii="Times New Roman" w:hAnsi="Times New Roman" w:cs="Times New Roman"/>
          <w:sz w:val="24"/>
          <w:szCs w:val="24"/>
        </w:rPr>
        <w:lastRenderedPageBreak/>
        <w:t>FC = £350,000 + £10,000 = £360,000</w:t>
      </w:r>
    </w:p>
    <w:p w:rsidR="004274B6" w:rsidRPr="00DC0745" w:rsidRDefault="004274B6" w:rsidP="004274B6">
      <w:pPr>
        <w:spacing w:after="240"/>
        <w:jc w:val="both"/>
        <w:rPr>
          <w:rFonts w:ascii="Times New Roman" w:hAnsi="Times New Roman" w:cs="Times New Roman"/>
          <w:sz w:val="24"/>
          <w:szCs w:val="24"/>
        </w:rPr>
      </w:pPr>
      <w:r w:rsidRPr="00DC0745">
        <w:rPr>
          <w:rFonts w:ascii="Times New Roman" w:hAnsi="Times New Roman" w:cs="Times New Roman"/>
          <w:sz w:val="24"/>
          <w:szCs w:val="24"/>
        </w:rPr>
        <w:t>VC per unit = £6 + £1 = £7</w:t>
      </w:r>
    </w:p>
    <w:p w:rsidR="004274B6" w:rsidRPr="00DC0745" w:rsidRDefault="00B52D78" w:rsidP="004274B6">
      <w:pPr>
        <w:spacing w:after="240"/>
        <w:jc w:val="both"/>
        <w:rPr>
          <w:rFonts w:ascii="Times New Roman" w:hAnsi="Times New Roman" w:cs="Times New Roman"/>
          <w:sz w:val="24"/>
          <w:szCs w:val="24"/>
        </w:rPr>
      </w:pPr>
      <w:r>
        <w:rPr>
          <w:rFonts w:ascii="Times New Roman" w:hAnsi="Times New Roman" w:cs="Times New Roman"/>
          <w:sz w:val="24"/>
          <w:szCs w:val="24"/>
        </w:rPr>
        <w:t>New p</w:t>
      </w:r>
      <w:r w:rsidR="004274B6" w:rsidRPr="00DC0745">
        <w:rPr>
          <w:rFonts w:ascii="Times New Roman" w:hAnsi="Times New Roman" w:cs="Times New Roman"/>
          <w:sz w:val="24"/>
          <w:szCs w:val="24"/>
        </w:rPr>
        <w:t>rice = £13</w:t>
      </w:r>
    </w:p>
    <w:p w:rsidR="004274B6" w:rsidRPr="00DC0745" w:rsidRDefault="004274B6" w:rsidP="004274B6">
      <w:pPr>
        <w:spacing w:after="240"/>
        <w:jc w:val="both"/>
        <w:rPr>
          <w:rFonts w:ascii="Times New Roman" w:hAnsi="Times New Roman" w:cs="Times New Roman"/>
          <w:sz w:val="24"/>
          <w:szCs w:val="24"/>
        </w:rPr>
      </w:pPr>
      <w:r w:rsidRPr="00DC0745">
        <w:rPr>
          <w:rFonts w:ascii="Times New Roman" w:hAnsi="Times New Roman" w:cs="Times New Roman"/>
          <w:sz w:val="24"/>
          <w:szCs w:val="24"/>
        </w:rPr>
        <w:t>Sales</w:t>
      </w:r>
      <w:r w:rsidR="00B52D78">
        <w:rPr>
          <w:rFonts w:ascii="Times New Roman" w:hAnsi="Times New Roman" w:cs="Times New Roman"/>
          <w:sz w:val="24"/>
          <w:szCs w:val="24"/>
        </w:rPr>
        <w:t xml:space="preserve"> level</w:t>
      </w:r>
      <w:r w:rsidRPr="00DC0745">
        <w:rPr>
          <w:rFonts w:ascii="Times New Roman" w:hAnsi="Times New Roman" w:cs="Times New Roman"/>
          <w:sz w:val="24"/>
          <w:szCs w:val="24"/>
        </w:rPr>
        <w:t xml:space="preserve"> = 80,000 units</w:t>
      </w:r>
    </w:p>
    <w:p w:rsidR="004274B6" w:rsidRPr="00DC0745" w:rsidRDefault="00B52D78" w:rsidP="004274B6">
      <w:pPr>
        <w:spacing w:after="240"/>
        <w:jc w:val="both"/>
        <w:rPr>
          <w:rFonts w:ascii="Times New Roman" w:hAnsi="Times New Roman" w:cs="Times New Roman"/>
          <w:sz w:val="24"/>
          <w:szCs w:val="24"/>
        </w:rPr>
      </w:pPr>
      <w:r>
        <w:rPr>
          <w:rFonts w:ascii="Times New Roman" w:hAnsi="Times New Roman" w:cs="Times New Roman"/>
          <w:sz w:val="24"/>
          <w:szCs w:val="24"/>
        </w:rPr>
        <w:t xml:space="preserve">Based on these new assumptions, it is important to measure the impact of the advertising campaign on profitability of </w:t>
      </w:r>
      <w:r>
        <w:rPr>
          <w:sz w:val="23"/>
          <w:szCs w:val="23"/>
        </w:rPr>
        <w:t xml:space="preserve">Kerrigan Ltd. </w:t>
      </w:r>
    </w:p>
    <w:p w:rsidR="004274B6" w:rsidRPr="00DC0745" w:rsidRDefault="004274B6" w:rsidP="004274B6">
      <w:pPr>
        <w:spacing w:after="240"/>
        <w:jc w:val="both"/>
        <w:rPr>
          <w:rFonts w:ascii="Times New Roman" w:hAnsi="Times New Roman" w:cs="Times New Roman"/>
          <w:sz w:val="24"/>
          <w:szCs w:val="24"/>
        </w:rPr>
      </w:pPr>
      <w:r w:rsidRPr="00DC0745">
        <w:rPr>
          <w:rFonts w:ascii="Times New Roman" w:hAnsi="Times New Roman" w:cs="Times New Roman"/>
          <w:sz w:val="24"/>
          <w:szCs w:val="24"/>
        </w:rPr>
        <w:t>Profit = TR – TC</w:t>
      </w:r>
    </w:p>
    <w:p w:rsidR="004274B6" w:rsidRPr="00DC0745" w:rsidRDefault="004274B6" w:rsidP="004274B6">
      <w:pPr>
        <w:spacing w:after="240"/>
        <w:jc w:val="both"/>
        <w:rPr>
          <w:rFonts w:ascii="Times New Roman" w:hAnsi="Times New Roman" w:cs="Times New Roman"/>
          <w:sz w:val="24"/>
          <w:szCs w:val="24"/>
        </w:rPr>
      </w:pPr>
      <w:r w:rsidRPr="00DC0745">
        <w:rPr>
          <w:rFonts w:ascii="Times New Roman" w:hAnsi="Times New Roman" w:cs="Times New Roman"/>
          <w:sz w:val="24"/>
          <w:szCs w:val="24"/>
        </w:rPr>
        <w:t>Profit = (80,000 X £13) - £360,000 – (80,000 X £7) =</w:t>
      </w:r>
    </w:p>
    <w:p w:rsidR="004274B6" w:rsidRPr="00DC0745" w:rsidRDefault="004274B6" w:rsidP="004274B6">
      <w:pPr>
        <w:spacing w:after="240"/>
        <w:jc w:val="both"/>
        <w:rPr>
          <w:rFonts w:ascii="Times New Roman" w:hAnsi="Times New Roman" w:cs="Times New Roman"/>
          <w:sz w:val="24"/>
          <w:szCs w:val="24"/>
          <w:vertAlign w:val="subscript"/>
        </w:rPr>
      </w:pPr>
      <w:r w:rsidRPr="00DC0745">
        <w:rPr>
          <w:rFonts w:ascii="Times New Roman" w:hAnsi="Times New Roman" w:cs="Times New Roman"/>
          <w:sz w:val="24"/>
          <w:szCs w:val="24"/>
        </w:rPr>
        <w:t xml:space="preserve">= £1,040,000 - £360,000 - £560,000 = </w:t>
      </w:r>
      <w:r w:rsidRPr="00DC0745">
        <w:rPr>
          <w:rFonts w:ascii="Times New Roman" w:hAnsi="Times New Roman" w:cs="Times New Roman"/>
          <w:b/>
          <w:bCs/>
          <w:sz w:val="24"/>
          <w:szCs w:val="24"/>
        </w:rPr>
        <w:t>£120,000</w:t>
      </w:r>
    </w:p>
    <w:p w:rsidR="004F002A" w:rsidRPr="004F002A" w:rsidRDefault="00B52D78" w:rsidP="004F002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profitability of </w:t>
      </w:r>
      <w:r>
        <w:rPr>
          <w:sz w:val="23"/>
          <w:szCs w:val="23"/>
        </w:rPr>
        <w:t xml:space="preserve">Kerrigan Ltd is eventually increased to a level </w:t>
      </w:r>
      <w:r w:rsidRPr="00B52D78">
        <w:rPr>
          <w:sz w:val="23"/>
          <w:szCs w:val="23"/>
        </w:rPr>
        <w:t xml:space="preserve">of </w:t>
      </w:r>
      <w:r w:rsidRPr="00B52D78">
        <w:rPr>
          <w:rFonts w:ascii="Times New Roman" w:hAnsi="Times New Roman" w:cs="Times New Roman"/>
          <w:bCs/>
          <w:sz w:val="24"/>
          <w:szCs w:val="24"/>
        </w:rPr>
        <w:t>£120,000</w:t>
      </w:r>
      <w:r>
        <w:rPr>
          <w:rFonts w:ascii="Times New Roman" w:hAnsi="Times New Roman" w:cs="Times New Roman"/>
          <w:bCs/>
          <w:sz w:val="24"/>
          <w:szCs w:val="24"/>
        </w:rPr>
        <w:t xml:space="preserve">. This is considerably higher than the basic scenario; thereby, demonstrating the effective use of advertising for increasing product demand, revenue and profitability numbers. The investment in advertising eventually has a very high return due to the fact that an £10,000 investment yields £95,000 in extra profit, despite the increased variable costs. </w:t>
      </w:r>
    </w:p>
    <w:p w:rsidR="004F002A" w:rsidRPr="004F002A" w:rsidRDefault="004F002A" w:rsidP="004F002A">
      <w:pPr>
        <w:spacing w:after="240"/>
        <w:jc w:val="both"/>
        <w:rPr>
          <w:rFonts w:ascii="Times New Roman" w:hAnsi="Times New Roman" w:cs="Times New Roman"/>
          <w:b/>
          <w:sz w:val="28"/>
          <w:szCs w:val="28"/>
          <w:lang w:val="en-US"/>
        </w:rPr>
      </w:pPr>
      <w:r w:rsidRPr="004F002A">
        <w:rPr>
          <w:rFonts w:ascii="Times New Roman" w:hAnsi="Times New Roman" w:cs="Times New Roman"/>
          <w:b/>
          <w:sz w:val="28"/>
          <w:szCs w:val="28"/>
          <w:lang w:val="en-US"/>
        </w:rPr>
        <w:t>1 D)</w:t>
      </w:r>
    </w:p>
    <w:p w:rsidR="004F002A" w:rsidRDefault="00894758" w:rsidP="004F002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Break-even analysis has specific limitations which may worsen the actual validity of findings in real life context. One of the most significant drawbacks is related to the fact that assumptions are applied in the analytical process. For example, it is assumed that fixed costs remain constant regardless of the activity level; however, this is often not the case, as fixed costs tend to change when a certain activity level is surpassed (Pant, 2021). Due to economies of scale, fixed costs may be reduced in the case of large production volume which is overlooked by break-even analysis. Another key limitation suggests that variable costs are in a linear relationship with the production volume. Real life evidence shows that the size of variable costs per unit may also depend on production quantities; thereby, experiencing a non-linear relationship (Pant, 2021). Respectively, break-even analysis may suggest </w:t>
      </w:r>
      <w:r w:rsidR="00DF1920">
        <w:rPr>
          <w:rFonts w:ascii="Times New Roman" w:hAnsi="Times New Roman" w:cs="Times New Roman"/>
          <w:sz w:val="24"/>
          <w:szCs w:val="24"/>
          <w:lang w:val="en-US"/>
        </w:rPr>
        <w:t xml:space="preserve">profit margins and break-even point which are </w:t>
      </w:r>
      <w:r w:rsidR="00DF1920">
        <w:rPr>
          <w:rFonts w:ascii="Times New Roman" w:hAnsi="Times New Roman" w:cs="Times New Roman"/>
          <w:sz w:val="24"/>
          <w:szCs w:val="24"/>
          <w:lang w:val="en-US"/>
        </w:rPr>
        <w:lastRenderedPageBreak/>
        <w:t xml:space="preserve">incorrect. Moreover, Pant (2021) also argues that break-even analysis applies a clear distinction between fixed and variable costs; however, this may not be the case in practice. The inability to clearly determine the types of costs in two groups – fixed and variable – is a reason for yielding inaccurate results from the break-even analysis. </w:t>
      </w:r>
      <w:r w:rsidR="003E4E67">
        <w:rPr>
          <w:rFonts w:ascii="Times New Roman" w:hAnsi="Times New Roman" w:cs="Times New Roman"/>
          <w:sz w:val="24"/>
          <w:szCs w:val="24"/>
          <w:lang w:val="en-US"/>
        </w:rPr>
        <w:t xml:space="preserve">Moreover, it is quite difficult to accurately calculate the exact size of fixed costs when multiple different products are to be assessed which is another drawback of break-even analysis (Pant, 2021). </w:t>
      </w:r>
    </w:p>
    <w:p w:rsidR="00DF1920" w:rsidRDefault="00DF1920" w:rsidP="004F002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In addition to the above-mentioned internal conditions and cost-related considerations, break-even analysis may also demonstrate weaknesses related to the external environment. In general, break-even analysis is performed under the assumption that business conditions remain unchanged during the future period of analysis (Pant, 2021). This is often unrealistic assumption and changes in the external conditions may largely influence the performance of a company and jeopardise the validity of break-even results. Moreover, external conditions, such as changes in selling price, level of competition, as well as input costs, may change; thereby, altering the actual break-even point and experienced profit margins (Pant, 2021).  </w:t>
      </w:r>
    </w:p>
    <w:p w:rsidR="004F002A" w:rsidRDefault="003E4E67" w:rsidP="004F002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It is also important to mention that break-even analysis assumes an equal size of production level and quantities sold but this is rarely the case; thereby, leading to changes in inventory levels (Pant, 2021). The overlooking of inventory changes, as well as the lack of considering the role of the amount of capital employed, as the latter remains a relevant determinant of organisational profitability, are factors for inaccurate analysis in practice (Pant, 2021). </w:t>
      </w:r>
    </w:p>
    <w:p w:rsidR="004F002A" w:rsidRPr="004F002A" w:rsidRDefault="004F002A" w:rsidP="004F002A">
      <w:pPr>
        <w:spacing w:after="240"/>
        <w:jc w:val="both"/>
        <w:rPr>
          <w:rFonts w:ascii="Times New Roman" w:hAnsi="Times New Roman" w:cs="Times New Roman"/>
          <w:b/>
          <w:sz w:val="28"/>
          <w:szCs w:val="28"/>
          <w:lang w:val="en-US"/>
        </w:rPr>
      </w:pPr>
      <w:r w:rsidRPr="004F002A">
        <w:rPr>
          <w:rFonts w:ascii="Times New Roman" w:hAnsi="Times New Roman" w:cs="Times New Roman"/>
          <w:b/>
          <w:sz w:val="28"/>
          <w:szCs w:val="28"/>
          <w:lang w:val="en-US"/>
        </w:rPr>
        <w:t>2 A)</w:t>
      </w:r>
    </w:p>
    <w:p w:rsidR="004F002A" w:rsidRDefault="00D06DF8" w:rsidP="004F002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primary role of management accounting is to improve the internal decision-making process by managers. Hence, management accounting is a field which is used to collect relevant internal information with a positive impact on decision-making and organisational performance as a whole (Needles et al., 2014). In this relation, management accounting has a wide scope of responsibilities, which includes monitoring and control of processes, stakeholder engagement, reporting and eventually more effective decision-making (Needles et al., 2014). As a result, it is possible to better control a given organisation and </w:t>
      </w:r>
      <w:proofErr w:type="gramStart"/>
      <w:r>
        <w:rPr>
          <w:rFonts w:ascii="Times New Roman" w:hAnsi="Times New Roman" w:cs="Times New Roman"/>
          <w:sz w:val="24"/>
          <w:szCs w:val="24"/>
          <w:lang w:val="en-US"/>
        </w:rPr>
        <w:t>manage</w:t>
      </w:r>
      <w:proofErr w:type="gramEnd"/>
      <w:r>
        <w:rPr>
          <w:rFonts w:ascii="Times New Roman" w:hAnsi="Times New Roman" w:cs="Times New Roman"/>
          <w:sz w:val="24"/>
          <w:szCs w:val="24"/>
          <w:lang w:val="en-US"/>
        </w:rPr>
        <w:t xml:space="preserve"> it in an effective manner, so that long-term strategic goals are accomplished (Seal et al., 2011). </w:t>
      </w:r>
    </w:p>
    <w:p w:rsidR="003E4E67" w:rsidRDefault="00D06DF8" w:rsidP="004F002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Considering the specifics of management accounting, it is important to recognise its importance for accessing relevant, detailed and accurate information supporting the process of decision-making (Seal et al., 2011). The availability of internal data has grown in importance, as informed decision-making is required in order to prosper in a competitive marketplace dominated by technologies and external changes. Therefore, management accounting’s main advantage stands in its ability to deliver various types of report which improve the planning process, capital budgeting decision-making, control over processes and operations and other relevant fields of operations depending on the information needs of managers, employees and other internal stakeholders (Needles et al., 2014). Mor</w:t>
      </w:r>
      <w:r w:rsidR="007723C7">
        <w:rPr>
          <w:rFonts w:ascii="Times New Roman" w:hAnsi="Times New Roman" w:cs="Times New Roman"/>
          <w:sz w:val="24"/>
          <w:szCs w:val="24"/>
          <w:lang w:val="en-US"/>
        </w:rPr>
        <w:t>eover, management accounting tends to have</w:t>
      </w:r>
      <w:r>
        <w:rPr>
          <w:rFonts w:ascii="Times New Roman" w:hAnsi="Times New Roman" w:cs="Times New Roman"/>
          <w:sz w:val="24"/>
          <w:szCs w:val="24"/>
          <w:lang w:val="en-US"/>
        </w:rPr>
        <w:t xml:space="preserve"> a high level of flexibility, as reports may be prepared with different frequency and structure depending on the actual information needs of decision-makers (Needles et al., 2014). Hence, there is no need to follow a strictly determined </w:t>
      </w:r>
      <w:r w:rsidR="00EF2B23">
        <w:rPr>
          <w:rFonts w:ascii="Times New Roman" w:hAnsi="Times New Roman" w:cs="Times New Roman"/>
          <w:sz w:val="24"/>
          <w:szCs w:val="24"/>
          <w:lang w:val="en-US"/>
        </w:rPr>
        <w:t xml:space="preserve">report format. </w:t>
      </w:r>
    </w:p>
    <w:p w:rsidR="003C15D3" w:rsidRDefault="003C15D3" w:rsidP="004F002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Business organisations are typically required to deliver a set of financial reports and it is important to discuss the main differences between management and financial accounting. </w:t>
      </w:r>
      <w:r w:rsidR="007723C7">
        <w:rPr>
          <w:rFonts w:ascii="Times New Roman" w:hAnsi="Times New Roman" w:cs="Times New Roman"/>
          <w:sz w:val="24"/>
          <w:szCs w:val="24"/>
          <w:lang w:val="en-US"/>
        </w:rPr>
        <w:t xml:space="preserve">The first major difference refers to the reporting format. Drury (2009) explains that management accounting reports are flexible and may be adjusted in terms of content and structure depending on the specific needs of organisational decision makers. In contrast, financial accounting is required to prepare reports which strictly comply with accounting rules and structure determined by regulators (Drury, 2009). </w:t>
      </w:r>
    </w:p>
    <w:p w:rsidR="007723C7" w:rsidRDefault="007723C7" w:rsidP="004F002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Second, management accounting typically serves the needs of internal stakeholders. Hence, the reports aim at informing managers, employees and other organisationally-related stakeholders (Needles et al., 2014). In contrast, financial accounting reports tend to serve the information needs of external stakeholders – regulators, government institutions, lenders, etc. (Needles et al., 2014). </w:t>
      </w:r>
    </w:p>
    <w:p w:rsidR="007723C7" w:rsidRDefault="007723C7" w:rsidP="004F002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Third, there are also differences in the time orientation of reports. Management accounting reports have a future orientation. Information is often required in order to assess future trends, make capital budgeting decisions, change processes based on incoming technologies, etc. (Needles et al., 2014). Financial accounting reports are past oriented, as they include financial data about the balance sheet items, profit and loss information, cash flow management, etc. from previous accounting periods (Needles et al., 2014). Moreover, financial reports have to be based </w:t>
      </w:r>
      <w:r>
        <w:rPr>
          <w:rFonts w:ascii="Times New Roman" w:hAnsi="Times New Roman" w:cs="Times New Roman"/>
          <w:sz w:val="24"/>
          <w:szCs w:val="24"/>
          <w:lang w:val="en-US"/>
        </w:rPr>
        <w:lastRenderedPageBreak/>
        <w:t>on a strictly determined past period, such as a quarter or year, whereas management accounting reports are flexible and may include different time periods (</w:t>
      </w:r>
      <w:r w:rsidR="00B51C1E">
        <w:rPr>
          <w:rFonts w:ascii="Times New Roman" w:hAnsi="Times New Roman" w:cs="Times New Roman"/>
          <w:sz w:val="24"/>
          <w:szCs w:val="24"/>
          <w:lang w:val="en-US"/>
        </w:rPr>
        <w:t>Drury, 2009).</w:t>
      </w:r>
    </w:p>
    <w:p w:rsidR="004F002A" w:rsidRDefault="00B51C1E" w:rsidP="004F002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Last, but not the least, the actual type of information may be quite different depending on whether management or financial accounting reports are considered. Needles et al. (2014) explain that financial reporting has to include objective and verifiable data which are quantitative in nature. Interestingly, management accounting does not determine specific requirements regarding the type of information used in reports. </w:t>
      </w:r>
      <w:r w:rsidR="00816F80">
        <w:rPr>
          <w:rFonts w:ascii="Times New Roman" w:hAnsi="Times New Roman" w:cs="Times New Roman"/>
          <w:sz w:val="24"/>
          <w:szCs w:val="24"/>
          <w:lang w:val="en-US"/>
        </w:rPr>
        <w:t xml:space="preserve">It may be quantitative, which is often the case; however, there are no formal limitations to be followed. As a result, management accounting reports may also include individual opinions, which are subjective in nature, feedback and other sources of in-depth information; thereby, revealing detailed information regarding internal organisational developments. Considering this, management accounting reports are often treated as confidential, whereas financial reports are to be publically available, as it is the case with public limited companies (Needles et al., 2014).  </w:t>
      </w:r>
    </w:p>
    <w:p w:rsidR="005523C9" w:rsidRPr="00DE39DD" w:rsidRDefault="005523C9" w:rsidP="004F002A">
      <w:pPr>
        <w:spacing w:after="240"/>
        <w:jc w:val="both"/>
        <w:rPr>
          <w:rFonts w:ascii="Times New Roman" w:hAnsi="Times New Roman" w:cs="Times New Roman"/>
          <w:b/>
          <w:sz w:val="28"/>
          <w:szCs w:val="28"/>
          <w:lang w:val="en-US"/>
        </w:rPr>
      </w:pPr>
      <w:r w:rsidRPr="005523C9">
        <w:rPr>
          <w:rFonts w:ascii="Times New Roman" w:hAnsi="Times New Roman" w:cs="Times New Roman"/>
          <w:b/>
          <w:sz w:val="28"/>
          <w:szCs w:val="28"/>
          <w:lang w:val="en-US"/>
        </w:rPr>
        <w:t>2 B)</w:t>
      </w:r>
    </w:p>
    <w:p w:rsidR="00E972E8" w:rsidRDefault="00E972E8" w:rsidP="004F002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Management accountants may apply numerous techniques in order to improve the process of decision-making and quality of operations management. Three common techniques are discussed in this section. </w:t>
      </w:r>
    </w:p>
    <w:p w:rsidR="00E972E8" w:rsidRDefault="00E972E8" w:rsidP="004F002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First of all, management accounting provides a good basis for analysing trends and making forecasts for future periods of time (CFI, 2021). Trend analysis and forecasting is of high relevance in the field of management accounting due to its future orientation (Needles et al., 2014). Management accounts apply the technique in order to </w:t>
      </w:r>
      <w:r w:rsidR="005237F5">
        <w:rPr>
          <w:rFonts w:ascii="Times New Roman" w:hAnsi="Times New Roman" w:cs="Times New Roman"/>
          <w:sz w:val="24"/>
          <w:szCs w:val="24"/>
          <w:lang w:val="en-US"/>
        </w:rPr>
        <w:t xml:space="preserve">identify relevant trends and potential seasonal or other patters which may affect important areas of organisational performance, such as variations in product costs, changes in consumer demand, etc. (CFI, 2021). Understanding trends and patterns of development is important for decision makers, as they may be better able to explain potential fluctuations between forecasted value and actual performance (CFI, 2021). As a result, management accountants have an improved ability to forecasts, make budgets and allocate resources in a more efficient manner based on the trend analysis information which contributes to improved organisational performance as a whole. </w:t>
      </w:r>
    </w:p>
    <w:p w:rsidR="005237F5" w:rsidRDefault="002E1B0B" w:rsidP="004F002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The second important technique refers to capital budgeting. In general, capital budgeting is also a future-oriented process because it explores the opportunities for conducting profitable capital expenditures (CFI, 2021). Capital budgeting is important for organisations due to the fact that a substantial part of organisational resources is used for acquiring machines, cars, buildings and other types of assets which determine future capacity and productivity. Therefore, management accountants have to make evidence-based decisions in order to utilise the available capital in the best possible manner and achieve the most optimal long-term results in terms of return (CFI, 2021). Management accounting delivers a wide range of assessment methods to be used in the process of capital budgeting – net present value, internal rate of return, payback period, etc. (CFI, 2021). As a result, management accountants are more objective in their decisions and able to identify the most attractive solutions in the field of capital budgeting with long-term benefits for organisations. </w:t>
      </w:r>
    </w:p>
    <w:p w:rsidR="00DE39DD" w:rsidRDefault="00DE39DD" w:rsidP="004F002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Third, management accounting is also of help in delivering useful technique for inventory management and product costing. Especially in the context of manufacturing organisations, decision-makers tend to apply techniques for demand forecasting and inventory management in order to monitor and control the level of inventory (</w:t>
      </w:r>
      <w:r>
        <w:rPr>
          <w:rFonts w:ascii="Times New Roman" w:hAnsi="Times New Roman" w:cs="Times New Roman"/>
          <w:sz w:val="24"/>
          <w:szCs w:val="24"/>
        </w:rPr>
        <w:t xml:space="preserve">Slack et al., 2013). This is essential for minimising the risk of having product shortages or excess inventory which may lead to extra costs of holding unsold products (Slack et al., 2013). In addition, management accountants optimise inventory management and demand through the application of costing systems </w:t>
      </w:r>
      <w:r>
        <w:rPr>
          <w:rFonts w:ascii="Times New Roman" w:hAnsi="Times New Roman" w:cs="Times New Roman"/>
          <w:sz w:val="24"/>
          <w:szCs w:val="24"/>
          <w:lang w:val="en-US"/>
        </w:rPr>
        <w:t>(</w:t>
      </w:r>
      <w:r w:rsidRPr="00732C38">
        <w:rPr>
          <w:rFonts w:ascii="Times New Roman" w:hAnsi="Times New Roman" w:cs="Times New Roman"/>
          <w:sz w:val="24"/>
          <w:szCs w:val="24"/>
        </w:rPr>
        <w:t>Vasquez and Naranjo-Gil, 2020</w:t>
      </w:r>
      <w:r>
        <w:rPr>
          <w:rFonts w:ascii="Times New Roman" w:hAnsi="Times New Roman" w:cs="Times New Roman"/>
          <w:sz w:val="24"/>
          <w:szCs w:val="24"/>
        </w:rPr>
        <w:t xml:space="preserve">). The purpose of the latter is to collect and analyse information regarding all relevant cost and profit centres, as well as dependences </w:t>
      </w:r>
      <w:r>
        <w:rPr>
          <w:rFonts w:ascii="Times New Roman" w:hAnsi="Times New Roman" w:cs="Times New Roman"/>
          <w:sz w:val="24"/>
          <w:szCs w:val="24"/>
          <w:lang w:val="en-US"/>
        </w:rPr>
        <w:t>(</w:t>
      </w:r>
      <w:r w:rsidRPr="00732C38">
        <w:rPr>
          <w:rFonts w:ascii="Times New Roman" w:hAnsi="Times New Roman" w:cs="Times New Roman"/>
          <w:sz w:val="24"/>
          <w:szCs w:val="24"/>
        </w:rPr>
        <w:t>Vasquez and Naranjo-Gil, 2020</w:t>
      </w:r>
      <w:r>
        <w:rPr>
          <w:rFonts w:ascii="Times New Roman" w:hAnsi="Times New Roman" w:cs="Times New Roman"/>
          <w:sz w:val="24"/>
          <w:szCs w:val="24"/>
        </w:rPr>
        <w:t xml:space="preserve">). The information is then applied for the purpose of allocating costs and determining resources needed and quantities produced. The use of inventory-related and costing information facilitates the accurate management of inventory and production decisions, particularly in the context of large manufacturing companies, which produce numerous types of products with significant quantity where even insignificant variations may lead to large costs. </w:t>
      </w:r>
    </w:p>
    <w:p w:rsidR="00DE39DD" w:rsidRDefault="00961014" w:rsidP="004F002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These techniques largely contribute to achieving a more informed decision-making process in different performance domain which in turn contributes to improved organisational performance – a key goal of management accounting. </w:t>
      </w:r>
    </w:p>
    <w:p w:rsidR="00B52D78" w:rsidRDefault="00B52D78" w:rsidP="004F002A">
      <w:pPr>
        <w:spacing w:after="240"/>
        <w:jc w:val="both"/>
        <w:rPr>
          <w:rFonts w:ascii="Times New Roman" w:hAnsi="Times New Roman" w:cs="Times New Roman"/>
          <w:sz w:val="24"/>
          <w:szCs w:val="24"/>
          <w:lang w:val="en-US"/>
        </w:rPr>
      </w:pPr>
    </w:p>
    <w:p w:rsidR="005523C9" w:rsidRPr="005523C9" w:rsidRDefault="005523C9" w:rsidP="004F002A">
      <w:pPr>
        <w:spacing w:after="240"/>
        <w:jc w:val="both"/>
        <w:rPr>
          <w:rFonts w:ascii="Times New Roman" w:hAnsi="Times New Roman" w:cs="Times New Roman"/>
          <w:b/>
          <w:sz w:val="28"/>
          <w:szCs w:val="28"/>
          <w:lang w:val="en-US"/>
        </w:rPr>
      </w:pPr>
      <w:r w:rsidRPr="005523C9">
        <w:rPr>
          <w:rFonts w:ascii="Times New Roman" w:hAnsi="Times New Roman" w:cs="Times New Roman"/>
          <w:b/>
          <w:sz w:val="28"/>
          <w:szCs w:val="28"/>
          <w:lang w:val="en-US"/>
        </w:rPr>
        <w:lastRenderedPageBreak/>
        <w:t>References</w:t>
      </w:r>
    </w:p>
    <w:p w:rsidR="00B52D78" w:rsidRDefault="00B52D78" w:rsidP="004F002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Corporate Finance Institute (CFI) (2021) </w:t>
      </w:r>
      <w:proofErr w:type="gramStart"/>
      <w:r w:rsidRPr="005523C9">
        <w:rPr>
          <w:rFonts w:ascii="Times New Roman" w:hAnsi="Times New Roman" w:cs="Times New Roman"/>
          <w:i/>
          <w:sz w:val="24"/>
          <w:szCs w:val="24"/>
          <w:lang w:val="en-US"/>
        </w:rPr>
        <w:t>What</w:t>
      </w:r>
      <w:proofErr w:type="gramEnd"/>
      <w:r w:rsidRPr="005523C9">
        <w:rPr>
          <w:rFonts w:ascii="Times New Roman" w:hAnsi="Times New Roman" w:cs="Times New Roman"/>
          <w:i/>
          <w:sz w:val="24"/>
          <w:szCs w:val="24"/>
          <w:lang w:val="en-US"/>
        </w:rPr>
        <w:t xml:space="preserve"> is Managerial Accounting?</w:t>
      </w:r>
      <w:r>
        <w:rPr>
          <w:rFonts w:ascii="Times New Roman" w:hAnsi="Times New Roman" w:cs="Times New Roman"/>
          <w:sz w:val="24"/>
          <w:szCs w:val="24"/>
          <w:lang w:val="en-US"/>
        </w:rPr>
        <w:t xml:space="preserve"> [</w:t>
      </w:r>
      <w:proofErr w:type="gramStart"/>
      <w:r>
        <w:rPr>
          <w:rFonts w:ascii="Times New Roman" w:hAnsi="Times New Roman" w:cs="Times New Roman"/>
          <w:sz w:val="24"/>
          <w:szCs w:val="24"/>
          <w:lang w:val="en-US"/>
        </w:rPr>
        <w:t>online</w:t>
      </w:r>
      <w:proofErr w:type="gramEnd"/>
      <w:r>
        <w:rPr>
          <w:rFonts w:ascii="Times New Roman" w:hAnsi="Times New Roman" w:cs="Times New Roman"/>
          <w:sz w:val="24"/>
          <w:szCs w:val="24"/>
          <w:lang w:val="en-US"/>
        </w:rPr>
        <w:t xml:space="preserve">] Available: </w:t>
      </w:r>
      <w:hyperlink r:id="rId8" w:history="1">
        <w:r w:rsidRPr="00855A92">
          <w:rPr>
            <w:rStyle w:val="Hyperlink"/>
            <w:rFonts w:ascii="Times New Roman" w:hAnsi="Times New Roman" w:cs="Times New Roman"/>
            <w:sz w:val="24"/>
            <w:szCs w:val="24"/>
            <w:lang w:val="en-US"/>
          </w:rPr>
          <w:t>https://corporatefinanceinstitute.com/resources/knowledge/accounting/managerial-accounting/</w:t>
        </w:r>
      </w:hyperlink>
      <w:r>
        <w:rPr>
          <w:rFonts w:ascii="Times New Roman" w:hAnsi="Times New Roman" w:cs="Times New Roman"/>
          <w:sz w:val="24"/>
          <w:szCs w:val="24"/>
          <w:lang w:val="en-US"/>
        </w:rPr>
        <w:t xml:space="preserve"> [Accessed: 27 August 2021]</w:t>
      </w:r>
    </w:p>
    <w:p w:rsidR="00B52D78" w:rsidRPr="00732C38" w:rsidRDefault="00B52D78" w:rsidP="005523C9">
      <w:pPr>
        <w:spacing w:after="240"/>
        <w:rPr>
          <w:rFonts w:ascii="Times New Roman" w:hAnsi="Times New Roman" w:cs="Times New Roman"/>
          <w:bCs/>
          <w:sz w:val="24"/>
          <w:szCs w:val="24"/>
        </w:rPr>
      </w:pPr>
      <w:r w:rsidRPr="00732C38">
        <w:rPr>
          <w:rFonts w:ascii="Times New Roman" w:hAnsi="Times New Roman" w:cs="Times New Roman"/>
          <w:bCs/>
          <w:sz w:val="24"/>
          <w:szCs w:val="24"/>
        </w:rPr>
        <w:t xml:space="preserve">Drury, C. (2009) </w:t>
      </w:r>
      <w:r w:rsidRPr="00732C38">
        <w:rPr>
          <w:rFonts w:ascii="Times New Roman" w:hAnsi="Times New Roman" w:cs="Times New Roman"/>
          <w:bCs/>
          <w:i/>
          <w:sz w:val="24"/>
          <w:szCs w:val="24"/>
        </w:rPr>
        <w:t>Management Accounting for Business</w:t>
      </w:r>
      <w:r w:rsidRPr="00732C38">
        <w:rPr>
          <w:rFonts w:ascii="Times New Roman" w:hAnsi="Times New Roman" w:cs="Times New Roman"/>
          <w:bCs/>
          <w:sz w:val="24"/>
          <w:szCs w:val="24"/>
        </w:rPr>
        <w:t>. London: Cengage Learning</w:t>
      </w:r>
    </w:p>
    <w:p w:rsidR="00B52D78" w:rsidRPr="00732C38" w:rsidRDefault="00B52D78" w:rsidP="005523C9">
      <w:pPr>
        <w:spacing w:after="240"/>
        <w:rPr>
          <w:rFonts w:ascii="Times New Roman" w:hAnsi="Times New Roman" w:cs="Times New Roman"/>
          <w:sz w:val="24"/>
          <w:szCs w:val="24"/>
        </w:rPr>
      </w:pPr>
      <w:r w:rsidRPr="00732C38">
        <w:rPr>
          <w:rFonts w:ascii="Times New Roman" w:hAnsi="Times New Roman" w:cs="Times New Roman"/>
          <w:sz w:val="24"/>
          <w:szCs w:val="24"/>
        </w:rPr>
        <w:t xml:space="preserve">Needles, B., Powers, M. and Crossan, S. (2014) </w:t>
      </w:r>
      <w:r w:rsidRPr="00732C38">
        <w:rPr>
          <w:rFonts w:ascii="Times New Roman" w:hAnsi="Times New Roman" w:cs="Times New Roman"/>
          <w:i/>
          <w:iCs/>
          <w:sz w:val="24"/>
          <w:szCs w:val="24"/>
        </w:rPr>
        <w:t>Financial and Management Accounting</w:t>
      </w:r>
      <w:r w:rsidRPr="00732C38">
        <w:rPr>
          <w:rFonts w:ascii="Times New Roman" w:hAnsi="Times New Roman" w:cs="Times New Roman"/>
          <w:sz w:val="24"/>
          <w:szCs w:val="24"/>
        </w:rPr>
        <w:t>. 10</w:t>
      </w:r>
      <w:r w:rsidRPr="00732C38">
        <w:rPr>
          <w:rFonts w:ascii="Times New Roman" w:hAnsi="Times New Roman" w:cs="Times New Roman"/>
          <w:sz w:val="24"/>
          <w:szCs w:val="24"/>
          <w:vertAlign w:val="superscript"/>
        </w:rPr>
        <w:t>th</w:t>
      </w:r>
      <w:r w:rsidRPr="00732C38">
        <w:rPr>
          <w:rFonts w:ascii="Times New Roman" w:hAnsi="Times New Roman" w:cs="Times New Roman"/>
          <w:sz w:val="24"/>
          <w:szCs w:val="24"/>
        </w:rPr>
        <w:t xml:space="preserve"> edition, Cengage Learning </w:t>
      </w:r>
    </w:p>
    <w:p w:rsidR="00B52D78" w:rsidRDefault="00B52D78" w:rsidP="005523C9">
      <w:pPr>
        <w:spacing w:after="240"/>
        <w:rPr>
          <w:rFonts w:cs="Times New Roman"/>
          <w:bCs/>
          <w:sz w:val="24"/>
          <w:szCs w:val="24"/>
          <w:lang w:val="en-US"/>
        </w:rPr>
      </w:pPr>
      <w:r w:rsidRPr="005523C9">
        <w:rPr>
          <w:rFonts w:ascii="Times New Roman" w:hAnsi="Times New Roman" w:cs="Times New Roman"/>
          <w:sz w:val="24"/>
          <w:szCs w:val="24"/>
          <w:lang w:val="en-US"/>
        </w:rPr>
        <w:t xml:space="preserve">Pant, S. (2021) </w:t>
      </w:r>
      <w:r w:rsidRPr="005523C9">
        <w:rPr>
          <w:rFonts w:cs="Times New Roman"/>
          <w:bCs/>
          <w:i/>
          <w:sz w:val="24"/>
          <w:szCs w:val="24"/>
          <w:lang w:val="en-US"/>
        </w:rPr>
        <w:t>Break-Even Point: Meaning, Assumptions, Uses and Limitations</w:t>
      </w:r>
      <w:r w:rsidRPr="005523C9">
        <w:rPr>
          <w:rFonts w:cs="Times New Roman"/>
          <w:bCs/>
          <w:sz w:val="24"/>
          <w:szCs w:val="24"/>
          <w:lang w:val="en-US"/>
        </w:rPr>
        <w:t xml:space="preserve">, [online] Available: </w:t>
      </w:r>
      <w:hyperlink r:id="rId9" w:history="1">
        <w:r w:rsidRPr="00855A92">
          <w:rPr>
            <w:rStyle w:val="Hyperlink"/>
            <w:rFonts w:cs="Times New Roman"/>
            <w:bCs/>
            <w:sz w:val="24"/>
            <w:szCs w:val="24"/>
            <w:lang w:val="en-US"/>
          </w:rPr>
          <w:t>https://www.yourarticlelibrary.com/accounting/break-even-point/break-even-point-meaning-assumptions-uses-and-limitations/65309</w:t>
        </w:r>
      </w:hyperlink>
      <w:r>
        <w:rPr>
          <w:rFonts w:cs="Times New Roman"/>
          <w:bCs/>
          <w:sz w:val="24"/>
          <w:szCs w:val="24"/>
          <w:lang w:val="en-US"/>
        </w:rPr>
        <w:t xml:space="preserve"> [Accessed: 27 August 2021]</w:t>
      </w:r>
    </w:p>
    <w:p w:rsidR="00B52D78" w:rsidRPr="00732C38" w:rsidRDefault="00B52D78" w:rsidP="00D06DF8">
      <w:pPr>
        <w:spacing w:after="240"/>
        <w:jc w:val="both"/>
        <w:rPr>
          <w:rFonts w:ascii="Times New Roman" w:hAnsi="Times New Roman" w:cs="Times New Roman"/>
          <w:bCs/>
          <w:sz w:val="24"/>
          <w:szCs w:val="24"/>
        </w:rPr>
      </w:pPr>
      <w:r w:rsidRPr="00732C38">
        <w:rPr>
          <w:rFonts w:ascii="Times New Roman" w:hAnsi="Times New Roman" w:cs="Times New Roman"/>
          <w:bCs/>
          <w:sz w:val="24"/>
          <w:szCs w:val="24"/>
        </w:rPr>
        <w:t xml:space="preserve">Seal, W., Garrison, R. and Noreen, E. (2011) </w:t>
      </w:r>
      <w:r w:rsidRPr="00732C38">
        <w:rPr>
          <w:rFonts w:ascii="Times New Roman" w:hAnsi="Times New Roman" w:cs="Times New Roman"/>
          <w:bCs/>
          <w:i/>
          <w:sz w:val="24"/>
          <w:szCs w:val="24"/>
        </w:rPr>
        <w:t>Management Accounting</w:t>
      </w:r>
      <w:r w:rsidRPr="00732C38">
        <w:rPr>
          <w:rFonts w:ascii="Times New Roman" w:hAnsi="Times New Roman" w:cs="Times New Roman"/>
          <w:bCs/>
          <w:sz w:val="24"/>
          <w:szCs w:val="24"/>
        </w:rPr>
        <w:t>. 4</w:t>
      </w:r>
      <w:r w:rsidRPr="00732C38">
        <w:rPr>
          <w:rFonts w:ascii="Times New Roman" w:hAnsi="Times New Roman" w:cs="Times New Roman"/>
          <w:bCs/>
          <w:sz w:val="24"/>
          <w:szCs w:val="24"/>
          <w:vertAlign w:val="superscript"/>
        </w:rPr>
        <w:t>th</w:t>
      </w:r>
      <w:r w:rsidRPr="00732C38">
        <w:rPr>
          <w:rFonts w:ascii="Times New Roman" w:hAnsi="Times New Roman" w:cs="Times New Roman"/>
          <w:bCs/>
          <w:sz w:val="24"/>
          <w:szCs w:val="24"/>
        </w:rPr>
        <w:t xml:space="preserve"> edition, McGraw-Hill Higher Education</w:t>
      </w:r>
    </w:p>
    <w:p w:rsidR="00B52D78" w:rsidRPr="005523C9" w:rsidRDefault="00B52D78" w:rsidP="005523C9">
      <w:pPr>
        <w:spacing w:after="240"/>
        <w:rPr>
          <w:rFonts w:cs="Times New Roman"/>
          <w:bCs/>
          <w:sz w:val="24"/>
          <w:szCs w:val="24"/>
          <w:lang w:val="en-US"/>
        </w:rPr>
      </w:pPr>
      <w:r>
        <w:rPr>
          <w:rFonts w:cs="Times New Roman"/>
          <w:bCs/>
          <w:sz w:val="24"/>
          <w:szCs w:val="24"/>
        </w:rPr>
        <w:t>Slack, N., Brandon-Jones, A.</w:t>
      </w:r>
      <w:r w:rsidRPr="00DE39DD">
        <w:rPr>
          <w:rFonts w:cs="Times New Roman"/>
          <w:bCs/>
          <w:sz w:val="24"/>
          <w:szCs w:val="24"/>
        </w:rPr>
        <w:t xml:space="preserve"> </w:t>
      </w:r>
      <w:r>
        <w:rPr>
          <w:rFonts w:cs="Times New Roman"/>
          <w:bCs/>
          <w:sz w:val="24"/>
          <w:szCs w:val="24"/>
        </w:rPr>
        <w:t xml:space="preserve">and </w:t>
      </w:r>
      <w:r w:rsidRPr="00DE39DD">
        <w:rPr>
          <w:rFonts w:cs="Times New Roman"/>
          <w:bCs/>
          <w:sz w:val="24"/>
          <w:szCs w:val="24"/>
        </w:rPr>
        <w:t>Johnson, R. (2013)</w:t>
      </w:r>
      <w:r>
        <w:rPr>
          <w:rFonts w:cs="Times New Roman"/>
          <w:bCs/>
          <w:sz w:val="24"/>
          <w:szCs w:val="24"/>
        </w:rPr>
        <w:t xml:space="preserve"> </w:t>
      </w:r>
      <w:r w:rsidRPr="00DE39DD">
        <w:rPr>
          <w:rFonts w:cs="Times New Roman"/>
          <w:bCs/>
          <w:i/>
          <w:iCs/>
          <w:sz w:val="24"/>
          <w:szCs w:val="24"/>
        </w:rPr>
        <w:t>Operations Management</w:t>
      </w:r>
      <w:r>
        <w:rPr>
          <w:rFonts w:cs="Times New Roman"/>
          <w:bCs/>
          <w:sz w:val="24"/>
          <w:szCs w:val="24"/>
        </w:rPr>
        <w:t>. 7</w:t>
      </w:r>
      <w:r w:rsidRPr="00DE39DD">
        <w:rPr>
          <w:rFonts w:cs="Times New Roman"/>
          <w:bCs/>
          <w:sz w:val="24"/>
          <w:szCs w:val="24"/>
          <w:vertAlign w:val="superscript"/>
        </w:rPr>
        <w:t>th</w:t>
      </w:r>
      <w:r>
        <w:rPr>
          <w:rFonts w:cs="Times New Roman"/>
          <w:bCs/>
          <w:sz w:val="24"/>
          <w:szCs w:val="24"/>
        </w:rPr>
        <w:t xml:space="preserve"> edition, </w:t>
      </w:r>
      <w:r w:rsidRPr="00DE39DD">
        <w:rPr>
          <w:rFonts w:cs="Times New Roman"/>
          <w:bCs/>
          <w:sz w:val="24"/>
          <w:szCs w:val="24"/>
        </w:rPr>
        <w:t>Pearson Prentice Hall</w:t>
      </w:r>
    </w:p>
    <w:p w:rsidR="00B52D78" w:rsidRPr="00732C38" w:rsidRDefault="00B52D78" w:rsidP="005523C9">
      <w:pPr>
        <w:spacing w:after="240"/>
        <w:rPr>
          <w:rFonts w:ascii="Times New Roman" w:hAnsi="Times New Roman" w:cs="Times New Roman"/>
          <w:sz w:val="24"/>
          <w:szCs w:val="24"/>
        </w:rPr>
      </w:pPr>
      <w:r w:rsidRPr="00732C38">
        <w:rPr>
          <w:rFonts w:ascii="Times New Roman" w:hAnsi="Times New Roman" w:cs="Times New Roman"/>
          <w:sz w:val="24"/>
          <w:szCs w:val="24"/>
        </w:rPr>
        <w:t xml:space="preserve">Vasquez, A. and Naranjo-Gil, D. (2020) Management Accounting Systems, Top Management Teams, and Sustainable Knowledge Acquisition: Effects on Performance, </w:t>
      </w:r>
      <w:r w:rsidRPr="00732C38">
        <w:rPr>
          <w:rFonts w:ascii="Times New Roman" w:hAnsi="Times New Roman" w:cs="Times New Roman"/>
          <w:i/>
          <w:iCs/>
          <w:sz w:val="24"/>
          <w:szCs w:val="24"/>
        </w:rPr>
        <w:t>Sustainability</w:t>
      </w:r>
      <w:r w:rsidRPr="00732C38">
        <w:rPr>
          <w:rFonts w:ascii="Times New Roman" w:hAnsi="Times New Roman" w:cs="Times New Roman"/>
          <w:sz w:val="24"/>
          <w:szCs w:val="24"/>
        </w:rPr>
        <w:t>, Vol. 12(1), pp. 2132-2146.</w:t>
      </w:r>
    </w:p>
    <w:p w:rsidR="005523C9" w:rsidRPr="005523C9" w:rsidRDefault="005523C9" w:rsidP="004F002A">
      <w:pPr>
        <w:spacing w:after="240"/>
        <w:jc w:val="both"/>
        <w:rPr>
          <w:rFonts w:ascii="Times New Roman" w:hAnsi="Times New Roman" w:cs="Times New Roman"/>
          <w:sz w:val="24"/>
          <w:szCs w:val="24"/>
          <w:lang w:val="en-US"/>
        </w:rPr>
      </w:pPr>
    </w:p>
    <w:sectPr w:rsidR="005523C9" w:rsidRPr="005523C9" w:rsidSect="001472F4">
      <w:footerReference w:type="default" r:id="rId10"/>
      <w:pgSz w:w="12240" w:h="15840"/>
      <w:pgMar w:top="1411" w:right="1411" w:bottom="1411" w:left="1411"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C0365" w:rsidRDefault="001C0365" w:rsidP="004F002A">
      <w:pPr>
        <w:spacing w:line="240" w:lineRule="auto"/>
      </w:pPr>
      <w:r>
        <w:separator/>
      </w:r>
    </w:p>
  </w:endnote>
  <w:endnote w:type="continuationSeparator" w:id="0">
    <w:p w:rsidR="001C0365" w:rsidRDefault="001C0365" w:rsidP="004F002A">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CC"/>
    <w:family w:val="roman"/>
    <w:pitch w:val="variable"/>
    <w:sig w:usb0="E0002EFF" w:usb1="C000785B" w:usb2="00000009" w:usb3="00000000" w:csb0="000001FF" w:csb1="00000000"/>
  </w:font>
  <w:font w:name="Lohit Devanagari">
    <w:altName w:val="Cambria"/>
    <w:panose1 w:val="00000000000000000000"/>
    <w:charset w:val="00"/>
    <w:family w:val="roman"/>
    <w:notTrueType/>
    <w:pitch w:val="default"/>
    <w:sig w:usb0="00000000" w:usb1="00000000" w:usb2="00000000" w:usb3="00000000" w:csb0="00000000" w:csb1="00000000"/>
  </w:font>
  <w:font w:name="Tahoma">
    <w:panose1 w:val="020B0604030504040204"/>
    <w:charset w:val="CC"/>
    <w:family w:val="swiss"/>
    <w:pitch w:val="variable"/>
    <w:sig w:usb0="E1002EFF" w:usb1="C000605B" w:usb2="00000029" w:usb3="00000000" w:csb0="000101FF" w:csb1="00000000"/>
  </w:font>
  <w:font w:name="Arial">
    <w:altName w:val="Arial"/>
    <w:panose1 w:val="020B0604020202020204"/>
    <w:charset w:val="CC"/>
    <w:family w:val="swiss"/>
    <w:pitch w:val="variable"/>
    <w:sig w:usb0="E0002EFF" w:usb1="C000785B" w:usb2="00000009" w:usb3="00000000" w:csb0="000001FF" w:csb1="00000000"/>
  </w:font>
  <w:font w:name="Liberation Sans">
    <w:altName w:val="Arial"/>
    <w:charset w:val="01"/>
    <w:family w:val="roman"/>
    <w:pitch w:val="variable"/>
    <w:sig w:usb0="00000000" w:usb1="00000000" w:usb2="00000000" w:usb3="00000000" w:csb0="00000000" w:csb1="00000000"/>
  </w:font>
  <w:font w:name="Noto Sans CJK SC">
    <w:panose1 w:val="00000000000000000000"/>
    <w:charset w:val="00"/>
    <w:family w:val="roman"/>
    <w:notTrueType/>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39607063"/>
      <w:docPartObj>
        <w:docPartGallery w:val="Page Numbers (Bottom of Page)"/>
        <w:docPartUnique/>
      </w:docPartObj>
    </w:sdtPr>
    <w:sdtContent>
      <w:p w:rsidR="00DE39DD" w:rsidRDefault="00202DBF">
        <w:pPr>
          <w:pStyle w:val="Footer"/>
          <w:jc w:val="right"/>
        </w:pPr>
        <w:fldSimple w:instr=" PAGE   \* MERGEFORMAT ">
          <w:r w:rsidR="00907D3C">
            <w:rPr>
              <w:noProof/>
            </w:rPr>
            <w:t>1</w:t>
          </w:r>
        </w:fldSimple>
      </w:p>
    </w:sdtContent>
  </w:sdt>
  <w:p w:rsidR="00DE39DD" w:rsidRDefault="00DE39D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C0365" w:rsidRDefault="001C0365" w:rsidP="004F002A">
      <w:pPr>
        <w:spacing w:line="240" w:lineRule="auto"/>
      </w:pPr>
      <w:r>
        <w:separator/>
      </w:r>
    </w:p>
  </w:footnote>
  <w:footnote w:type="continuationSeparator" w:id="0">
    <w:p w:rsidR="001C0365" w:rsidRDefault="001C0365" w:rsidP="004F002A">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8A812FD"/>
    <w:multiLevelType w:val="hybridMultilevel"/>
    <w:tmpl w:val="DC705E8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D885DA4"/>
    <w:multiLevelType w:val="hybridMultilevel"/>
    <w:tmpl w:val="DC705E8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619445DE"/>
    <w:multiLevelType w:val="hybridMultilevel"/>
    <w:tmpl w:val="DC705E8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rsids>
    <w:rsidRoot w:val="00030755"/>
    <w:rsid w:val="000016B5"/>
    <w:rsid w:val="00030755"/>
    <w:rsid w:val="001472F4"/>
    <w:rsid w:val="0015043E"/>
    <w:rsid w:val="001B2F1E"/>
    <w:rsid w:val="001C0365"/>
    <w:rsid w:val="00202DBF"/>
    <w:rsid w:val="0025630F"/>
    <w:rsid w:val="002C4F74"/>
    <w:rsid w:val="002E1B0B"/>
    <w:rsid w:val="0037790D"/>
    <w:rsid w:val="003C15D3"/>
    <w:rsid w:val="003E4E67"/>
    <w:rsid w:val="003F7ED0"/>
    <w:rsid w:val="0040554A"/>
    <w:rsid w:val="004274B6"/>
    <w:rsid w:val="004A5687"/>
    <w:rsid w:val="004D4E77"/>
    <w:rsid w:val="004F002A"/>
    <w:rsid w:val="005237F5"/>
    <w:rsid w:val="005523C9"/>
    <w:rsid w:val="005544D7"/>
    <w:rsid w:val="007723C7"/>
    <w:rsid w:val="00776253"/>
    <w:rsid w:val="00816F80"/>
    <w:rsid w:val="00894758"/>
    <w:rsid w:val="008C3EE1"/>
    <w:rsid w:val="00907D3C"/>
    <w:rsid w:val="00961014"/>
    <w:rsid w:val="009C0014"/>
    <w:rsid w:val="00B51C1E"/>
    <w:rsid w:val="00B52D78"/>
    <w:rsid w:val="00B72D10"/>
    <w:rsid w:val="00BE688C"/>
    <w:rsid w:val="00CA2959"/>
    <w:rsid w:val="00CD3DFE"/>
    <w:rsid w:val="00D06DF8"/>
    <w:rsid w:val="00DC0745"/>
    <w:rsid w:val="00DC20DD"/>
    <w:rsid w:val="00DD465F"/>
    <w:rsid w:val="00DE39DD"/>
    <w:rsid w:val="00DF1920"/>
    <w:rsid w:val="00E46C16"/>
    <w:rsid w:val="00E972E8"/>
    <w:rsid w:val="00EF2B23"/>
    <w:rsid w:val="00F055D1"/>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uppressAutoHyphens/>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Balloon Text"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C3EE1"/>
    <w:pPr>
      <w:spacing w:line="360" w:lineRule="auto"/>
    </w:pPr>
    <w:rPr>
      <w:lang w:val="en-GB"/>
    </w:rPr>
  </w:style>
  <w:style w:type="paragraph" w:styleId="Heading1">
    <w:name w:val="heading 1"/>
    <w:basedOn w:val="Normal"/>
    <w:next w:val="Normal"/>
    <w:link w:val="Heading1Char"/>
    <w:uiPriority w:val="9"/>
    <w:qFormat/>
    <w:rsid w:val="008C3EE1"/>
    <w:pPr>
      <w:keepNext/>
      <w:keepLines/>
      <w:spacing w:before="480"/>
      <w:jc w:val="both"/>
      <w:outlineLvl w:val="0"/>
    </w:pPr>
    <w:rPr>
      <w:rFonts w:ascii="Times New Roman" w:eastAsiaTheme="majorEastAsia" w:hAnsi="Times New Roman" w:cstheme="majorBidi"/>
      <w:b/>
      <w:bCs/>
      <w:sz w:val="28"/>
      <w:szCs w:val="28"/>
      <w:lang w:val="bg-BG"/>
    </w:rPr>
  </w:style>
  <w:style w:type="paragraph" w:styleId="Heading2">
    <w:name w:val="heading 2"/>
    <w:basedOn w:val="Normal"/>
    <w:next w:val="Normal"/>
    <w:link w:val="Heading2Char"/>
    <w:uiPriority w:val="9"/>
    <w:unhideWhenUsed/>
    <w:qFormat/>
    <w:rsid w:val="008C3EE1"/>
    <w:pPr>
      <w:keepNext/>
      <w:keepLines/>
      <w:spacing w:before="320" w:after="120"/>
      <w:jc w:val="both"/>
      <w:outlineLvl w:val="1"/>
    </w:pPr>
    <w:rPr>
      <w:rFonts w:ascii="Times New Roman" w:eastAsiaTheme="majorEastAsia" w:hAnsi="Times New Roman" w:cstheme="majorBidi"/>
      <w:b/>
      <w:bCs/>
      <w:color w:val="000000" w:themeColor="text1"/>
      <w:sz w:val="24"/>
      <w:szCs w:val="26"/>
      <w:lang w:val="bg-BG"/>
    </w:rPr>
  </w:style>
  <w:style w:type="paragraph" w:styleId="Heading4">
    <w:name w:val="heading 4"/>
    <w:basedOn w:val="Normal"/>
    <w:link w:val="Heading4Char"/>
    <w:uiPriority w:val="9"/>
    <w:qFormat/>
    <w:rsid w:val="005523C9"/>
    <w:pPr>
      <w:suppressAutoHyphens w:val="0"/>
      <w:spacing w:before="100" w:beforeAutospacing="1" w:after="100" w:afterAutospacing="1" w:line="240" w:lineRule="auto"/>
      <w:outlineLvl w:val="3"/>
    </w:pPr>
    <w:rPr>
      <w:rFonts w:ascii="Times New Roman" w:eastAsia="Times New Roman" w:hAnsi="Times New Roman" w:cs="Times New Roman"/>
      <w:b/>
      <w:b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8C3EE1"/>
    <w:rPr>
      <w:rFonts w:ascii="Times New Roman" w:eastAsiaTheme="majorEastAsia" w:hAnsi="Times New Roman" w:cstheme="majorBidi"/>
      <w:b/>
      <w:bCs/>
      <w:sz w:val="28"/>
      <w:szCs w:val="28"/>
      <w:lang w:val="bg-BG"/>
    </w:rPr>
  </w:style>
  <w:style w:type="character" w:customStyle="1" w:styleId="Heading2Char">
    <w:name w:val="Heading 2 Char"/>
    <w:basedOn w:val="DefaultParagraphFont"/>
    <w:link w:val="Heading2"/>
    <w:uiPriority w:val="9"/>
    <w:qFormat/>
    <w:rsid w:val="008C3EE1"/>
    <w:rPr>
      <w:rFonts w:ascii="Times New Roman" w:eastAsiaTheme="majorEastAsia" w:hAnsi="Times New Roman" w:cstheme="majorBidi"/>
      <w:b/>
      <w:bCs/>
      <w:color w:val="000000" w:themeColor="text1"/>
      <w:sz w:val="24"/>
      <w:szCs w:val="26"/>
      <w:lang w:val="bg-BG"/>
    </w:rPr>
  </w:style>
  <w:style w:type="paragraph" w:styleId="Caption">
    <w:name w:val="caption"/>
    <w:basedOn w:val="Normal"/>
    <w:uiPriority w:val="35"/>
    <w:qFormat/>
    <w:rsid w:val="008C3EE1"/>
    <w:pPr>
      <w:suppressLineNumbers/>
      <w:spacing w:before="120" w:after="120"/>
    </w:pPr>
    <w:rPr>
      <w:rFonts w:cs="Lohit Devanagari"/>
      <w:i/>
      <w:iCs/>
      <w:sz w:val="24"/>
      <w:szCs w:val="24"/>
    </w:rPr>
  </w:style>
  <w:style w:type="paragraph" w:styleId="BalloonText">
    <w:name w:val="Balloon Text"/>
    <w:basedOn w:val="Normal"/>
    <w:link w:val="BalloonTextChar"/>
    <w:uiPriority w:val="99"/>
    <w:semiHidden/>
    <w:unhideWhenUsed/>
    <w:qFormat/>
    <w:rsid w:val="008C3EE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qFormat/>
    <w:rsid w:val="008C3EE1"/>
    <w:rPr>
      <w:rFonts w:ascii="Tahoma" w:hAnsi="Tahoma" w:cs="Tahoma"/>
      <w:sz w:val="16"/>
      <w:szCs w:val="16"/>
      <w:lang w:val="en-GB"/>
    </w:rPr>
  </w:style>
  <w:style w:type="paragraph" w:styleId="ListParagraph">
    <w:name w:val="List Paragraph"/>
    <w:basedOn w:val="Normal"/>
    <w:uiPriority w:val="34"/>
    <w:qFormat/>
    <w:rsid w:val="008C3EE1"/>
    <w:pPr>
      <w:spacing w:after="160" w:line="259" w:lineRule="auto"/>
      <w:ind w:left="720"/>
      <w:contextualSpacing/>
    </w:pPr>
  </w:style>
  <w:style w:type="paragraph" w:styleId="TOCHeading">
    <w:name w:val="TOC Heading"/>
    <w:basedOn w:val="Heading1"/>
    <w:next w:val="Normal"/>
    <w:uiPriority w:val="39"/>
    <w:semiHidden/>
    <w:unhideWhenUsed/>
    <w:qFormat/>
    <w:rsid w:val="008C3EE1"/>
    <w:pPr>
      <w:suppressAutoHyphens w:val="0"/>
      <w:spacing w:line="276" w:lineRule="auto"/>
      <w:jc w:val="left"/>
      <w:outlineLvl w:val="9"/>
    </w:pPr>
    <w:rPr>
      <w:rFonts w:asciiTheme="majorHAnsi" w:hAnsiTheme="majorHAnsi"/>
      <w:color w:val="365F91" w:themeColor="accent1" w:themeShade="BF"/>
      <w:lang w:val="en-US"/>
    </w:rPr>
  </w:style>
  <w:style w:type="paragraph" w:customStyle="1" w:styleId="Heading">
    <w:name w:val="Heading"/>
    <w:basedOn w:val="Normal"/>
    <w:next w:val="BodyText"/>
    <w:qFormat/>
    <w:rsid w:val="008C3EE1"/>
    <w:pPr>
      <w:keepNext/>
      <w:spacing w:before="240" w:after="120"/>
    </w:pPr>
    <w:rPr>
      <w:rFonts w:ascii="Liberation Sans" w:eastAsia="Noto Sans CJK SC" w:hAnsi="Liberation Sans" w:cs="Lohit Devanagari"/>
      <w:sz w:val="28"/>
      <w:szCs w:val="28"/>
    </w:rPr>
  </w:style>
  <w:style w:type="paragraph" w:styleId="BodyText">
    <w:name w:val="Body Text"/>
    <w:basedOn w:val="Normal"/>
    <w:link w:val="BodyTextChar"/>
    <w:uiPriority w:val="99"/>
    <w:semiHidden/>
    <w:unhideWhenUsed/>
    <w:rsid w:val="008C3EE1"/>
    <w:pPr>
      <w:spacing w:after="120"/>
    </w:pPr>
  </w:style>
  <w:style w:type="character" w:customStyle="1" w:styleId="BodyTextChar">
    <w:name w:val="Body Text Char"/>
    <w:basedOn w:val="DefaultParagraphFont"/>
    <w:link w:val="BodyText"/>
    <w:uiPriority w:val="99"/>
    <w:semiHidden/>
    <w:rsid w:val="008C3EE1"/>
    <w:rPr>
      <w:lang w:val="en-GB"/>
    </w:rPr>
  </w:style>
  <w:style w:type="paragraph" w:customStyle="1" w:styleId="Index">
    <w:name w:val="Index"/>
    <w:basedOn w:val="Normal"/>
    <w:qFormat/>
    <w:rsid w:val="008C3EE1"/>
    <w:pPr>
      <w:suppressLineNumbers/>
    </w:pPr>
    <w:rPr>
      <w:rFonts w:cs="Lohit Devanagari"/>
    </w:rPr>
  </w:style>
  <w:style w:type="paragraph" w:styleId="Header">
    <w:name w:val="header"/>
    <w:basedOn w:val="Normal"/>
    <w:link w:val="HeaderChar"/>
    <w:uiPriority w:val="99"/>
    <w:semiHidden/>
    <w:unhideWhenUsed/>
    <w:rsid w:val="004F002A"/>
    <w:pPr>
      <w:tabs>
        <w:tab w:val="center" w:pos="4703"/>
        <w:tab w:val="right" w:pos="9406"/>
      </w:tabs>
      <w:spacing w:line="240" w:lineRule="auto"/>
    </w:pPr>
  </w:style>
  <w:style w:type="character" w:customStyle="1" w:styleId="HeaderChar">
    <w:name w:val="Header Char"/>
    <w:basedOn w:val="DefaultParagraphFont"/>
    <w:link w:val="Header"/>
    <w:uiPriority w:val="99"/>
    <w:semiHidden/>
    <w:rsid w:val="004F002A"/>
    <w:rPr>
      <w:lang w:val="en-GB"/>
    </w:rPr>
  </w:style>
  <w:style w:type="paragraph" w:styleId="Footer">
    <w:name w:val="footer"/>
    <w:basedOn w:val="Normal"/>
    <w:link w:val="FooterChar"/>
    <w:uiPriority w:val="99"/>
    <w:unhideWhenUsed/>
    <w:rsid w:val="004F002A"/>
    <w:pPr>
      <w:tabs>
        <w:tab w:val="center" w:pos="4703"/>
        <w:tab w:val="right" w:pos="9406"/>
      </w:tabs>
      <w:spacing w:line="240" w:lineRule="auto"/>
    </w:pPr>
  </w:style>
  <w:style w:type="character" w:customStyle="1" w:styleId="FooterChar">
    <w:name w:val="Footer Char"/>
    <w:basedOn w:val="DefaultParagraphFont"/>
    <w:link w:val="Footer"/>
    <w:uiPriority w:val="99"/>
    <w:rsid w:val="004F002A"/>
    <w:rPr>
      <w:lang w:val="en-GB"/>
    </w:rPr>
  </w:style>
  <w:style w:type="character" w:customStyle="1" w:styleId="Heading4Char">
    <w:name w:val="Heading 4 Char"/>
    <w:basedOn w:val="DefaultParagraphFont"/>
    <w:link w:val="Heading4"/>
    <w:uiPriority w:val="9"/>
    <w:rsid w:val="005523C9"/>
    <w:rPr>
      <w:rFonts w:ascii="Times New Roman" w:eastAsia="Times New Roman" w:hAnsi="Times New Roman" w:cs="Times New Roman"/>
      <w:b/>
      <w:bCs/>
      <w:sz w:val="24"/>
      <w:szCs w:val="24"/>
    </w:rPr>
  </w:style>
  <w:style w:type="paragraph" w:styleId="NormalWeb">
    <w:name w:val="Normal (Web)"/>
    <w:basedOn w:val="Normal"/>
    <w:uiPriority w:val="99"/>
    <w:semiHidden/>
    <w:unhideWhenUsed/>
    <w:rsid w:val="005523C9"/>
    <w:pPr>
      <w:suppressAutoHyphens w:val="0"/>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5523C9"/>
    <w:rPr>
      <w:color w:val="0000FF"/>
      <w:u w:val="single"/>
    </w:rPr>
  </w:style>
</w:styles>
</file>

<file path=word/webSettings.xml><?xml version="1.0" encoding="utf-8"?>
<w:webSettings xmlns:r="http://schemas.openxmlformats.org/officeDocument/2006/relationships" xmlns:w="http://schemas.openxmlformats.org/wordprocessingml/2006/main">
  <w:divs>
    <w:div w:id="1042286963">
      <w:bodyDiv w:val="1"/>
      <w:marLeft w:val="0"/>
      <w:marRight w:val="0"/>
      <w:marTop w:val="0"/>
      <w:marBottom w:val="0"/>
      <w:divBdr>
        <w:top w:val="none" w:sz="0" w:space="0" w:color="auto"/>
        <w:left w:val="none" w:sz="0" w:space="0" w:color="auto"/>
        <w:bottom w:val="none" w:sz="0" w:space="0" w:color="auto"/>
        <w:right w:val="none" w:sz="0" w:space="0" w:color="auto"/>
      </w:divBdr>
    </w:div>
    <w:div w:id="1828010654">
      <w:bodyDiv w:val="1"/>
      <w:marLeft w:val="0"/>
      <w:marRight w:val="0"/>
      <w:marTop w:val="0"/>
      <w:marBottom w:val="0"/>
      <w:divBdr>
        <w:top w:val="none" w:sz="0" w:space="0" w:color="auto"/>
        <w:left w:val="none" w:sz="0" w:space="0" w:color="auto"/>
        <w:bottom w:val="none" w:sz="0" w:space="0" w:color="auto"/>
        <w:right w:val="none" w:sz="0" w:space="0" w:color="auto"/>
      </w:divBdr>
    </w:div>
    <w:div w:id="1914587422">
      <w:bodyDiv w:val="1"/>
      <w:marLeft w:val="0"/>
      <w:marRight w:val="0"/>
      <w:marTop w:val="0"/>
      <w:marBottom w:val="0"/>
      <w:divBdr>
        <w:top w:val="none" w:sz="0" w:space="0" w:color="auto"/>
        <w:left w:val="none" w:sz="0" w:space="0" w:color="auto"/>
        <w:bottom w:val="none" w:sz="0" w:space="0" w:color="auto"/>
        <w:right w:val="none" w:sz="0" w:space="0" w:color="auto"/>
      </w:divBdr>
    </w:div>
    <w:div w:id="192606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corporatefinanceinstitute.com/resources/knowledge/accounting/managerial-accounting/"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yourarticlelibrary.com/accounting/break-even-point/break-even-point-meaning-assumptions-uses-and-limitations/653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146</TotalTime>
  <Pages>8</Pages>
  <Words>2184</Words>
  <Characters>12455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14610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19</cp:revision>
  <dcterms:created xsi:type="dcterms:W3CDTF">2021-08-27T08:07:00Z</dcterms:created>
  <dcterms:modified xsi:type="dcterms:W3CDTF">2021-08-27T11:28:00Z</dcterms:modified>
</cp:coreProperties>
</file>