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A1EBF9" w14:textId="77777777" w:rsidR="0036766E" w:rsidRDefault="0036766E" w:rsidP="00104210">
      <w:pPr>
        <w:rPr>
          <w:shd w:val="clear" w:color="auto" w:fill="FFFFFF"/>
        </w:rPr>
      </w:pPr>
    </w:p>
    <w:p w14:paraId="7ADE2BF0" w14:textId="77777777" w:rsidR="0036766E" w:rsidRDefault="0036766E" w:rsidP="0036766E">
      <w:pPr>
        <w:pStyle w:val="Title"/>
        <w:rPr>
          <w:shd w:val="clear" w:color="auto" w:fill="FFFFFF"/>
        </w:rPr>
      </w:pPr>
    </w:p>
    <w:p w14:paraId="6C2D267F" w14:textId="77777777" w:rsidR="00AE3B29" w:rsidRDefault="00AE3B29" w:rsidP="00AE3B29">
      <w:pPr>
        <w:pStyle w:val="Title"/>
        <w:rPr>
          <w:shd w:val="clear" w:color="auto" w:fill="FFFFFF"/>
        </w:rPr>
      </w:pPr>
      <w:r>
        <w:rPr>
          <w:shd w:val="clear" w:color="auto" w:fill="FFFFFF"/>
        </w:rPr>
        <w:t xml:space="preserve">Student Name: Eridan Saliasi </w:t>
      </w:r>
    </w:p>
    <w:p w14:paraId="19457831" w14:textId="3CFBE5DD" w:rsidR="00AE3B29" w:rsidRPr="00AE3B29" w:rsidRDefault="00AE3B29" w:rsidP="00AE3B29">
      <w:pPr>
        <w:pStyle w:val="Title"/>
        <w:rPr>
          <w:shd w:val="clear" w:color="auto" w:fill="FFFFFF"/>
        </w:rPr>
      </w:pPr>
      <w:r>
        <w:rPr>
          <w:shd w:val="clear" w:color="auto" w:fill="FFFFFF"/>
        </w:rPr>
        <w:t>Student Number: 2324158</w:t>
      </w:r>
    </w:p>
    <w:p w14:paraId="2731C962" w14:textId="226161FA" w:rsidR="00B43C5E" w:rsidRPr="00B43C5E" w:rsidRDefault="00831D10" w:rsidP="00B43C5E">
      <w:pPr>
        <w:pStyle w:val="Title"/>
        <w:rPr>
          <w:shd w:val="clear" w:color="auto" w:fill="FFFFFF"/>
        </w:rPr>
      </w:pPr>
      <w:r>
        <w:rPr>
          <w:shd w:val="clear" w:color="auto" w:fill="FFFFFF"/>
        </w:rPr>
        <w:t>Module Code</w:t>
      </w:r>
      <w:r w:rsidR="00B43C5E">
        <w:rPr>
          <w:shd w:val="clear" w:color="auto" w:fill="FFFFFF"/>
        </w:rPr>
        <w:t>: LCLM 6001</w:t>
      </w:r>
    </w:p>
    <w:p w14:paraId="3B8EB94D" w14:textId="3BC6299E" w:rsidR="00AE3B29" w:rsidRDefault="00B43C5E" w:rsidP="0036766E">
      <w:pPr>
        <w:pStyle w:val="Title"/>
        <w:rPr>
          <w:shd w:val="clear" w:color="auto" w:fill="FFFFFF"/>
        </w:rPr>
      </w:pPr>
      <w:r>
        <w:rPr>
          <w:shd w:val="clear" w:color="auto" w:fill="FFFFFF"/>
        </w:rPr>
        <w:t>Module</w:t>
      </w:r>
      <w:r w:rsidR="00AE3B29">
        <w:rPr>
          <w:shd w:val="clear" w:color="auto" w:fill="FFFFFF"/>
        </w:rPr>
        <w:t xml:space="preserve">: </w:t>
      </w:r>
      <w:r w:rsidR="0036766E">
        <w:rPr>
          <w:shd w:val="clear" w:color="auto" w:fill="FFFFFF"/>
        </w:rPr>
        <w:t>Strategic Management for Business</w:t>
      </w:r>
    </w:p>
    <w:p w14:paraId="428252E7" w14:textId="0078F7C6" w:rsidR="005F001C" w:rsidRDefault="00AE3B29" w:rsidP="0036766E">
      <w:pPr>
        <w:pStyle w:val="Title"/>
      </w:pPr>
      <w:r>
        <w:rPr>
          <w:shd w:val="clear" w:color="auto" w:fill="FFFFFF"/>
        </w:rPr>
        <w:t>A</w:t>
      </w:r>
      <w:r w:rsidR="0036766E">
        <w:rPr>
          <w:shd w:val="clear" w:color="auto" w:fill="FFFFFF"/>
        </w:rPr>
        <w:t>ssignment 1</w:t>
      </w:r>
      <w:r w:rsidR="005F001C">
        <w:br w:type="page"/>
      </w:r>
    </w:p>
    <w:p w14:paraId="1CB33FBD" w14:textId="77777777" w:rsidR="005F001C" w:rsidRDefault="005F001C" w:rsidP="005F001C">
      <w:pPr>
        <w:pStyle w:val="Heading1"/>
      </w:pPr>
      <w:bookmarkStart w:id="0" w:name="_Toc219911367"/>
      <w:r>
        <w:lastRenderedPageBreak/>
        <w:t>Executive Summary</w:t>
      </w:r>
      <w:bookmarkEnd w:id="0"/>
    </w:p>
    <w:p w14:paraId="23A0E4A4" w14:textId="77777777" w:rsidR="005F001C" w:rsidRDefault="005F001C" w:rsidP="005F001C">
      <w:r w:rsidRPr="00C92DAC">
        <w:t xml:space="preserve">This report has assessed the strategic situation of Innocent Drinks and recommended a viable growth strategy that fits its ethical mission and B Corp values. As a prominent natural juice and plant-based drinks manufacturer in the UK, </w:t>
      </w:r>
      <w:r>
        <w:t>it</w:t>
      </w:r>
      <w:r w:rsidRPr="00C92DAC">
        <w:t xml:space="preserve"> has enjoyed the benefits of strong brand power, increasing consumer engagement with health and sustainability, and </w:t>
      </w:r>
      <w:r>
        <w:t>favourable</w:t>
      </w:r>
      <w:r w:rsidRPr="00C92DAC">
        <w:t xml:space="preserve"> government policies. </w:t>
      </w:r>
      <w:r>
        <w:t>However</w:t>
      </w:r>
      <w:r w:rsidRPr="00C92DAC">
        <w:t xml:space="preserve">, difficulties have remained, such as price sensitivity for premium products, supply chain reliance, climate change risks, and competition in the healthy drinks market. A thorough PESTEL and Porter’s Five Forces framework analysis has </w:t>
      </w:r>
      <w:r>
        <w:t>marked</w:t>
      </w:r>
      <w:r w:rsidRPr="00C92DAC">
        <w:t xml:space="preserve"> positive and negative factors, such as the increasing demand for functional wellness drinks, and threats from lower-cost alternatives and economic factors.</w:t>
      </w:r>
    </w:p>
    <w:p w14:paraId="03E99378" w14:textId="5A60ECC9" w:rsidR="00AD2127" w:rsidRPr="00AD2127" w:rsidRDefault="005F001C" w:rsidP="005F001C">
      <w:r w:rsidRPr="00F10CC3">
        <w:t xml:space="preserve">The </w:t>
      </w:r>
      <w:r>
        <w:t>study</w:t>
      </w:r>
      <w:r w:rsidRPr="00F10CC3">
        <w:t xml:space="preserve"> has recommended a hybrid strategy combining market penetration and product development to ensure responsible and scalable growth. This approach has allowed the brand to deepen its presence in the UK while innovating with probiotic, low-sugar, and nutrient-focused offerings. A detailed stakeholder analysis using Stakeholder Theory and Mendelow’s Matrix has provided clarity on managing competing expectations across customers, suppliers, investors, and communities. A structured implementation plan with time-bound KPIs has strengthened accountability across marketing, operations, sustainability, and governance. Hence</w:t>
      </w:r>
      <w:r>
        <w:t>,</w:t>
      </w:r>
      <w:r w:rsidRPr="00F10CC3">
        <w:t xml:space="preserve"> this analysis has demonstrated that Innocent Drinks can achieve competitive and ethical growth through innovation, stakeholder engagement, and disciplined monitoring.</w:t>
      </w:r>
      <w:r w:rsidR="00AD2127" w:rsidRPr="00AD2127">
        <w:br w:type="page"/>
      </w:r>
    </w:p>
    <w:sdt>
      <w:sdtPr>
        <w:rPr>
          <w:rFonts w:ascii="Arial" w:eastAsiaTheme="minorHAnsi" w:hAnsi="Arial" w:cstheme="minorBidi"/>
          <w:color w:val="auto"/>
          <w:kern w:val="2"/>
          <w:sz w:val="22"/>
          <w:szCs w:val="22"/>
          <w:lang w:val="en-GB"/>
          <w14:ligatures w14:val="standardContextual"/>
        </w:rPr>
        <w:id w:val="653183719"/>
        <w:docPartObj>
          <w:docPartGallery w:val="Table of Contents"/>
          <w:docPartUnique/>
        </w:docPartObj>
      </w:sdtPr>
      <w:sdtEndPr>
        <w:rPr>
          <w:b/>
          <w:bCs/>
          <w:noProof/>
        </w:rPr>
      </w:sdtEndPr>
      <w:sdtContent>
        <w:p w14:paraId="6326A971" w14:textId="18B5D9F6" w:rsidR="00AD2127" w:rsidRPr="0036766E" w:rsidRDefault="00AD2127" w:rsidP="00AD2127">
          <w:pPr>
            <w:pStyle w:val="TOCHeading"/>
            <w:jc w:val="center"/>
            <w:rPr>
              <w:rFonts w:ascii="Arial" w:hAnsi="Arial" w:cs="Arial"/>
              <w:b/>
              <w:bCs/>
              <w:color w:val="auto"/>
              <w:sz w:val="28"/>
              <w:szCs w:val="28"/>
              <w:lang w:val="en-GB"/>
            </w:rPr>
          </w:pPr>
          <w:r w:rsidRPr="0036766E">
            <w:rPr>
              <w:rFonts w:ascii="Arial" w:hAnsi="Arial" w:cs="Arial"/>
              <w:b/>
              <w:bCs/>
              <w:color w:val="auto"/>
              <w:sz w:val="28"/>
              <w:szCs w:val="28"/>
              <w:lang w:val="en-GB"/>
            </w:rPr>
            <w:t>Table of Contents</w:t>
          </w:r>
        </w:p>
        <w:p w14:paraId="16729689" w14:textId="4C9D0812" w:rsidR="0036766E" w:rsidRDefault="00AD2127">
          <w:pPr>
            <w:pStyle w:val="TOC1"/>
            <w:tabs>
              <w:tab w:val="right" w:leader="dot" w:pos="9016"/>
            </w:tabs>
            <w:rPr>
              <w:rFonts w:asciiTheme="minorHAnsi" w:eastAsiaTheme="minorEastAsia" w:hAnsiTheme="minorHAnsi"/>
              <w:noProof/>
              <w:sz w:val="24"/>
              <w:szCs w:val="21"/>
              <w:lang w:eastAsia="en-GB" w:bidi="hi-IN"/>
            </w:rPr>
          </w:pPr>
          <w:r w:rsidRPr="00AD2127">
            <w:fldChar w:fldCharType="begin"/>
          </w:r>
          <w:r w:rsidRPr="00AD2127">
            <w:instrText xml:space="preserve"> TOC \o "1-3" \h \z \u </w:instrText>
          </w:r>
          <w:r w:rsidRPr="00AD2127">
            <w:fldChar w:fldCharType="separate"/>
          </w:r>
          <w:hyperlink w:anchor="_Toc219911367" w:history="1">
            <w:r w:rsidR="0036766E" w:rsidRPr="00DD4E0D">
              <w:rPr>
                <w:rStyle w:val="Hyperlink"/>
                <w:noProof/>
              </w:rPr>
              <w:t>Executive Summary</w:t>
            </w:r>
            <w:r w:rsidR="0036766E">
              <w:rPr>
                <w:noProof/>
                <w:webHidden/>
              </w:rPr>
              <w:tab/>
            </w:r>
            <w:r w:rsidR="0036766E">
              <w:rPr>
                <w:noProof/>
                <w:webHidden/>
              </w:rPr>
              <w:fldChar w:fldCharType="begin"/>
            </w:r>
            <w:r w:rsidR="0036766E">
              <w:rPr>
                <w:noProof/>
                <w:webHidden/>
              </w:rPr>
              <w:instrText xml:space="preserve"> PAGEREF _Toc219911367 \h </w:instrText>
            </w:r>
            <w:r w:rsidR="0036766E">
              <w:rPr>
                <w:noProof/>
                <w:webHidden/>
              </w:rPr>
            </w:r>
            <w:r w:rsidR="0036766E">
              <w:rPr>
                <w:noProof/>
                <w:webHidden/>
              </w:rPr>
              <w:fldChar w:fldCharType="separate"/>
            </w:r>
            <w:r w:rsidR="0036766E">
              <w:rPr>
                <w:noProof/>
                <w:webHidden/>
              </w:rPr>
              <w:t>1</w:t>
            </w:r>
            <w:r w:rsidR="0036766E">
              <w:rPr>
                <w:noProof/>
                <w:webHidden/>
              </w:rPr>
              <w:fldChar w:fldCharType="end"/>
            </w:r>
          </w:hyperlink>
        </w:p>
        <w:p w14:paraId="4505B26D" w14:textId="4A891842" w:rsidR="0036766E" w:rsidRDefault="0036766E">
          <w:pPr>
            <w:pStyle w:val="TOC1"/>
            <w:tabs>
              <w:tab w:val="right" w:leader="dot" w:pos="9016"/>
            </w:tabs>
            <w:rPr>
              <w:rFonts w:asciiTheme="minorHAnsi" w:eastAsiaTheme="minorEastAsia" w:hAnsiTheme="minorHAnsi"/>
              <w:noProof/>
              <w:sz w:val="24"/>
              <w:szCs w:val="21"/>
              <w:lang w:eastAsia="en-GB" w:bidi="hi-IN"/>
            </w:rPr>
          </w:pPr>
          <w:hyperlink w:anchor="_Toc219911368" w:history="1">
            <w:r w:rsidRPr="00DD4E0D">
              <w:rPr>
                <w:rStyle w:val="Hyperlink"/>
                <w:noProof/>
              </w:rPr>
              <w:t>Introduction</w:t>
            </w:r>
            <w:r>
              <w:rPr>
                <w:noProof/>
                <w:webHidden/>
              </w:rPr>
              <w:tab/>
            </w:r>
            <w:r>
              <w:rPr>
                <w:noProof/>
                <w:webHidden/>
              </w:rPr>
              <w:fldChar w:fldCharType="begin"/>
            </w:r>
            <w:r>
              <w:rPr>
                <w:noProof/>
                <w:webHidden/>
              </w:rPr>
              <w:instrText xml:space="preserve"> PAGEREF _Toc219911368 \h </w:instrText>
            </w:r>
            <w:r>
              <w:rPr>
                <w:noProof/>
                <w:webHidden/>
              </w:rPr>
            </w:r>
            <w:r>
              <w:rPr>
                <w:noProof/>
                <w:webHidden/>
              </w:rPr>
              <w:fldChar w:fldCharType="separate"/>
            </w:r>
            <w:r>
              <w:rPr>
                <w:noProof/>
                <w:webHidden/>
              </w:rPr>
              <w:t>3</w:t>
            </w:r>
            <w:r>
              <w:rPr>
                <w:noProof/>
                <w:webHidden/>
              </w:rPr>
              <w:fldChar w:fldCharType="end"/>
            </w:r>
          </w:hyperlink>
        </w:p>
        <w:p w14:paraId="069AE355" w14:textId="7717E1C0" w:rsidR="0036766E" w:rsidRDefault="0036766E">
          <w:pPr>
            <w:pStyle w:val="TOC1"/>
            <w:tabs>
              <w:tab w:val="right" w:leader="dot" w:pos="9016"/>
            </w:tabs>
            <w:rPr>
              <w:rFonts w:asciiTheme="minorHAnsi" w:eastAsiaTheme="minorEastAsia" w:hAnsiTheme="minorHAnsi"/>
              <w:noProof/>
              <w:sz w:val="24"/>
              <w:szCs w:val="21"/>
              <w:lang w:eastAsia="en-GB" w:bidi="hi-IN"/>
            </w:rPr>
          </w:pPr>
          <w:hyperlink w:anchor="_Toc219911369" w:history="1">
            <w:r w:rsidRPr="00DD4E0D">
              <w:rPr>
                <w:rStyle w:val="Hyperlink"/>
                <w:noProof/>
              </w:rPr>
              <w:t>Evaluation of the Current Market Situation</w:t>
            </w:r>
            <w:r>
              <w:rPr>
                <w:noProof/>
                <w:webHidden/>
              </w:rPr>
              <w:tab/>
            </w:r>
            <w:r>
              <w:rPr>
                <w:noProof/>
                <w:webHidden/>
              </w:rPr>
              <w:fldChar w:fldCharType="begin"/>
            </w:r>
            <w:r>
              <w:rPr>
                <w:noProof/>
                <w:webHidden/>
              </w:rPr>
              <w:instrText xml:space="preserve"> PAGEREF _Toc219911369 \h </w:instrText>
            </w:r>
            <w:r>
              <w:rPr>
                <w:noProof/>
                <w:webHidden/>
              </w:rPr>
            </w:r>
            <w:r>
              <w:rPr>
                <w:noProof/>
                <w:webHidden/>
              </w:rPr>
              <w:fldChar w:fldCharType="separate"/>
            </w:r>
            <w:r>
              <w:rPr>
                <w:noProof/>
                <w:webHidden/>
              </w:rPr>
              <w:t>3</w:t>
            </w:r>
            <w:r>
              <w:rPr>
                <w:noProof/>
                <w:webHidden/>
              </w:rPr>
              <w:fldChar w:fldCharType="end"/>
            </w:r>
          </w:hyperlink>
        </w:p>
        <w:p w14:paraId="7F0FDE49" w14:textId="2C50B538" w:rsidR="0036766E" w:rsidRDefault="0036766E">
          <w:pPr>
            <w:pStyle w:val="TOC2"/>
            <w:tabs>
              <w:tab w:val="right" w:leader="dot" w:pos="9016"/>
            </w:tabs>
            <w:rPr>
              <w:rFonts w:asciiTheme="minorHAnsi" w:eastAsiaTheme="minorEastAsia" w:hAnsiTheme="minorHAnsi"/>
              <w:noProof/>
              <w:sz w:val="24"/>
              <w:szCs w:val="21"/>
              <w:lang w:eastAsia="en-GB" w:bidi="hi-IN"/>
            </w:rPr>
          </w:pPr>
          <w:hyperlink w:anchor="_Toc219911370" w:history="1">
            <w:r w:rsidRPr="00DD4E0D">
              <w:rPr>
                <w:rStyle w:val="Hyperlink"/>
                <w:noProof/>
              </w:rPr>
              <w:t>PESTEL Analysis</w:t>
            </w:r>
            <w:r>
              <w:rPr>
                <w:noProof/>
                <w:webHidden/>
              </w:rPr>
              <w:tab/>
            </w:r>
            <w:r>
              <w:rPr>
                <w:noProof/>
                <w:webHidden/>
              </w:rPr>
              <w:fldChar w:fldCharType="begin"/>
            </w:r>
            <w:r>
              <w:rPr>
                <w:noProof/>
                <w:webHidden/>
              </w:rPr>
              <w:instrText xml:space="preserve"> PAGEREF _Toc219911370 \h </w:instrText>
            </w:r>
            <w:r>
              <w:rPr>
                <w:noProof/>
                <w:webHidden/>
              </w:rPr>
            </w:r>
            <w:r>
              <w:rPr>
                <w:noProof/>
                <w:webHidden/>
              </w:rPr>
              <w:fldChar w:fldCharType="separate"/>
            </w:r>
            <w:r>
              <w:rPr>
                <w:noProof/>
                <w:webHidden/>
              </w:rPr>
              <w:t>3</w:t>
            </w:r>
            <w:r>
              <w:rPr>
                <w:noProof/>
                <w:webHidden/>
              </w:rPr>
              <w:fldChar w:fldCharType="end"/>
            </w:r>
          </w:hyperlink>
        </w:p>
        <w:p w14:paraId="1ECF8F62" w14:textId="03D0AD54" w:rsidR="0036766E" w:rsidRDefault="0036766E">
          <w:pPr>
            <w:pStyle w:val="TOC2"/>
            <w:tabs>
              <w:tab w:val="right" w:leader="dot" w:pos="9016"/>
            </w:tabs>
            <w:rPr>
              <w:rFonts w:asciiTheme="minorHAnsi" w:eastAsiaTheme="minorEastAsia" w:hAnsiTheme="minorHAnsi"/>
              <w:noProof/>
              <w:sz w:val="24"/>
              <w:szCs w:val="21"/>
              <w:lang w:eastAsia="en-GB" w:bidi="hi-IN"/>
            </w:rPr>
          </w:pPr>
          <w:hyperlink w:anchor="_Toc219911371" w:history="1">
            <w:r w:rsidRPr="00DD4E0D">
              <w:rPr>
                <w:rStyle w:val="Hyperlink"/>
                <w:noProof/>
              </w:rPr>
              <w:t>Porter’s Five Forces Analysis</w:t>
            </w:r>
            <w:r>
              <w:rPr>
                <w:noProof/>
                <w:webHidden/>
              </w:rPr>
              <w:tab/>
            </w:r>
            <w:r>
              <w:rPr>
                <w:noProof/>
                <w:webHidden/>
              </w:rPr>
              <w:fldChar w:fldCharType="begin"/>
            </w:r>
            <w:r>
              <w:rPr>
                <w:noProof/>
                <w:webHidden/>
              </w:rPr>
              <w:instrText xml:space="preserve"> PAGEREF _Toc219911371 \h </w:instrText>
            </w:r>
            <w:r>
              <w:rPr>
                <w:noProof/>
                <w:webHidden/>
              </w:rPr>
            </w:r>
            <w:r>
              <w:rPr>
                <w:noProof/>
                <w:webHidden/>
              </w:rPr>
              <w:fldChar w:fldCharType="separate"/>
            </w:r>
            <w:r>
              <w:rPr>
                <w:noProof/>
                <w:webHidden/>
              </w:rPr>
              <w:t>4</w:t>
            </w:r>
            <w:r>
              <w:rPr>
                <w:noProof/>
                <w:webHidden/>
              </w:rPr>
              <w:fldChar w:fldCharType="end"/>
            </w:r>
          </w:hyperlink>
        </w:p>
        <w:p w14:paraId="1BBC55A1" w14:textId="57530A3A" w:rsidR="0036766E" w:rsidRDefault="0036766E">
          <w:pPr>
            <w:pStyle w:val="TOC2"/>
            <w:tabs>
              <w:tab w:val="right" w:leader="dot" w:pos="9016"/>
            </w:tabs>
            <w:rPr>
              <w:rFonts w:asciiTheme="minorHAnsi" w:eastAsiaTheme="minorEastAsia" w:hAnsiTheme="minorHAnsi"/>
              <w:noProof/>
              <w:sz w:val="24"/>
              <w:szCs w:val="21"/>
              <w:lang w:eastAsia="en-GB" w:bidi="hi-IN"/>
            </w:rPr>
          </w:pPr>
          <w:hyperlink w:anchor="_Toc219911372" w:history="1">
            <w:r w:rsidRPr="00DD4E0D">
              <w:rPr>
                <w:rStyle w:val="Hyperlink"/>
                <w:noProof/>
              </w:rPr>
              <w:t>SWOT Analysis</w:t>
            </w:r>
            <w:r>
              <w:rPr>
                <w:noProof/>
                <w:webHidden/>
              </w:rPr>
              <w:tab/>
            </w:r>
            <w:r>
              <w:rPr>
                <w:noProof/>
                <w:webHidden/>
              </w:rPr>
              <w:fldChar w:fldCharType="begin"/>
            </w:r>
            <w:r>
              <w:rPr>
                <w:noProof/>
                <w:webHidden/>
              </w:rPr>
              <w:instrText xml:space="preserve"> PAGEREF _Toc219911372 \h </w:instrText>
            </w:r>
            <w:r>
              <w:rPr>
                <w:noProof/>
                <w:webHidden/>
              </w:rPr>
            </w:r>
            <w:r>
              <w:rPr>
                <w:noProof/>
                <w:webHidden/>
              </w:rPr>
              <w:fldChar w:fldCharType="separate"/>
            </w:r>
            <w:r>
              <w:rPr>
                <w:noProof/>
                <w:webHidden/>
              </w:rPr>
              <w:t>5</w:t>
            </w:r>
            <w:r>
              <w:rPr>
                <w:noProof/>
                <w:webHidden/>
              </w:rPr>
              <w:fldChar w:fldCharType="end"/>
            </w:r>
          </w:hyperlink>
        </w:p>
        <w:p w14:paraId="232DCFB7" w14:textId="7AA62635" w:rsidR="0036766E" w:rsidRDefault="0036766E">
          <w:pPr>
            <w:pStyle w:val="TOC1"/>
            <w:tabs>
              <w:tab w:val="right" w:leader="dot" w:pos="9016"/>
            </w:tabs>
            <w:rPr>
              <w:rFonts w:asciiTheme="minorHAnsi" w:eastAsiaTheme="minorEastAsia" w:hAnsiTheme="minorHAnsi"/>
              <w:noProof/>
              <w:sz w:val="24"/>
              <w:szCs w:val="21"/>
              <w:lang w:eastAsia="en-GB" w:bidi="hi-IN"/>
            </w:rPr>
          </w:pPr>
          <w:hyperlink w:anchor="_Toc219911373" w:history="1">
            <w:r w:rsidRPr="00DD4E0D">
              <w:rPr>
                <w:rStyle w:val="Hyperlink"/>
                <w:noProof/>
              </w:rPr>
              <w:t>Strategic Growth Options and Proposed Strategy</w:t>
            </w:r>
            <w:r>
              <w:rPr>
                <w:noProof/>
                <w:webHidden/>
              </w:rPr>
              <w:tab/>
            </w:r>
            <w:r>
              <w:rPr>
                <w:noProof/>
                <w:webHidden/>
              </w:rPr>
              <w:fldChar w:fldCharType="begin"/>
            </w:r>
            <w:r>
              <w:rPr>
                <w:noProof/>
                <w:webHidden/>
              </w:rPr>
              <w:instrText xml:space="preserve"> PAGEREF _Toc219911373 \h </w:instrText>
            </w:r>
            <w:r>
              <w:rPr>
                <w:noProof/>
                <w:webHidden/>
              </w:rPr>
            </w:r>
            <w:r>
              <w:rPr>
                <w:noProof/>
                <w:webHidden/>
              </w:rPr>
              <w:fldChar w:fldCharType="separate"/>
            </w:r>
            <w:r>
              <w:rPr>
                <w:noProof/>
                <w:webHidden/>
              </w:rPr>
              <w:t>6</w:t>
            </w:r>
            <w:r>
              <w:rPr>
                <w:noProof/>
                <w:webHidden/>
              </w:rPr>
              <w:fldChar w:fldCharType="end"/>
            </w:r>
          </w:hyperlink>
        </w:p>
        <w:p w14:paraId="2F866B3C" w14:textId="5DB7009D" w:rsidR="0036766E" w:rsidRDefault="0036766E">
          <w:pPr>
            <w:pStyle w:val="TOC2"/>
            <w:tabs>
              <w:tab w:val="right" w:leader="dot" w:pos="9016"/>
            </w:tabs>
            <w:rPr>
              <w:rFonts w:asciiTheme="minorHAnsi" w:eastAsiaTheme="minorEastAsia" w:hAnsiTheme="minorHAnsi"/>
              <w:noProof/>
              <w:sz w:val="24"/>
              <w:szCs w:val="21"/>
              <w:lang w:eastAsia="en-GB" w:bidi="hi-IN"/>
            </w:rPr>
          </w:pPr>
          <w:hyperlink w:anchor="_Toc219911374" w:history="1">
            <w:r w:rsidRPr="00DD4E0D">
              <w:rPr>
                <w:rStyle w:val="Hyperlink"/>
                <w:noProof/>
              </w:rPr>
              <w:t>Market Penetration</w:t>
            </w:r>
            <w:r>
              <w:rPr>
                <w:noProof/>
                <w:webHidden/>
              </w:rPr>
              <w:tab/>
            </w:r>
            <w:r>
              <w:rPr>
                <w:noProof/>
                <w:webHidden/>
              </w:rPr>
              <w:fldChar w:fldCharType="begin"/>
            </w:r>
            <w:r>
              <w:rPr>
                <w:noProof/>
                <w:webHidden/>
              </w:rPr>
              <w:instrText xml:space="preserve"> PAGEREF _Toc219911374 \h </w:instrText>
            </w:r>
            <w:r>
              <w:rPr>
                <w:noProof/>
                <w:webHidden/>
              </w:rPr>
            </w:r>
            <w:r>
              <w:rPr>
                <w:noProof/>
                <w:webHidden/>
              </w:rPr>
              <w:fldChar w:fldCharType="separate"/>
            </w:r>
            <w:r>
              <w:rPr>
                <w:noProof/>
                <w:webHidden/>
              </w:rPr>
              <w:t>6</w:t>
            </w:r>
            <w:r>
              <w:rPr>
                <w:noProof/>
                <w:webHidden/>
              </w:rPr>
              <w:fldChar w:fldCharType="end"/>
            </w:r>
          </w:hyperlink>
        </w:p>
        <w:p w14:paraId="52CCA8C6" w14:textId="0D1DA582" w:rsidR="0036766E" w:rsidRDefault="0036766E">
          <w:pPr>
            <w:pStyle w:val="TOC2"/>
            <w:tabs>
              <w:tab w:val="right" w:leader="dot" w:pos="9016"/>
            </w:tabs>
            <w:rPr>
              <w:rFonts w:asciiTheme="minorHAnsi" w:eastAsiaTheme="minorEastAsia" w:hAnsiTheme="minorHAnsi"/>
              <w:noProof/>
              <w:sz w:val="24"/>
              <w:szCs w:val="21"/>
              <w:lang w:eastAsia="en-GB" w:bidi="hi-IN"/>
            </w:rPr>
          </w:pPr>
          <w:hyperlink w:anchor="_Toc219911375" w:history="1">
            <w:r w:rsidRPr="00DD4E0D">
              <w:rPr>
                <w:rStyle w:val="Hyperlink"/>
                <w:noProof/>
              </w:rPr>
              <w:t>Market Development</w:t>
            </w:r>
            <w:r>
              <w:rPr>
                <w:noProof/>
                <w:webHidden/>
              </w:rPr>
              <w:tab/>
            </w:r>
            <w:r>
              <w:rPr>
                <w:noProof/>
                <w:webHidden/>
              </w:rPr>
              <w:fldChar w:fldCharType="begin"/>
            </w:r>
            <w:r>
              <w:rPr>
                <w:noProof/>
                <w:webHidden/>
              </w:rPr>
              <w:instrText xml:space="preserve"> PAGEREF _Toc219911375 \h </w:instrText>
            </w:r>
            <w:r>
              <w:rPr>
                <w:noProof/>
                <w:webHidden/>
              </w:rPr>
            </w:r>
            <w:r>
              <w:rPr>
                <w:noProof/>
                <w:webHidden/>
              </w:rPr>
              <w:fldChar w:fldCharType="separate"/>
            </w:r>
            <w:r>
              <w:rPr>
                <w:noProof/>
                <w:webHidden/>
              </w:rPr>
              <w:t>6</w:t>
            </w:r>
            <w:r>
              <w:rPr>
                <w:noProof/>
                <w:webHidden/>
              </w:rPr>
              <w:fldChar w:fldCharType="end"/>
            </w:r>
          </w:hyperlink>
        </w:p>
        <w:p w14:paraId="107394D1" w14:textId="06EF2C20" w:rsidR="0036766E" w:rsidRDefault="0036766E">
          <w:pPr>
            <w:pStyle w:val="TOC2"/>
            <w:tabs>
              <w:tab w:val="right" w:leader="dot" w:pos="9016"/>
            </w:tabs>
            <w:rPr>
              <w:rFonts w:asciiTheme="minorHAnsi" w:eastAsiaTheme="minorEastAsia" w:hAnsiTheme="minorHAnsi"/>
              <w:noProof/>
              <w:sz w:val="24"/>
              <w:szCs w:val="21"/>
              <w:lang w:eastAsia="en-GB" w:bidi="hi-IN"/>
            </w:rPr>
          </w:pPr>
          <w:hyperlink w:anchor="_Toc219911376" w:history="1">
            <w:r w:rsidRPr="00DD4E0D">
              <w:rPr>
                <w:rStyle w:val="Hyperlink"/>
                <w:noProof/>
              </w:rPr>
              <w:t>Product Development</w:t>
            </w:r>
            <w:r>
              <w:rPr>
                <w:noProof/>
                <w:webHidden/>
              </w:rPr>
              <w:tab/>
            </w:r>
            <w:r>
              <w:rPr>
                <w:noProof/>
                <w:webHidden/>
              </w:rPr>
              <w:fldChar w:fldCharType="begin"/>
            </w:r>
            <w:r>
              <w:rPr>
                <w:noProof/>
                <w:webHidden/>
              </w:rPr>
              <w:instrText xml:space="preserve"> PAGEREF _Toc219911376 \h </w:instrText>
            </w:r>
            <w:r>
              <w:rPr>
                <w:noProof/>
                <w:webHidden/>
              </w:rPr>
            </w:r>
            <w:r>
              <w:rPr>
                <w:noProof/>
                <w:webHidden/>
              </w:rPr>
              <w:fldChar w:fldCharType="separate"/>
            </w:r>
            <w:r>
              <w:rPr>
                <w:noProof/>
                <w:webHidden/>
              </w:rPr>
              <w:t>7</w:t>
            </w:r>
            <w:r>
              <w:rPr>
                <w:noProof/>
                <w:webHidden/>
              </w:rPr>
              <w:fldChar w:fldCharType="end"/>
            </w:r>
          </w:hyperlink>
        </w:p>
        <w:p w14:paraId="3D20C415" w14:textId="64B62D28" w:rsidR="0036766E" w:rsidRDefault="0036766E">
          <w:pPr>
            <w:pStyle w:val="TOC2"/>
            <w:tabs>
              <w:tab w:val="right" w:leader="dot" w:pos="9016"/>
            </w:tabs>
            <w:rPr>
              <w:rFonts w:asciiTheme="minorHAnsi" w:eastAsiaTheme="minorEastAsia" w:hAnsiTheme="minorHAnsi"/>
              <w:noProof/>
              <w:sz w:val="24"/>
              <w:szCs w:val="21"/>
              <w:lang w:eastAsia="en-GB" w:bidi="hi-IN"/>
            </w:rPr>
          </w:pPr>
          <w:hyperlink w:anchor="_Toc219911377" w:history="1">
            <w:r w:rsidRPr="00DD4E0D">
              <w:rPr>
                <w:rStyle w:val="Hyperlink"/>
                <w:noProof/>
              </w:rPr>
              <w:t>Diversification</w:t>
            </w:r>
            <w:r>
              <w:rPr>
                <w:noProof/>
                <w:webHidden/>
              </w:rPr>
              <w:tab/>
            </w:r>
            <w:r>
              <w:rPr>
                <w:noProof/>
                <w:webHidden/>
              </w:rPr>
              <w:fldChar w:fldCharType="begin"/>
            </w:r>
            <w:r>
              <w:rPr>
                <w:noProof/>
                <w:webHidden/>
              </w:rPr>
              <w:instrText xml:space="preserve"> PAGEREF _Toc219911377 \h </w:instrText>
            </w:r>
            <w:r>
              <w:rPr>
                <w:noProof/>
                <w:webHidden/>
              </w:rPr>
            </w:r>
            <w:r>
              <w:rPr>
                <w:noProof/>
                <w:webHidden/>
              </w:rPr>
              <w:fldChar w:fldCharType="separate"/>
            </w:r>
            <w:r>
              <w:rPr>
                <w:noProof/>
                <w:webHidden/>
              </w:rPr>
              <w:t>7</w:t>
            </w:r>
            <w:r>
              <w:rPr>
                <w:noProof/>
                <w:webHidden/>
              </w:rPr>
              <w:fldChar w:fldCharType="end"/>
            </w:r>
          </w:hyperlink>
        </w:p>
        <w:p w14:paraId="2D0F2F46" w14:textId="63BE6A3D" w:rsidR="0036766E" w:rsidRDefault="0036766E">
          <w:pPr>
            <w:pStyle w:val="TOC2"/>
            <w:tabs>
              <w:tab w:val="right" w:leader="dot" w:pos="9016"/>
            </w:tabs>
            <w:rPr>
              <w:rFonts w:asciiTheme="minorHAnsi" w:eastAsiaTheme="minorEastAsia" w:hAnsiTheme="minorHAnsi"/>
              <w:noProof/>
              <w:sz w:val="24"/>
              <w:szCs w:val="21"/>
              <w:lang w:eastAsia="en-GB" w:bidi="hi-IN"/>
            </w:rPr>
          </w:pPr>
          <w:hyperlink w:anchor="_Toc219911378" w:history="1">
            <w:r w:rsidRPr="00DD4E0D">
              <w:rPr>
                <w:rStyle w:val="Hyperlink"/>
                <w:noProof/>
              </w:rPr>
              <w:t>Recommended Strategy: Integration of Market Penetration and Product Development</w:t>
            </w:r>
            <w:r>
              <w:rPr>
                <w:noProof/>
                <w:webHidden/>
              </w:rPr>
              <w:tab/>
            </w:r>
            <w:r>
              <w:rPr>
                <w:noProof/>
                <w:webHidden/>
              </w:rPr>
              <w:fldChar w:fldCharType="begin"/>
            </w:r>
            <w:r>
              <w:rPr>
                <w:noProof/>
                <w:webHidden/>
              </w:rPr>
              <w:instrText xml:space="preserve"> PAGEREF _Toc219911378 \h </w:instrText>
            </w:r>
            <w:r>
              <w:rPr>
                <w:noProof/>
                <w:webHidden/>
              </w:rPr>
            </w:r>
            <w:r>
              <w:rPr>
                <w:noProof/>
                <w:webHidden/>
              </w:rPr>
              <w:fldChar w:fldCharType="separate"/>
            </w:r>
            <w:r>
              <w:rPr>
                <w:noProof/>
                <w:webHidden/>
              </w:rPr>
              <w:t>7</w:t>
            </w:r>
            <w:r>
              <w:rPr>
                <w:noProof/>
                <w:webHidden/>
              </w:rPr>
              <w:fldChar w:fldCharType="end"/>
            </w:r>
          </w:hyperlink>
        </w:p>
        <w:p w14:paraId="3A955B82" w14:textId="35C57505" w:rsidR="0036766E" w:rsidRDefault="0036766E">
          <w:pPr>
            <w:pStyle w:val="TOC1"/>
            <w:tabs>
              <w:tab w:val="right" w:leader="dot" w:pos="9016"/>
            </w:tabs>
            <w:rPr>
              <w:rFonts w:asciiTheme="minorHAnsi" w:eastAsiaTheme="minorEastAsia" w:hAnsiTheme="minorHAnsi"/>
              <w:noProof/>
              <w:sz w:val="24"/>
              <w:szCs w:val="21"/>
              <w:lang w:eastAsia="en-GB" w:bidi="hi-IN"/>
            </w:rPr>
          </w:pPr>
          <w:hyperlink w:anchor="_Toc219911379" w:history="1">
            <w:r w:rsidRPr="00DD4E0D">
              <w:rPr>
                <w:rStyle w:val="Hyperlink"/>
                <w:noProof/>
              </w:rPr>
              <w:t>Strategy Evaluation Based on the SFA Framework</w:t>
            </w:r>
            <w:r>
              <w:rPr>
                <w:noProof/>
                <w:webHidden/>
              </w:rPr>
              <w:tab/>
            </w:r>
            <w:r>
              <w:rPr>
                <w:noProof/>
                <w:webHidden/>
              </w:rPr>
              <w:fldChar w:fldCharType="begin"/>
            </w:r>
            <w:r>
              <w:rPr>
                <w:noProof/>
                <w:webHidden/>
              </w:rPr>
              <w:instrText xml:space="preserve"> PAGEREF _Toc219911379 \h </w:instrText>
            </w:r>
            <w:r>
              <w:rPr>
                <w:noProof/>
                <w:webHidden/>
              </w:rPr>
            </w:r>
            <w:r>
              <w:rPr>
                <w:noProof/>
                <w:webHidden/>
              </w:rPr>
              <w:fldChar w:fldCharType="separate"/>
            </w:r>
            <w:r>
              <w:rPr>
                <w:noProof/>
                <w:webHidden/>
              </w:rPr>
              <w:t>8</w:t>
            </w:r>
            <w:r>
              <w:rPr>
                <w:noProof/>
                <w:webHidden/>
              </w:rPr>
              <w:fldChar w:fldCharType="end"/>
            </w:r>
          </w:hyperlink>
        </w:p>
        <w:p w14:paraId="0EE46438" w14:textId="3BF4AAB3" w:rsidR="0036766E" w:rsidRDefault="0036766E">
          <w:pPr>
            <w:pStyle w:val="TOC2"/>
            <w:tabs>
              <w:tab w:val="right" w:leader="dot" w:pos="9016"/>
            </w:tabs>
            <w:rPr>
              <w:rFonts w:asciiTheme="minorHAnsi" w:eastAsiaTheme="minorEastAsia" w:hAnsiTheme="minorHAnsi"/>
              <w:noProof/>
              <w:sz w:val="24"/>
              <w:szCs w:val="21"/>
              <w:lang w:eastAsia="en-GB" w:bidi="hi-IN"/>
            </w:rPr>
          </w:pPr>
          <w:hyperlink w:anchor="_Toc219911380" w:history="1">
            <w:r w:rsidRPr="00DD4E0D">
              <w:rPr>
                <w:rStyle w:val="Hyperlink"/>
                <w:noProof/>
              </w:rPr>
              <w:t>Suitability</w:t>
            </w:r>
            <w:r>
              <w:rPr>
                <w:noProof/>
                <w:webHidden/>
              </w:rPr>
              <w:tab/>
            </w:r>
            <w:r>
              <w:rPr>
                <w:noProof/>
                <w:webHidden/>
              </w:rPr>
              <w:fldChar w:fldCharType="begin"/>
            </w:r>
            <w:r>
              <w:rPr>
                <w:noProof/>
                <w:webHidden/>
              </w:rPr>
              <w:instrText xml:space="preserve"> PAGEREF _Toc219911380 \h </w:instrText>
            </w:r>
            <w:r>
              <w:rPr>
                <w:noProof/>
                <w:webHidden/>
              </w:rPr>
            </w:r>
            <w:r>
              <w:rPr>
                <w:noProof/>
                <w:webHidden/>
              </w:rPr>
              <w:fldChar w:fldCharType="separate"/>
            </w:r>
            <w:r>
              <w:rPr>
                <w:noProof/>
                <w:webHidden/>
              </w:rPr>
              <w:t>9</w:t>
            </w:r>
            <w:r>
              <w:rPr>
                <w:noProof/>
                <w:webHidden/>
              </w:rPr>
              <w:fldChar w:fldCharType="end"/>
            </w:r>
          </w:hyperlink>
        </w:p>
        <w:p w14:paraId="6AE57196" w14:textId="6453E7FE" w:rsidR="0036766E" w:rsidRDefault="0036766E">
          <w:pPr>
            <w:pStyle w:val="TOC2"/>
            <w:tabs>
              <w:tab w:val="right" w:leader="dot" w:pos="9016"/>
            </w:tabs>
            <w:rPr>
              <w:rFonts w:asciiTheme="minorHAnsi" w:eastAsiaTheme="minorEastAsia" w:hAnsiTheme="minorHAnsi"/>
              <w:noProof/>
              <w:sz w:val="24"/>
              <w:szCs w:val="21"/>
              <w:lang w:eastAsia="en-GB" w:bidi="hi-IN"/>
            </w:rPr>
          </w:pPr>
          <w:hyperlink w:anchor="_Toc219911381" w:history="1">
            <w:r w:rsidRPr="00DD4E0D">
              <w:rPr>
                <w:rStyle w:val="Hyperlink"/>
                <w:noProof/>
              </w:rPr>
              <w:t>Feasibility</w:t>
            </w:r>
            <w:r>
              <w:rPr>
                <w:noProof/>
                <w:webHidden/>
              </w:rPr>
              <w:tab/>
            </w:r>
            <w:r>
              <w:rPr>
                <w:noProof/>
                <w:webHidden/>
              </w:rPr>
              <w:fldChar w:fldCharType="begin"/>
            </w:r>
            <w:r>
              <w:rPr>
                <w:noProof/>
                <w:webHidden/>
              </w:rPr>
              <w:instrText xml:space="preserve"> PAGEREF _Toc219911381 \h </w:instrText>
            </w:r>
            <w:r>
              <w:rPr>
                <w:noProof/>
                <w:webHidden/>
              </w:rPr>
            </w:r>
            <w:r>
              <w:rPr>
                <w:noProof/>
                <w:webHidden/>
              </w:rPr>
              <w:fldChar w:fldCharType="separate"/>
            </w:r>
            <w:r>
              <w:rPr>
                <w:noProof/>
                <w:webHidden/>
              </w:rPr>
              <w:t>9</w:t>
            </w:r>
            <w:r>
              <w:rPr>
                <w:noProof/>
                <w:webHidden/>
              </w:rPr>
              <w:fldChar w:fldCharType="end"/>
            </w:r>
          </w:hyperlink>
        </w:p>
        <w:p w14:paraId="7F437F00" w14:textId="2154CA8C" w:rsidR="0036766E" w:rsidRDefault="0036766E">
          <w:pPr>
            <w:pStyle w:val="TOC2"/>
            <w:tabs>
              <w:tab w:val="right" w:leader="dot" w:pos="9016"/>
            </w:tabs>
            <w:rPr>
              <w:rFonts w:asciiTheme="minorHAnsi" w:eastAsiaTheme="minorEastAsia" w:hAnsiTheme="minorHAnsi"/>
              <w:noProof/>
              <w:sz w:val="24"/>
              <w:szCs w:val="21"/>
              <w:lang w:eastAsia="en-GB" w:bidi="hi-IN"/>
            </w:rPr>
          </w:pPr>
          <w:hyperlink w:anchor="_Toc219911382" w:history="1">
            <w:r w:rsidRPr="00DD4E0D">
              <w:rPr>
                <w:rStyle w:val="Hyperlink"/>
                <w:noProof/>
              </w:rPr>
              <w:t>Acceptability</w:t>
            </w:r>
            <w:r>
              <w:rPr>
                <w:noProof/>
                <w:webHidden/>
              </w:rPr>
              <w:tab/>
            </w:r>
            <w:r>
              <w:rPr>
                <w:noProof/>
                <w:webHidden/>
              </w:rPr>
              <w:fldChar w:fldCharType="begin"/>
            </w:r>
            <w:r>
              <w:rPr>
                <w:noProof/>
                <w:webHidden/>
              </w:rPr>
              <w:instrText xml:space="preserve"> PAGEREF _Toc219911382 \h </w:instrText>
            </w:r>
            <w:r>
              <w:rPr>
                <w:noProof/>
                <w:webHidden/>
              </w:rPr>
            </w:r>
            <w:r>
              <w:rPr>
                <w:noProof/>
                <w:webHidden/>
              </w:rPr>
              <w:fldChar w:fldCharType="separate"/>
            </w:r>
            <w:r>
              <w:rPr>
                <w:noProof/>
                <w:webHidden/>
              </w:rPr>
              <w:t>9</w:t>
            </w:r>
            <w:r>
              <w:rPr>
                <w:noProof/>
                <w:webHidden/>
              </w:rPr>
              <w:fldChar w:fldCharType="end"/>
            </w:r>
          </w:hyperlink>
        </w:p>
        <w:p w14:paraId="5B6C1869" w14:textId="7276C98D" w:rsidR="0036766E" w:rsidRDefault="0036766E">
          <w:pPr>
            <w:pStyle w:val="TOC1"/>
            <w:tabs>
              <w:tab w:val="right" w:leader="dot" w:pos="9016"/>
            </w:tabs>
            <w:rPr>
              <w:rFonts w:asciiTheme="minorHAnsi" w:eastAsiaTheme="minorEastAsia" w:hAnsiTheme="minorHAnsi"/>
              <w:noProof/>
              <w:sz w:val="24"/>
              <w:szCs w:val="21"/>
              <w:lang w:eastAsia="en-GB" w:bidi="hi-IN"/>
            </w:rPr>
          </w:pPr>
          <w:hyperlink w:anchor="_Toc219911383" w:history="1">
            <w:r w:rsidRPr="00DD4E0D">
              <w:rPr>
                <w:rStyle w:val="Hyperlink"/>
                <w:noProof/>
              </w:rPr>
              <w:t>Stakeholder Analysis</w:t>
            </w:r>
            <w:r>
              <w:rPr>
                <w:noProof/>
                <w:webHidden/>
              </w:rPr>
              <w:tab/>
            </w:r>
            <w:r>
              <w:rPr>
                <w:noProof/>
                <w:webHidden/>
              </w:rPr>
              <w:fldChar w:fldCharType="begin"/>
            </w:r>
            <w:r>
              <w:rPr>
                <w:noProof/>
                <w:webHidden/>
              </w:rPr>
              <w:instrText xml:space="preserve"> PAGEREF _Toc219911383 \h </w:instrText>
            </w:r>
            <w:r>
              <w:rPr>
                <w:noProof/>
                <w:webHidden/>
              </w:rPr>
            </w:r>
            <w:r>
              <w:rPr>
                <w:noProof/>
                <w:webHidden/>
              </w:rPr>
              <w:fldChar w:fldCharType="separate"/>
            </w:r>
            <w:r>
              <w:rPr>
                <w:noProof/>
                <w:webHidden/>
              </w:rPr>
              <w:t>9</w:t>
            </w:r>
            <w:r>
              <w:rPr>
                <w:noProof/>
                <w:webHidden/>
              </w:rPr>
              <w:fldChar w:fldCharType="end"/>
            </w:r>
          </w:hyperlink>
        </w:p>
        <w:p w14:paraId="5CF16642" w14:textId="0D2F36A9" w:rsidR="0036766E" w:rsidRDefault="0036766E">
          <w:pPr>
            <w:pStyle w:val="TOC1"/>
            <w:tabs>
              <w:tab w:val="right" w:leader="dot" w:pos="9016"/>
            </w:tabs>
            <w:rPr>
              <w:rFonts w:asciiTheme="minorHAnsi" w:eastAsiaTheme="minorEastAsia" w:hAnsiTheme="minorHAnsi"/>
              <w:noProof/>
              <w:sz w:val="24"/>
              <w:szCs w:val="21"/>
              <w:lang w:eastAsia="en-GB" w:bidi="hi-IN"/>
            </w:rPr>
          </w:pPr>
          <w:hyperlink w:anchor="_Toc219911384" w:history="1">
            <w:r w:rsidRPr="00DD4E0D">
              <w:rPr>
                <w:rStyle w:val="Hyperlink"/>
                <w:noProof/>
              </w:rPr>
              <w:t>Implementation and monitoring</w:t>
            </w:r>
            <w:r>
              <w:rPr>
                <w:noProof/>
                <w:webHidden/>
              </w:rPr>
              <w:tab/>
            </w:r>
            <w:r>
              <w:rPr>
                <w:noProof/>
                <w:webHidden/>
              </w:rPr>
              <w:fldChar w:fldCharType="begin"/>
            </w:r>
            <w:r>
              <w:rPr>
                <w:noProof/>
                <w:webHidden/>
              </w:rPr>
              <w:instrText xml:space="preserve"> PAGEREF _Toc219911384 \h </w:instrText>
            </w:r>
            <w:r>
              <w:rPr>
                <w:noProof/>
                <w:webHidden/>
              </w:rPr>
            </w:r>
            <w:r>
              <w:rPr>
                <w:noProof/>
                <w:webHidden/>
              </w:rPr>
              <w:fldChar w:fldCharType="separate"/>
            </w:r>
            <w:r>
              <w:rPr>
                <w:noProof/>
                <w:webHidden/>
              </w:rPr>
              <w:t>11</w:t>
            </w:r>
            <w:r>
              <w:rPr>
                <w:noProof/>
                <w:webHidden/>
              </w:rPr>
              <w:fldChar w:fldCharType="end"/>
            </w:r>
          </w:hyperlink>
        </w:p>
        <w:p w14:paraId="33ECE451" w14:textId="1B957367" w:rsidR="0036766E" w:rsidRDefault="0036766E">
          <w:pPr>
            <w:pStyle w:val="TOC1"/>
            <w:tabs>
              <w:tab w:val="right" w:leader="dot" w:pos="9016"/>
            </w:tabs>
            <w:rPr>
              <w:rFonts w:asciiTheme="minorHAnsi" w:eastAsiaTheme="minorEastAsia" w:hAnsiTheme="minorHAnsi"/>
              <w:noProof/>
              <w:sz w:val="24"/>
              <w:szCs w:val="21"/>
              <w:lang w:eastAsia="en-GB" w:bidi="hi-IN"/>
            </w:rPr>
          </w:pPr>
          <w:hyperlink w:anchor="_Toc219911385" w:history="1">
            <w:r w:rsidRPr="00DD4E0D">
              <w:rPr>
                <w:rStyle w:val="Hyperlink"/>
                <w:noProof/>
              </w:rPr>
              <w:t>Conclusion</w:t>
            </w:r>
            <w:r>
              <w:rPr>
                <w:noProof/>
                <w:webHidden/>
              </w:rPr>
              <w:tab/>
            </w:r>
            <w:r>
              <w:rPr>
                <w:noProof/>
                <w:webHidden/>
              </w:rPr>
              <w:fldChar w:fldCharType="begin"/>
            </w:r>
            <w:r>
              <w:rPr>
                <w:noProof/>
                <w:webHidden/>
              </w:rPr>
              <w:instrText xml:space="preserve"> PAGEREF _Toc219911385 \h </w:instrText>
            </w:r>
            <w:r>
              <w:rPr>
                <w:noProof/>
                <w:webHidden/>
              </w:rPr>
            </w:r>
            <w:r>
              <w:rPr>
                <w:noProof/>
                <w:webHidden/>
              </w:rPr>
              <w:fldChar w:fldCharType="separate"/>
            </w:r>
            <w:r>
              <w:rPr>
                <w:noProof/>
                <w:webHidden/>
              </w:rPr>
              <w:t>13</w:t>
            </w:r>
            <w:r>
              <w:rPr>
                <w:noProof/>
                <w:webHidden/>
              </w:rPr>
              <w:fldChar w:fldCharType="end"/>
            </w:r>
          </w:hyperlink>
        </w:p>
        <w:p w14:paraId="21FFD84F" w14:textId="6E1917B2" w:rsidR="0036766E" w:rsidRDefault="0036766E">
          <w:pPr>
            <w:pStyle w:val="TOC1"/>
            <w:tabs>
              <w:tab w:val="right" w:leader="dot" w:pos="9016"/>
            </w:tabs>
            <w:rPr>
              <w:rFonts w:asciiTheme="minorHAnsi" w:eastAsiaTheme="minorEastAsia" w:hAnsiTheme="minorHAnsi"/>
              <w:noProof/>
              <w:sz w:val="24"/>
              <w:szCs w:val="21"/>
              <w:lang w:eastAsia="en-GB" w:bidi="hi-IN"/>
            </w:rPr>
          </w:pPr>
          <w:hyperlink w:anchor="_Toc219911386" w:history="1">
            <w:r w:rsidRPr="00DD4E0D">
              <w:rPr>
                <w:rStyle w:val="Hyperlink"/>
                <w:noProof/>
              </w:rPr>
              <w:t>Reference List</w:t>
            </w:r>
            <w:r>
              <w:rPr>
                <w:noProof/>
                <w:webHidden/>
              </w:rPr>
              <w:tab/>
            </w:r>
            <w:r>
              <w:rPr>
                <w:noProof/>
                <w:webHidden/>
              </w:rPr>
              <w:fldChar w:fldCharType="begin"/>
            </w:r>
            <w:r>
              <w:rPr>
                <w:noProof/>
                <w:webHidden/>
              </w:rPr>
              <w:instrText xml:space="preserve"> PAGEREF _Toc219911386 \h </w:instrText>
            </w:r>
            <w:r>
              <w:rPr>
                <w:noProof/>
                <w:webHidden/>
              </w:rPr>
            </w:r>
            <w:r>
              <w:rPr>
                <w:noProof/>
                <w:webHidden/>
              </w:rPr>
              <w:fldChar w:fldCharType="separate"/>
            </w:r>
            <w:r>
              <w:rPr>
                <w:noProof/>
                <w:webHidden/>
              </w:rPr>
              <w:t>14</w:t>
            </w:r>
            <w:r>
              <w:rPr>
                <w:noProof/>
                <w:webHidden/>
              </w:rPr>
              <w:fldChar w:fldCharType="end"/>
            </w:r>
          </w:hyperlink>
        </w:p>
        <w:p w14:paraId="5D3F323C" w14:textId="6F1A2337" w:rsidR="00AD2127" w:rsidRPr="00AD2127" w:rsidRDefault="00AD2127">
          <w:r w:rsidRPr="00AD2127">
            <w:rPr>
              <w:b/>
              <w:bCs/>
              <w:noProof/>
            </w:rPr>
            <w:fldChar w:fldCharType="end"/>
          </w:r>
        </w:p>
      </w:sdtContent>
    </w:sdt>
    <w:p w14:paraId="268DEB25" w14:textId="2D82C22F" w:rsidR="00AD2127" w:rsidRPr="00AD2127" w:rsidRDefault="00AD2127" w:rsidP="00AD2127">
      <w:pPr>
        <w:spacing w:line="259" w:lineRule="auto"/>
        <w:jc w:val="left"/>
      </w:pPr>
      <w:r w:rsidRPr="00AD2127">
        <w:br w:type="page"/>
      </w:r>
    </w:p>
    <w:p w14:paraId="54EE59F5" w14:textId="02F17386" w:rsidR="009F2D30" w:rsidRPr="00AD2127" w:rsidRDefault="00665FC4" w:rsidP="00665FC4">
      <w:pPr>
        <w:pStyle w:val="Heading1"/>
      </w:pPr>
      <w:bookmarkStart w:id="1" w:name="_Toc219911368"/>
      <w:r w:rsidRPr="00AD2127">
        <w:lastRenderedPageBreak/>
        <w:t>Introduction</w:t>
      </w:r>
      <w:bookmarkEnd w:id="1"/>
    </w:p>
    <w:p w14:paraId="6BDBA315" w14:textId="665027CB" w:rsidR="002D25CD" w:rsidRPr="00AD2127" w:rsidRDefault="00945AAC" w:rsidP="00665FC4">
      <w:r w:rsidRPr="00AD2127">
        <w:t>Innocent Drinks is a company engaged in producing juices, smoothies, shakes, and plant-based drinks for its customers</w:t>
      </w:r>
      <w:r w:rsidR="00DD624A" w:rsidRPr="00AD2127">
        <w:t xml:space="preserve"> (Innocent Drinks, 2022)</w:t>
      </w:r>
      <w:r w:rsidRPr="00AD2127">
        <w:t xml:space="preserve">. The company </w:t>
      </w:r>
      <w:proofErr w:type="gramStart"/>
      <w:r w:rsidRPr="00AD2127">
        <w:t>is located in</w:t>
      </w:r>
      <w:proofErr w:type="gramEnd"/>
      <w:r w:rsidRPr="00AD2127">
        <w:t xml:space="preserve"> the UK and is considered one of the leading healthy drinks firms </w:t>
      </w:r>
      <w:r w:rsidR="002D25CD" w:rsidRPr="00AD2127">
        <w:t>in</w:t>
      </w:r>
      <w:r w:rsidRPr="00AD2127">
        <w:t xml:space="preserve"> the region. </w:t>
      </w:r>
      <w:r w:rsidR="002D25CD" w:rsidRPr="00AD2127">
        <w:t>The organisation was founded in 1999 to produce drinks using natural products. Over the years, Innocent Drinks has fulfilled its purpose of maintaining a friendly brand equity among consumers. The mission of the firm is to “make delicious, natural food and drinks that help people to live well”. This shows that the organisation delegates emphasis on quality, health, and well-being of the consumers rather than only concerning for short-term profits. The vision of the company is to “leave things better than we found them”. This means that the firm not only focused on customer health, but also on environmental sustainability, preservation, and fulfilling social responsibilities.</w:t>
      </w:r>
      <w:r w:rsidR="00E85C56" w:rsidRPr="00AD2127">
        <w:t xml:space="preserve"> The company also emphasises ethical values. </w:t>
      </w:r>
      <w:r w:rsidR="00502367" w:rsidRPr="00AD2127">
        <w:t>The company is certified as a B Corporation and hence, meets standards of environmental and social performance</w:t>
      </w:r>
      <w:r w:rsidR="00FF356B" w:rsidRPr="00AD2127">
        <w:t xml:space="preserve"> (Innocent Drinks, 2026)</w:t>
      </w:r>
      <w:r w:rsidR="00502367" w:rsidRPr="00AD2127">
        <w:t>. Also, the company aims to reduce its carbon footprint, maintain transparency, and attain accountability for its actions. Responsible sourcing, recycling, and providing donations to charities are part of the social initiatives of the firm. Considering all these aspects, it can be stated that Innocent Drinks is a mission-driven company that combines its financial success with ethical values. The following sections will analyse the market, growth options, strategies, and stakeholder analysis of the firm. Additionally, a new approach would be provided to the entity to help it overcome its challenges, along with a concrete implementation plan.</w:t>
      </w:r>
    </w:p>
    <w:p w14:paraId="7683067A" w14:textId="536AA7A4" w:rsidR="00665FC4" w:rsidRPr="00AD2127" w:rsidRDefault="00665FC4" w:rsidP="00665FC4">
      <w:pPr>
        <w:pStyle w:val="Heading1"/>
      </w:pPr>
      <w:bookmarkStart w:id="2" w:name="_Toc219911369"/>
      <w:r w:rsidRPr="00AD2127">
        <w:t>Evaluation of the Current Market Situation</w:t>
      </w:r>
      <w:bookmarkEnd w:id="2"/>
    </w:p>
    <w:p w14:paraId="5CC16FA5" w14:textId="6F1E8626" w:rsidR="007E1D96" w:rsidRPr="00AD2127" w:rsidRDefault="007E1D96" w:rsidP="007E1D96">
      <w:pPr>
        <w:pStyle w:val="Heading2"/>
      </w:pPr>
      <w:bookmarkStart w:id="3" w:name="_Toc219911370"/>
      <w:r w:rsidRPr="00AD2127">
        <w:t>PESTEL Analysis</w:t>
      </w:r>
      <w:bookmarkEnd w:id="3"/>
    </w:p>
    <w:p w14:paraId="4170CD45" w14:textId="56F1212B" w:rsidR="00A975F2" w:rsidRPr="00862DFA" w:rsidRDefault="00A975F2" w:rsidP="00862DFA">
      <w:r w:rsidRPr="00AD2127">
        <w:t xml:space="preserve">This tool evaluates the </w:t>
      </w:r>
      <w:r w:rsidR="002B488D" w:rsidRPr="00AD2127">
        <w:t>macro-environmental</w:t>
      </w:r>
      <w:r w:rsidRPr="00AD2127">
        <w:t xml:space="preserve"> forces affecting an organisation in a particular market</w:t>
      </w:r>
      <w:r w:rsidR="007077AF" w:rsidRPr="00AD2127">
        <w:t xml:space="preserve"> (</w:t>
      </w:r>
      <w:proofErr w:type="spellStart"/>
      <w:r w:rsidR="007077AF" w:rsidRPr="00AD2127">
        <w:t>Ulubeyli</w:t>
      </w:r>
      <w:proofErr w:type="spellEnd"/>
      <w:r w:rsidR="007077AF" w:rsidRPr="00AD2127">
        <w:t xml:space="preserve"> et al., 2019)</w:t>
      </w:r>
      <w:r w:rsidRPr="00AD2127">
        <w:t>. Based on the PESTEL analysis, the forces creating opportunities or challenges for the firm are:</w:t>
      </w:r>
    </w:p>
    <w:tbl>
      <w:tblPr>
        <w:tblStyle w:val="TableGrid"/>
        <w:tblW w:w="0" w:type="auto"/>
        <w:tblLook w:val="04A0" w:firstRow="1" w:lastRow="0" w:firstColumn="1" w:lastColumn="0" w:noHBand="0" w:noVBand="1"/>
      </w:tblPr>
      <w:tblGrid>
        <w:gridCol w:w="2405"/>
        <w:gridCol w:w="6611"/>
      </w:tblGrid>
      <w:tr w:rsidR="00425AEB" w:rsidRPr="00AD2127" w14:paraId="5A4110E4" w14:textId="77777777" w:rsidTr="00FA14C7">
        <w:tc>
          <w:tcPr>
            <w:tcW w:w="2405" w:type="dxa"/>
          </w:tcPr>
          <w:p w14:paraId="7E839E5E" w14:textId="6E3A9933" w:rsidR="00425AEB" w:rsidRPr="00AD2127" w:rsidRDefault="00FA14C7" w:rsidP="007E1D96">
            <w:r w:rsidRPr="00AD2127">
              <w:t>Political Factors</w:t>
            </w:r>
          </w:p>
        </w:tc>
        <w:tc>
          <w:tcPr>
            <w:tcW w:w="6611" w:type="dxa"/>
          </w:tcPr>
          <w:p w14:paraId="1A5F6F64" w14:textId="54FC562A" w:rsidR="00425AEB" w:rsidRPr="00AD2127" w:rsidRDefault="00A24882" w:rsidP="007E1D96">
            <w:r w:rsidRPr="00AD2127">
              <w:t xml:space="preserve">The environmental and food safety laws are increasing in the UK. Governments are implementing measures to reduce emissions and plastic waste. Sugar tax in the UK is charged at </w:t>
            </w:r>
            <w:r w:rsidRPr="00AD2127">
              <w:rPr>
                <w:rFonts w:cs="Arial"/>
              </w:rPr>
              <w:t>£</w:t>
            </w:r>
            <w:r w:rsidR="00013895" w:rsidRPr="00AD2127">
              <w:rPr>
                <w:rFonts w:cs="Arial"/>
              </w:rPr>
              <w:t>280 per ton, and hence, it benefits Innocent Drinks as it focuses on low-processed and natural items</w:t>
            </w:r>
            <w:r w:rsidR="00EC089C" w:rsidRPr="00AD2127">
              <w:rPr>
                <w:rFonts w:cs="Arial"/>
              </w:rPr>
              <w:t xml:space="preserve"> (Government of the UK, 2025)</w:t>
            </w:r>
            <w:r w:rsidR="00013895" w:rsidRPr="00AD2127">
              <w:rPr>
                <w:rFonts w:cs="Arial"/>
              </w:rPr>
              <w:t>. However, in the post-Brexit scenario, trading is costly</w:t>
            </w:r>
            <w:r w:rsidR="00EC089C" w:rsidRPr="00AD2127">
              <w:rPr>
                <w:rFonts w:cs="Arial"/>
              </w:rPr>
              <w:t>,</w:t>
            </w:r>
            <w:r w:rsidR="00013895" w:rsidRPr="00AD2127">
              <w:rPr>
                <w:rFonts w:cs="Arial"/>
              </w:rPr>
              <w:t xml:space="preserve"> and it affects the pricing model of the company</w:t>
            </w:r>
            <w:r w:rsidR="00EC089C" w:rsidRPr="00AD2127">
              <w:rPr>
                <w:rFonts w:cs="Arial"/>
              </w:rPr>
              <w:t>.</w:t>
            </w:r>
          </w:p>
        </w:tc>
      </w:tr>
      <w:tr w:rsidR="00425AEB" w:rsidRPr="00AD2127" w14:paraId="47781FBE" w14:textId="77777777" w:rsidTr="00FA14C7">
        <w:tc>
          <w:tcPr>
            <w:tcW w:w="2405" w:type="dxa"/>
          </w:tcPr>
          <w:p w14:paraId="0D31D233" w14:textId="1435C495" w:rsidR="00425AEB" w:rsidRPr="00AD2127" w:rsidRDefault="00FA14C7" w:rsidP="007E1D96">
            <w:r w:rsidRPr="00AD2127">
              <w:lastRenderedPageBreak/>
              <w:t>Economic Factors</w:t>
            </w:r>
          </w:p>
        </w:tc>
        <w:tc>
          <w:tcPr>
            <w:tcW w:w="6611" w:type="dxa"/>
          </w:tcPr>
          <w:p w14:paraId="4B599A0F" w14:textId="3319B4B9" w:rsidR="00425AEB" w:rsidRPr="00AD2127" w:rsidRDefault="00355079" w:rsidP="007E1D96">
            <w:r w:rsidRPr="00AD2127">
              <w:t>The GDP of the UK has grown marginally by 0.1% in 2025</w:t>
            </w:r>
            <w:r w:rsidR="00233BC6" w:rsidRPr="00AD2127">
              <w:t xml:space="preserve"> (ONS, 2025)</w:t>
            </w:r>
            <w:r w:rsidRPr="00AD2127">
              <w:t>. This means that even with the emphasis on inflation, the disposable income of the customers would increase. This would lead to the individuals choosing plant-based drinks from supermarkets rather than cheaper alternatives. Hence, consistent growth of the economy can help Innocent Drinks improve its financial health.</w:t>
            </w:r>
          </w:p>
        </w:tc>
      </w:tr>
      <w:tr w:rsidR="00425AEB" w:rsidRPr="00AD2127" w14:paraId="4EB6CB66" w14:textId="77777777" w:rsidTr="00FA14C7">
        <w:tc>
          <w:tcPr>
            <w:tcW w:w="2405" w:type="dxa"/>
          </w:tcPr>
          <w:p w14:paraId="6666A43F" w14:textId="46255164" w:rsidR="00425AEB" w:rsidRPr="00AD2127" w:rsidRDefault="00FA14C7" w:rsidP="007E1D96">
            <w:r w:rsidRPr="00AD2127">
              <w:t>Social Factors</w:t>
            </w:r>
          </w:p>
        </w:tc>
        <w:tc>
          <w:tcPr>
            <w:tcW w:w="6611" w:type="dxa"/>
          </w:tcPr>
          <w:p w14:paraId="0AB7F821" w14:textId="316568D1" w:rsidR="00425AEB" w:rsidRPr="00AD2127" w:rsidRDefault="00971BB9" w:rsidP="007E1D96">
            <w:r w:rsidRPr="00AD2127">
              <w:t>There is an increasing awareness regarding sustainability, nutrition, and health in the UK market. Health-conscious consumers prefer natural products with clear labels that fulfil the promise of the brand. Trends like ethical consumption and veganism are increasing the demand for plant-based products</w:t>
            </w:r>
            <w:r w:rsidR="0060468F" w:rsidRPr="00AD2127">
              <w:t xml:space="preserve"> (Chaugule, 2023)</w:t>
            </w:r>
            <w:r w:rsidRPr="00AD2127">
              <w:t xml:space="preserve">. Therefore, Innocent Drinks can use </w:t>
            </w:r>
            <w:r w:rsidR="00D64D77" w:rsidRPr="00AD2127">
              <w:t>its</w:t>
            </w:r>
            <w:r w:rsidRPr="00AD2127">
              <w:t xml:space="preserve"> USP to drive attention from health-conscious customers. </w:t>
            </w:r>
          </w:p>
        </w:tc>
      </w:tr>
      <w:tr w:rsidR="00425AEB" w:rsidRPr="00AD2127" w14:paraId="464B2CA4" w14:textId="77777777" w:rsidTr="00FA14C7">
        <w:tc>
          <w:tcPr>
            <w:tcW w:w="2405" w:type="dxa"/>
          </w:tcPr>
          <w:p w14:paraId="55A5F7D9" w14:textId="4A7E29F3" w:rsidR="00425AEB" w:rsidRPr="00AD2127" w:rsidRDefault="00FA14C7" w:rsidP="007E1D96">
            <w:r w:rsidRPr="00AD2127">
              <w:t>Technological Factors</w:t>
            </w:r>
          </w:p>
        </w:tc>
        <w:tc>
          <w:tcPr>
            <w:tcW w:w="6611" w:type="dxa"/>
          </w:tcPr>
          <w:p w14:paraId="5B2219F8" w14:textId="7A4F24F1" w:rsidR="00425AEB" w:rsidRPr="00AD2127" w:rsidRDefault="00D3578D" w:rsidP="007E1D96">
            <w:r w:rsidRPr="00AD2127">
              <w:t>Advancements in food processing technology in the UK are common. Moreover, social media penetration has increased to 52.7 million as of 2024</w:t>
            </w:r>
            <w:r w:rsidR="00DF523D" w:rsidRPr="00AD2127">
              <w:t xml:space="preserve"> (Slotta, 2025)</w:t>
            </w:r>
            <w:r w:rsidRPr="00AD2127">
              <w:t xml:space="preserve">. Hence, it is suitable for Innocent Drinks to promote its products over social media sites like Facebook and Instagram. </w:t>
            </w:r>
            <w:r w:rsidR="004472DF" w:rsidRPr="00AD2127">
              <w:t>Also, acquiring technology to process the health drinks would be fruitful for the entity.</w:t>
            </w:r>
          </w:p>
        </w:tc>
      </w:tr>
      <w:tr w:rsidR="00425AEB" w:rsidRPr="00AD2127" w14:paraId="0582D599" w14:textId="77777777" w:rsidTr="00FA14C7">
        <w:tc>
          <w:tcPr>
            <w:tcW w:w="2405" w:type="dxa"/>
          </w:tcPr>
          <w:p w14:paraId="4CFC587C" w14:textId="3B125B8C" w:rsidR="00425AEB" w:rsidRPr="00AD2127" w:rsidRDefault="00FA14C7" w:rsidP="007E1D96">
            <w:r w:rsidRPr="00AD2127">
              <w:t>Environmental Factors</w:t>
            </w:r>
          </w:p>
        </w:tc>
        <w:tc>
          <w:tcPr>
            <w:tcW w:w="6611" w:type="dxa"/>
          </w:tcPr>
          <w:p w14:paraId="07DB5CC6" w14:textId="771CDD06" w:rsidR="00425AEB" w:rsidRPr="00AD2127" w:rsidRDefault="00264E3E" w:rsidP="007E1D96">
            <w:r w:rsidRPr="00AD2127">
              <w:t>Sustainability is in demand from organisations in the UK. The government supports firms that invest in renewable energy, green packaging, and maintain its sustainability standards. The ethical governance of Innocent Drinks shows that it adheres to the sustainability needs. This is because climate change can affect harvests and increase the prices of fruits, which can ultimately create a negative effect on the supply chain of the entity</w:t>
            </w:r>
            <w:r w:rsidR="00F92D2D" w:rsidRPr="00AD2127">
              <w:t xml:space="preserve"> (Haokip, Shankar &amp; </w:t>
            </w:r>
            <w:proofErr w:type="spellStart"/>
            <w:r w:rsidR="00F92D2D" w:rsidRPr="00AD2127">
              <w:t>Lalrinngheta</w:t>
            </w:r>
            <w:proofErr w:type="spellEnd"/>
            <w:r w:rsidR="00F92D2D" w:rsidRPr="00AD2127">
              <w:t>, 2020)</w:t>
            </w:r>
            <w:r w:rsidRPr="00AD2127">
              <w:t>.</w:t>
            </w:r>
          </w:p>
        </w:tc>
      </w:tr>
      <w:tr w:rsidR="00425AEB" w:rsidRPr="00AD2127" w14:paraId="67E71035" w14:textId="77777777" w:rsidTr="00FA14C7">
        <w:tc>
          <w:tcPr>
            <w:tcW w:w="2405" w:type="dxa"/>
          </w:tcPr>
          <w:p w14:paraId="074914DE" w14:textId="57C29A29" w:rsidR="00425AEB" w:rsidRPr="00AD2127" w:rsidRDefault="00FA14C7" w:rsidP="007E1D96">
            <w:r w:rsidRPr="00AD2127">
              <w:t>Legal Factors</w:t>
            </w:r>
          </w:p>
        </w:tc>
        <w:tc>
          <w:tcPr>
            <w:tcW w:w="6611" w:type="dxa"/>
          </w:tcPr>
          <w:p w14:paraId="19B24AAA" w14:textId="390DB65F" w:rsidR="00425AEB" w:rsidRPr="00AD2127" w:rsidRDefault="00117EEE" w:rsidP="00862DFA">
            <w:pPr>
              <w:keepNext/>
            </w:pPr>
            <w:r w:rsidRPr="00AD2127">
              <w:t>Innocent Drinks adheres to several legal regulations existing in the food industry of the UK, like health claim regulations, food labelling laws, intellectual property laws, and food safety laws.</w:t>
            </w:r>
          </w:p>
        </w:tc>
      </w:tr>
    </w:tbl>
    <w:p w14:paraId="25E693DB" w14:textId="1F7AD98D" w:rsidR="00425AEB" w:rsidRPr="00862DFA" w:rsidRDefault="00862DFA" w:rsidP="00862DFA">
      <w:pPr>
        <w:jc w:val="center"/>
        <w:rPr>
          <w:b/>
          <w:bCs/>
        </w:rPr>
      </w:pPr>
      <w:r w:rsidRPr="00862DFA">
        <w:rPr>
          <w:b/>
          <w:bCs/>
        </w:rPr>
        <w:t xml:space="preserve">Table </w:t>
      </w:r>
      <w:r w:rsidRPr="00862DFA">
        <w:rPr>
          <w:b/>
          <w:bCs/>
        </w:rPr>
        <w:fldChar w:fldCharType="begin"/>
      </w:r>
      <w:r w:rsidRPr="00862DFA">
        <w:rPr>
          <w:b/>
          <w:bCs/>
        </w:rPr>
        <w:instrText xml:space="preserve"> SEQ Table \* ARABIC </w:instrText>
      </w:r>
      <w:r w:rsidRPr="00862DFA">
        <w:rPr>
          <w:b/>
          <w:bCs/>
        </w:rPr>
        <w:fldChar w:fldCharType="separate"/>
      </w:r>
      <w:r>
        <w:rPr>
          <w:b/>
          <w:bCs/>
          <w:noProof/>
        </w:rPr>
        <w:t>1</w:t>
      </w:r>
      <w:r w:rsidRPr="00862DFA">
        <w:rPr>
          <w:b/>
          <w:bCs/>
        </w:rPr>
        <w:fldChar w:fldCharType="end"/>
      </w:r>
      <w:r w:rsidRPr="00862DFA">
        <w:rPr>
          <w:b/>
          <w:bCs/>
        </w:rPr>
        <w:t>: PESTEL Analysis</w:t>
      </w:r>
    </w:p>
    <w:p w14:paraId="76B93A9C" w14:textId="0FAB805F" w:rsidR="007E1D96" w:rsidRPr="00AD2127" w:rsidRDefault="007E1D96" w:rsidP="007E1D96">
      <w:pPr>
        <w:pStyle w:val="Heading2"/>
      </w:pPr>
      <w:bookmarkStart w:id="4" w:name="_Toc219911371"/>
      <w:r w:rsidRPr="00AD2127">
        <w:t>Porter’s Five Forces Analysis</w:t>
      </w:r>
      <w:bookmarkEnd w:id="4"/>
    </w:p>
    <w:p w14:paraId="6E9328AC" w14:textId="3FA5E332" w:rsidR="00853CB3" w:rsidRPr="00862DFA" w:rsidRDefault="00853CB3" w:rsidP="00862DFA">
      <w:r w:rsidRPr="00AD2127">
        <w:t xml:space="preserve">This tool helps </w:t>
      </w:r>
      <w:r w:rsidR="004B2ACF" w:rsidRPr="00AD2127">
        <w:t>identify</w:t>
      </w:r>
      <w:r w:rsidRPr="00AD2127">
        <w:t xml:space="preserve"> competition affecting a firm in the industry</w:t>
      </w:r>
      <w:r w:rsidR="00526079" w:rsidRPr="00AD2127">
        <w:t xml:space="preserve"> (Isabelle et al., 2020)</w:t>
      </w:r>
      <w:r w:rsidRPr="00AD2127">
        <w:t>. The diverse competitive forces affecting Innocent Drinks are:</w:t>
      </w:r>
    </w:p>
    <w:tbl>
      <w:tblPr>
        <w:tblStyle w:val="TableGrid"/>
        <w:tblW w:w="0" w:type="auto"/>
        <w:tblLook w:val="04A0" w:firstRow="1" w:lastRow="0" w:firstColumn="1" w:lastColumn="0" w:noHBand="0" w:noVBand="1"/>
      </w:tblPr>
      <w:tblGrid>
        <w:gridCol w:w="1928"/>
        <w:gridCol w:w="1146"/>
        <w:gridCol w:w="5942"/>
      </w:tblGrid>
      <w:tr w:rsidR="00FE5B74" w:rsidRPr="00AD2127" w14:paraId="02D77A76" w14:textId="33374869" w:rsidTr="00FE5B74">
        <w:tc>
          <w:tcPr>
            <w:tcW w:w="1962" w:type="dxa"/>
          </w:tcPr>
          <w:p w14:paraId="6FB4C2D4" w14:textId="02F804BF" w:rsidR="00FE5B74" w:rsidRPr="00AD2127" w:rsidRDefault="00FE5B74" w:rsidP="00221491">
            <w:r w:rsidRPr="00AD2127">
              <w:lastRenderedPageBreak/>
              <w:t>Threat of New Entrants</w:t>
            </w:r>
          </w:p>
        </w:tc>
        <w:tc>
          <w:tcPr>
            <w:tcW w:w="868" w:type="dxa"/>
          </w:tcPr>
          <w:p w14:paraId="04A32BE4" w14:textId="3274F2F2" w:rsidR="00FE5B74" w:rsidRPr="00AD2127" w:rsidRDefault="006D4E21" w:rsidP="00221491">
            <w:r w:rsidRPr="00AD2127">
              <w:t>Moderate</w:t>
            </w:r>
          </w:p>
        </w:tc>
        <w:tc>
          <w:tcPr>
            <w:tcW w:w="6186" w:type="dxa"/>
          </w:tcPr>
          <w:p w14:paraId="6AE1B1FE" w14:textId="78A4FA74" w:rsidR="00FE5B74" w:rsidRPr="00AD2127" w:rsidRDefault="006D4E21" w:rsidP="00221491">
            <w:r w:rsidRPr="00AD2127">
              <w:t>The healthy drinks sector in the UK is growing and can attract several start-ups. However, the brand equity and extensive distribution channel of Innocent Drinks would make it difficult for small-scale firms to compete.</w:t>
            </w:r>
          </w:p>
        </w:tc>
      </w:tr>
      <w:tr w:rsidR="00FE5B74" w:rsidRPr="00AD2127" w14:paraId="303DCD6C" w14:textId="6F7652E9" w:rsidTr="00FE5B74">
        <w:tc>
          <w:tcPr>
            <w:tcW w:w="1962" w:type="dxa"/>
          </w:tcPr>
          <w:p w14:paraId="1F81AFED" w14:textId="4FAE13C5" w:rsidR="00FE5B74" w:rsidRPr="00AD2127" w:rsidRDefault="00FE5B74" w:rsidP="00221491">
            <w:r w:rsidRPr="00AD2127">
              <w:t>Buyer Power</w:t>
            </w:r>
          </w:p>
        </w:tc>
        <w:tc>
          <w:tcPr>
            <w:tcW w:w="868" w:type="dxa"/>
          </w:tcPr>
          <w:p w14:paraId="4D46CD46" w14:textId="51591A7D" w:rsidR="00FE5B74" w:rsidRPr="00AD2127" w:rsidRDefault="006D4E21" w:rsidP="00221491">
            <w:r w:rsidRPr="00AD2127">
              <w:t>High</w:t>
            </w:r>
          </w:p>
        </w:tc>
        <w:tc>
          <w:tcPr>
            <w:tcW w:w="6186" w:type="dxa"/>
          </w:tcPr>
          <w:p w14:paraId="29579561" w14:textId="2A8BD2FD" w:rsidR="00FE5B74" w:rsidRPr="00AD2127" w:rsidRDefault="00F06F11" w:rsidP="00221491">
            <w:r w:rsidRPr="00AD2127">
              <w:t>The product quality of Innocent Drinks is dependent on its ethical sourcing. Climate change can affect fruit harvests and their supply, thereby increasing costs. Moreover, ethical sourcing involves identifying and developing suitable relations with a handful of suppliers, which increases dependency.</w:t>
            </w:r>
          </w:p>
        </w:tc>
      </w:tr>
      <w:tr w:rsidR="00FE5B74" w:rsidRPr="00AD2127" w14:paraId="79A34D3D" w14:textId="200A70E6" w:rsidTr="00FE5B74">
        <w:tc>
          <w:tcPr>
            <w:tcW w:w="1962" w:type="dxa"/>
          </w:tcPr>
          <w:p w14:paraId="4DFE7DA7" w14:textId="537B68CB" w:rsidR="00FE5B74" w:rsidRPr="00AD2127" w:rsidRDefault="00FE5B74" w:rsidP="00221491">
            <w:r w:rsidRPr="00AD2127">
              <w:t>Supplier Power</w:t>
            </w:r>
          </w:p>
        </w:tc>
        <w:tc>
          <w:tcPr>
            <w:tcW w:w="868" w:type="dxa"/>
          </w:tcPr>
          <w:p w14:paraId="37274C35" w14:textId="683F3E60" w:rsidR="00FE5B74" w:rsidRPr="00AD2127" w:rsidRDefault="00623B5F" w:rsidP="00221491">
            <w:r w:rsidRPr="00AD2127">
              <w:t>High</w:t>
            </w:r>
          </w:p>
        </w:tc>
        <w:tc>
          <w:tcPr>
            <w:tcW w:w="6186" w:type="dxa"/>
          </w:tcPr>
          <w:p w14:paraId="4B99E60B" w14:textId="24E0B1D4" w:rsidR="00FE5B74" w:rsidRPr="00AD2127" w:rsidRDefault="00623B5F" w:rsidP="00221491">
            <w:r w:rsidRPr="00AD2127">
              <w:t xml:space="preserve">Customers have several options in the health drinks industry. Low switching costs can affect the loyalty of the customers. Hence, constant promotion, price adjustment, quality maintenance, and ensuring customer satisfaction </w:t>
            </w:r>
            <w:r w:rsidR="00D11272" w:rsidRPr="00AD2127">
              <w:t>are</w:t>
            </w:r>
            <w:r w:rsidRPr="00AD2127">
              <w:t xml:space="preserve"> essential for Innocent Drinks.</w:t>
            </w:r>
          </w:p>
        </w:tc>
      </w:tr>
      <w:tr w:rsidR="00FE5B74" w:rsidRPr="00AD2127" w14:paraId="05DBC8FD" w14:textId="6A1B2091" w:rsidTr="00FE5B74">
        <w:tc>
          <w:tcPr>
            <w:tcW w:w="1962" w:type="dxa"/>
          </w:tcPr>
          <w:p w14:paraId="08D72203" w14:textId="719DEE32" w:rsidR="00FE5B74" w:rsidRPr="00AD2127" w:rsidRDefault="00FE5B74" w:rsidP="00221491">
            <w:r w:rsidRPr="00AD2127">
              <w:t>Threat of Substitutes</w:t>
            </w:r>
          </w:p>
        </w:tc>
        <w:tc>
          <w:tcPr>
            <w:tcW w:w="868" w:type="dxa"/>
          </w:tcPr>
          <w:p w14:paraId="40408284" w14:textId="6B2BAEB3" w:rsidR="00FE5B74" w:rsidRPr="00AD2127" w:rsidRDefault="00962882" w:rsidP="00221491">
            <w:r w:rsidRPr="00AD2127">
              <w:t>High</w:t>
            </w:r>
          </w:p>
        </w:tc>
        <w:tc>
          <w:tcPr>
            <w:tcW w:w="6186" w:type="dxa"/>
          </w:tcPr>
          <w:p w14:paraId="2DBD3C16" w14:textId="55A766FB" w:rsidR="00FE5B74" w:rsidRPr="00AD2127" w:rsidRDefault="00D11272" w:rsidP="00221491">
            <w:r w:rsidRPr="00AD2127">
              <w:t>Substitute products like soft drinks, smoothies, water, and fresh fruits are extensively available across the UK. Many of these products are cheaper, allowing consumers to choose them.</w:t>
            </w:r>
          </w:p>
        </w:tc>
      </w:tr>
      <w:tr w:rsidR="00FE5B74" w:rsidRPr="00AD2127" w14:paraId="27AD7BAC" w14:textId="4FB6D090" w:rsidTr="00FE5B74">
        <w:tc>
          <w:tcPr>
            <w:tcW w:w="1962" w:type="dxa"/>
          </w:tcPr>
          <w:p w14:paraId="5BBA4CE1" w14:textId="1BAA277A" w:rsidR="00FE5B74" w:rsidRPr="00AD2127" w:rsidRDefault="00FE5B74" w:rsidP="00221491">
            <w:r w:rsidRPr="00AD2127">
              <w:t>Intra-firm Rivalry</w:t>
            </w:r>
          </w:p>
        </w:tc>
        <w:tc>
          <w:tcPr>
            <w:tcW w:w="868" w:type="dxa"/>
          </w:tcPr>
          <w:p w14:paraId="15242BB5" w14:textId="2C7D9ACE" w:rsidR="00FE5B74" w:rsidRPr="00AD2127" w:rsidRDefault="00962882" w:rsidP="00221491">
            <w:r w:rsidRPr="00AD2127">
              <w:t>High</w:t>
            </w:r>
          </w:p>
        </w:tc>
        <w:tc>
          <w:tcPr>
            <w:tcW w:w="6186" w:type="dxa"/>
          </w:tcPr>
          <w:p w14:paraId="336C0379" w14:textId="7F2F4537" w:rsidR="00FE5B74" w:rsidRPr="00AD2127" w:rsidRDefault="00E45AEA" w:rsidP="00862DFA">
            <w:pPr>
              <w:keepNext/>
            </w:pPr>
            <w:r w:rsidRPr="00AD2127">
              <w:t xml:space="preserve">Rivalry between firms selling healthy drinks is high in the UK. Companies like Tropicana, </w:t>
            </w:r>
            <w:r w:rsidR="005172FB" w:rsidRPr="00AD2127">
              <w:t>Nestle</w:t>
            </w:r>
            <w:r w:rsidRPr="00AD2127">
              <w:t xml:space="preserve">, Plenish, etc. compete with Innocent Drinks for a superior market position. </w:t>
            </w:r>
          </w:p>
        </w:tc>
      </w:tr>
    </w:tbl>
    <w:p w14:paraId="39EE349C" w14:textId="3D22DA7A" w:rsidR="004B2ACF" w:rsidRPr="00862DFA" w:rsidRDefault="00862DFA" w:rsidP="00862DFA">
      <w:pPr>
        <w:jc w:val="center"/>
        <w:rPr>
          <w:b/>
          <w:bCs/>
        </w:rPr>
      </w:pPr>
      <w:r w:rsidRPr="00862DFA">
        <w:rPr>
          <w:b/>
          <w:bCs/>
        </w:rPr>
        <w:t xml:space="preserve">Table </w:t>
      </w:r>
      <w:r w:rsidRPr="00862DFA">
        <w:rPr>
          <w:b/>
          <w:bCs/>
        </w:rPr>
        <w:fldChar w:fldCharType="begin"/>
      </w:r>
      <w:r w:rsidRPr="00862DFA">
        <w:rPr>
          <w:b/>
          <w:bCs/>
        </w:rPr>
        <w:instrText xml:space="preserve"> SEQ Table \* ARABIC </w:instrText>
      </w:r>
      <w:r w:rsidRPr="00862DFA">
        <w:rPr>
          <w:b/>
          <w:bCs/>
        </w:rPr>
        <w:fldChar w:fldCharType="separate"/>
      </w:r>
      <w:r>
        <w:rPr>
          <w:b/>
          <w:bCs/>
          <w:noProof/>
        </w:rPr>
        <w:t>2</w:t>
      </w:r>
      <w:r w:rsidRPr="00862DFA">
        <w:rPr>
          <w:b/>
          <w:bCs/>
        </w:rPr>
        <w:fldChar w:fldCharType="end"/>
      </w:r>
      <w:r w:rsidRPr="00862DFA">
        <w:rPr>
          <w:b/>
          <w:bCs/>
        </w:rPr>
        <w:t>: Porter’s Five Forces</w:t>
      </w:r>
    </w:p>
    <w:p w14:paraId="1BEDA44C" w14:textId="054C3D09" w:rsidR="002C2A96" w:rsidRPr="00862DFA" w:rsidRDefault="007E1D96" w:rsidP="00862DFA">
      <w:pPr>
        <w:pStyle w:val="Heading2"/>
      </w:pPr>
      <w:bookmarkStart w:id="5" w:name="_Toc219911372"/>
      <w:r w:rsidRPr="00AD2127">
        <w:t>SWOT Analysis</w:t>
      </w:r>
      <w:bookmarkEnd w:id="5"/>
    </w:p>
    <w:tbl>
      <w:tblPr>
        <w:tblStyle w:val="TableGrid"/>
        <w:tblW w:w="0" w:type="auto"/>
        <w:tblLook w:val="04A0" w:firstRow="1" w:lastRow="0" w:firstColumn="1" w:lastColumn="0" w:noHBand="0" w:noVBand="1"/>
      </w:tblPr>
      <w:tblGrid>
        <w:gridCol w:w="4508"/>
        <w:gridCol w:w="4508"/>
      </w:tblGrid>
      <w:tr w:rsidR="002F70CE" w:rsidRPr="00AD2127" w14:paraId="4E6B21FE" w14:textId="77777777" w:rsidTr="002F70CE">
        <w:tc>
          <w:tcPr>
            <w:tcW w:w="4508" w:type="dxa"/>
          </w:tcPr>
          <w:p w14:paraId="60DAC266" w14:textId="77777777" w:rsidR="002F70CE" w:rsidRPr="00AD2127" w:rsidRDefault="00672605" w:rsidP="002C2A96">
            <w:r w:rsidRPr="00AD2127">
              <w:t>Strengths:</w:t>
            </w:r>
          </w:p>
          <w:p w14:paraId="3600D2B8" w14:textId="77777777" w:rsidR="00672605" w:rsidRPr="00AD2127" w:rsidRDefault="005172FB" w:rsidP="006C3F62">
            <w:pPr>
              <w:pStyle w:val="ListParagraph"/>
              <w:numPr>
                <w:ilvl w:val="0"/>
                <w:numId w:val="1"/>
              </w:numPr>
            </w:pPr>
            <w:r w:rsidRPr="00AD2127">
              <w:t>Strong brand equity, unique offerings, and ability to attract customers.</w:t>
            </w:r>
          </w:p>
          <w:p w14:paraId="37E3AC5B" w14:textId="77777777" w:rsidR="005172FB" w:rsidRPr="00AD2127" w:rsidRDefault="005172FB" w:rsidP="006C3F62">
            <w:pPr>
              <w:pStyle w:val="ListParagraph"/>
              <w:numPr>
                <w:ilvl w:val="0"/>
                <w:numId w:val="1"/>
              </w:numPr>
            </w:pPr>
            <w:r w:rsidRPr="00AD2127">
              <w:t>Mission of the firm aligned with ethical values and sustainability.</w:t>
            </w:r>
          </w:p>
          <w:p w14:paraId="2062882D" w14:textId="77777777" w:rsidR="005172FB" w:rsidRPr="00AD2127" w:rsidRDefault="005172FB" w:rsidP="006C3F62">
            <w:pPr>
              <w:pStyle w:val="ListParagraph"/>
              <w:numPr>
                <w:ilvl w:val="0"/>
                <w:numId w:val="1"/>
              </w:numPr>
            </w:pPr>
            <w:r w:rsidRPr="00AD2127">
              <w:t>Certified B company.</w:t>
            </w:r>
          </w:p>
          <w:p w14:paraId="4F686ADC" w14:textId="12824E0D" w:rsidR="005172FB" w:rsidRPr="00AD2127" w:rsidRDefault="005172FB" w:rsidP="006C3F62">
            <w:pPr>
              <w:pStyle w:val="ListParagraph"/>
              <w:numPr>
                <w:ilvl w:val="0"/>
                <w:numId w:val="1"/>
              </w:numPr>
            </w:pPr>
            <w:r w:rsidRPr="00AD2127">
              <w:t>Has a loyal consumer base across the UK.</w:t>
            </w:r>
          </w:p>
        </w:tc>
        <w:tc>
          <w:tcPr>
            <w:tcW w:w="4508" w:type="dxa"/>
          </w:tcPr>
          <w:p w14:paraId="350074B3" w14:textId="77777777" w:rsidR="002F70CE" w:rsidRPr="00AD2127" w:rsidRDefault="00672605" w:rsidP="002C2A96">
            <w:r w:rsidRPr="00AD2127">
              <w:t>Weaknesses:</w:t>
            </w:r>
          </w:p>
          <w:p w14:paraId="1539D70B" w14:textId="77777777" w:rsidR="00672605" w:rsidRPr="00AD2127" w:rsidRDefault="00ED2E62" w:rsidP="00161F09">
            <w:pPr>
              <w:pStyle w:val="ListParagraph"/>
              <w:numPr>
                <w:ilvl w:val="0"/>
                <w:numId w:val="2"/>
              </w:numPr>
            </w:pPr>
            <w:r w:rsidRPr="00AD2127">
              <w:t>Premium pricing affects the ability of the brand to attract customers during inflation or economic downturn.</w:t>
            </w:r>
          </w:p>
          <w:p w14:paraId="42CA6315" w14:textId="6947FEDC" w:rsidR="00ED2E62" w:rsidRPr="00AD2127" w:rsidRDefault="00ED2E62" w:rsidP="00161F09">
            <w:pPr>
              <w:pStyle w:val="ListParagraph"/>
              <w:numPr>
                <w:ilvl w:val="0"/>
                <w:numId w:val="2"/>
              </w:numPr>
            </w:pPr>
            <w:r w:rsidRPr="00AD2127">
              <w:t>Increased dependency on the global supply chain.</w:t>
            </w:r>
          </w:p>
          <w:p w14:paraId="70A420C0" w14:textId="361855C5" w:rsidR="00ED2E62" w:rsidRPr="00AD2127" w:rsidRDefault="00ED2E62" w:rsidP="00161F09">
            <w:pPr>
              <w:pStyle w:val="ListParagraph"/>
              <w:numPr>
                <w:ilvl w:val="0"/>
                <w:numId w:val="2"/>
              </w:numPr>
            </w:pPr>
            <w:r w:rsidRPr="00AD2127">
              <w:t>Focusing on sustainability measures increases the overall operational costs of the entity.</w:t>
            </w:r>
          </w:p>
          <w:p w14:paraId="73D85CC0" w14:textId="2EDB5A4C" w:rsidR="00ED2E62" w:rsidRPr="00AD2127" w:rsidRDefault="00ED2E62" w:rsidP="00161F09">
            <w:pPr>
              <w:pStyle w:val="ListParagraph"/>
              <w:numPr>
                <w:ilvl w:val="0"/>
                <w:numId w:val="2"/>
              </w:numPr>
            </w:pPr>
            <w:r w:rsidRPr="00AD2127">
              <w:t>Lack of product diversification.</w:t>
            </w:r>
          </w:p>
        </w:tc>
      </w:tr>
      <w:tr w:rsidR="002F70CE" w:rsidRPr="00AD2127" w14:paraId="5775EE1B" w14:textId="77777777" w:rsidTr="002F70CE">
        <w:tc>
          <w:tcPr>
            <w:tcW w:w="4508" w:type="dxa"/>
          </w:tcPr>
          <w:p w14:paraId="4900B342" w14:textId="77777777" w:rsidR="002F70CE" w:rsidRPr="00AD2127" w:rsidRDefault="00672605" w:rsidP="002C2A96">
            <w:r w:rsidRPr="00AD2127">
              <w:lastRenderedPageBreak/>
              <w:t>Opportunities:</w:t>
            </w:r>
          </w:p>
          <w:p w14:paraId="3CAD60D0" w14:textId="621DD5D5" w:rsidR="00672605" w:rsidRPr="00AD2127" w:rsidRDefault="00687A2D" w:rsidP="007F5768">
            <w:pPr>
              <w:pStyle w:val="ListParagraph"/>
              <w:numPr>
                <w:ilvl w:val="0"/>
                <w:numId w:val="3"/>
              </w:numPr>
            </w:pPr>
            <w:r w:rsidRPr="00AD2127">
              <w:t>The plant-based beverage industry in the UK is expected to rise at a CAGR of 7.84% between 2025</w:t>
            </w:r>
            <w:r w:rsidR="004024FB" w:rsidRPr="00AD2127">
              <w:t xml:space="preserve"> and </w:t>
            </w:r>
            <w:r w:rsidRPr="00AD2127">
              <w:t>2035</w:t>
            </w:r>
            <w:r w:rsidR="00121710" w:rsidRPr="00AD2127">
              <w:t xml:space="preserve"> (Market Research, 2025)</w:t>
            </w:r>
            <w:r w:rsidRPr="00AD2127">
              <w:t>.</w:t>
            </w:r>
          </w:p>
          <w:p w14:paraId="6B8F4E99" w14:textId="77777777" w:rsidR="00687A2D" w:rsidRPr="00AD2127" w:rsidRDefault="00687A2D" w:rsidP="007F5768">
            <w:pPr>
              <w:pStyle w:val="ListParagraph"/>
              <w:numPr>
                <w:ilvl w:val="0"/>
                <w:numId w:val="3"/>
              </w:numPr>
            </w:pPr>
            <w:r w:rsidRPr="00AD2127">
              <w:t>Innovation in functional and low-sugar products is an opportunity for the firm.</w:t>
            </w:r>
          </w:p>
          <w:p w14:paraId="7F03EB01" w14:textId="244B2016" w:rsidR="00687A2D" w:rsidRPr="00AD2127" w:rsidRDefault="00687A2D" w:rsidP="007F5768">
            <w:pPr>
              <w:pStyle w:val="ListParagraph"/>
              <w:numPr>
                <w:ilvl w:val="0"/>
                <w:numId w:val="3"/>
              </w:numPr>
            </w:pPr>
            <w:r w:rsidRPr="00AD2127">
              <w:t xml:space="preserve">Ability to expand into new markets </w:t>
            </w:r>
            <w:r w:rsidR="00987E4B" w:rsidRPr="00AD2127">
              <w:t>in</w:t>
            </w:r>
            <w:r w:rsidRPr="00AD2127">
              <w:t xml:space="preserve"> Europe.</w:t>
            </w:r>
          </w:p>
        </w:tc>
        <w:tc>
          <w:tcPr>
            <w:tcW w:w="4508" w:type="dxa"/>
          </w:tcPr>
          <w:p w14:paraId="6F8BE996" w14:textId="77777777" w:rsidR="002F70CE" w:rsidRPr="00AD2127" w:rsidRDefault="00672605" w:rsidP="002C2A96">
            <w:r w:rsidRPr="00AD2127">
              <w:t>Threats:</w:t>
            </w:r>
          </w:p>
          <w:p w14:paraId="292BC7B0" w14:textId="77777777" w:rsidR="00672605" w:rsidRPr="00AD2127" w:rsidRDefault="00A9162B" w:rsidP="004024FB">
            <w:pPr>
              <w:pStyle w:val="ListParagraph"/>
              <w:numPr>
                <w:ilvl w:val="0"/>
                <w:numId w:val="4"/>
              </w:numPr>
            </w:pPr>
            <w:r w:rsidRPr="00AD2127">
              <w:t>Rising competition.</w:t>
            </w:r>
          </w:p>
          <w:p w14:paraId="5260D2BB" w14:textId="77777777" w:rsidR="00A9162B" w:rsidRPr="00AD2127" w:rsidRDefault="00A9162B" w:rsidP="004024FB">
            <w:pPr>
              <w:pStyle w:val="ListParagraph"/>
              <w:numPr>
                <w:ilvl w:val="0"/>
                <w:numId w:val="4"/>
              </w:numPr>
            </w:pPr>
            <w:r w:rsidRPr="00AD2127">
              <w:t>Climate change can affect the harvests of fruits.</w:t>
            </w:r>
          </w:p>
          <w:p w14:paraId="2634E8AE" w14:textId="77777777" w:rsidR="00A9162B" w:rsidRPr="00AD2127" w:rsidRDefault="00A9162B" w:rsidP="004024FB">
            <w:pPr>
              <w:pStyle w:val="ListParagraph"/>
              <w:numPr>
                <w:ilvl w:val="0"/>
                <w:numId w:val="4"/>
              </w:numPr>
            </w:pPr>
            <w:r w:rsidRPr="00AD2127">
              <w:t>Customer scepticism regarding greenwashing.</w:t>
            </w:r>
          </w:p>
          <w:p w14:paraId="545B8E7B" w14:textId="7F92876A" w:rsidR="00A9162B" w:rsidRPr="00AD2127" w:rsidRDefault="00A9162B" w:rsidP="00862DFA">
            <w:pPr>
              <w:pStyle w:val="ListParagraph"/>
              <w:keepNext/>
              <w:numPr>
                <w:ilvl w:val="0"/>
                <w:numId w:val="4"/>
              </w:numPr>
            </w:pPr>
            <w:r w:rsidRPr="00AD2127">
              <w:t>Inflation and economic issues can affect demand for the premium health drinks.</w:t>
            </w:r>
          </w:p>
        </w:tc>
      </w:tr>
    </w:tbl>
    <w:p w14:paraId="18980867" w14:textId="554A1768" w:rsidR="002F70CE" w:rsidRPr="00862DFA" w:rsidRDefault="00862DFA" w:rsidP="00862DFA">
      <w:pPr>
        <w:jc w:val="center"/>
        <w:rPr>
          <w:b/>
          <w:bCs/>
        </w:rPr>
      </w:pPr>
      <w:r w:rsidRPr="00862DFA">
        <w:rPr>
          <w:b/>
          <w:bCs/>
        </w:rPr>
        <w:t xml:space="preserve">Table </w:t>
      </w:r>
      <w:r w:rsidRPr="00862DFA">
        <w:rPr>
          <w:b/>
          <w:bCs/>
        </w:rPr>
        <w:fldChar w:fldCharType="begin"/>
      </w:r>
      <w:r w:rsidRPr="00862DFA">
        <w:rPr>
          <w:b/>
          <w:bCs/>
        </w:rPr>
        <w:instrText xml:space="preserve"> SEQ Table \* ARABIC </w:instrText>
      </w:r>
      <w:r w:rsidRPr="00862DFA">
        <w:rPr>
          <w:b/>
          <w:bCs/>
        </w:rPr>
        <w:fldChar w:fldCharType="separate"/>
      </w:r>
      <w:r w:rsidRPr="00862DFA">
        <w:rPr>
          <w:b/>
          <w:bCs/>
          <w:noProof/>
        </w:rPr>
        <w:t>3</w:t>
      </w:r>
      <w:r w:rsidRPr="00862DFA">
        <w:rPr>
          <w:b/>
          <w:bCs/>
        </w:rPr>
        <w:fldChar w:fldCharType="end"/>
      </w:r>
      <w:r w:rsidRPr="00862DFA">
        <w:rPr>
          <w:b/>
          <w:bCs/>
        </w:rPr>
        <w:t>: SWOT Analysis</w:t>
      </w:r>
    </w:p>
    <w:p w14:paraId="2DDB639C" w14:textId="77777777" w:rsidR="0036766E" w:rsidRPr="00093C98" w:rsidRDefault="0036766E" w:rsidP="0036766E">
      <w:pPr>
        <w:pStyle w:val="Heading1"/>
      </w:pPr>
      <w:bookmarkStart w:id="6" w:name="_Toc219911373"/>
      <w:r w:rsidRPr="00093C98">
        <w:t>Strategic Growth Options and Proposed Strategy</w:t>
      </w:r>
      <w:bookmarkEnd w:id="6"/>
    </w:p>
    <w:p w14:paraId="548913C3" w14:textId="77777777" w:rsidR="0036766E" w:rsidRPr="00093C98" w:rsidRDefault="0036766E" w:rsidP="0036766E">
      <w:pPr>
        <w:pStyle w:val="Heading2"/>
      </w:pPr>
      <w:bookmarkStart w:id="7" w:name="_Toc219911374"/>
      <w:r w:rsidRPr="00093C98">
        <w:t>Market Penetration</w:t>
      </w:r>
      <w:bookmarkEnd w:id="7"/>
    </w:p>
    <w:p w14:paraId="29C8139B" w14:textId="09853555" w:rsidR="0036766E" w:rsidRPr="00093C98" w:rsidRDefault="000C6685" w:rsidP="0036766E">
      <w:r>
        <w:t xml:space="preserve"> </w:t>
      </w:r>
    </w:p>
    <w:p w14:paraId="7BA4ED22" w14:textId="77777777" w:rsidR="0036766E" w:rsidRPr="00093C98" w:rsidRDefault="0036766E" w:rsidP="0036766E">
      <w:pPr>
        <w:pStyle w:val="Heading2"/>
      </w:pPr>
      <w:bookmarkStart w:id="8" w:name="_Toc219911375"/>
      <w:r w:rsidRPr="00093C98">
        <w:t>Market Development</w:t>
      </w:r>
      <w:bookmarkEnd w:id="8"/>
      <w:r w:rsidRPr="00093C98">
        <w:t xml:space="preserve"> </w:t>
      </w:r>
    </w:p>
    <w:p w14:paraId="012A2AAA" w14:textId="77777777" w:rsidR="0036766E" w:rsidRPr="00093C98" w:rsidRDefault="0036766E" w:rsidP="0036766E">
      <w:r w:rsidRPr="00093C98">
        <w:t>High competition saturation and other disadvantages can be used to justify the search for new markets for Innocent Drinks. However, the growth option of market development also has its advantages as well as limitations. First, the choice of a new market is a critical challenge in this growth strategy. Besides deeper penetration into the European market, Innocent Drinks may also consider expansion into Asia or Latin America. Nonetheless, new markets not only present the challenge of cultural adaptation but also involve supply chain risks</w:t>
      </w:r>
      <w:r>
        <w:t xml:space="preserve"> (</w:t>
      </w:r>
      <w:r w:rsidRPr="00DD6BA4">
        <w:t>Aditiya and Kirana, 2025</w:t>
      </w:r>
      <w:r>
        <w:t>)</w:t>
      </w:r>
      <w:r w:rsidRPr="00093C98">
        <w:t xml:space="preserve">. In new markets, innocent drinks will also face competition from brands that already have a strong foothold. The regulations in those markets also significantly vary from those in the United Kingdom. Besides the regulatory and compliance challenges, market development also requires additional investments. Overall, the risks with market development are much higher than those with market penetration. </w:t>
      </w:r>
    </w:p>
    <w:p w14:paraId="49B3723B" w14:textId="77777777" w:rsidR="0036766E" w:rsidRPr="00093C98" w:rsidRDefault="0036766E" w:rsidP="0036766E">
      <w:pPr>
        <w:pStyle w:val="Heading2"/>
      </w:pPr>
      <w:bookmarkStart w:id="9" w:name="_Toc219911376"/>
      <w:r w:rsidRPr="00093C98">
        <w:t>Product Development</w:t>
      </w:r>
      <w:bookmarkEnd w:id="9"/>
      <w:r w:rsidRPr="00093C98">
        <w:t xml:space="preserve"> </w:t>
      </w:r>
    </w:p>
    <w:p w14:paraId="04321D4D" w14:textId="77777777" w:rsidR="0036766E" w:rsidRPr="00093C98" w:rsidRDefault="0036766E" w:rsidP="0036766E">
      <w:r w:rsidRPr="00093C98">
        <w:t>Comparatively, the risks with product development are medium in the United Kingdom for Innocent Drinks. These risks are mainly associated with additional costs. On the other hand, there is tremendous potential in the product development growth strategy for Innocent Drinks. Industry reports indicate that market growth in 2026 will be driven by clean labelling, nutrient density and convenient formats</w:t>
      </w:r>
      <w:r>
        <w:t xml:space="preserve"> (</w:t>
      </w:r>
      <w:r w:rsidRPr="00DD6BA4">
        <w:t>Finnegan and Krzyzaniak</w:t>
      </w:r>
      <w:r>
        <w:t>,</w:t>
      </w:r>
      <w:r w:rsidRPr="00DD6BA4">
        <w:t xml:space="preserve"> 2024</w:t>
      </w:r>
      <w:r>
        <w:t>)</w:t>
      </w:r>
      <w:r w:rsidRPr="00093C98">
        <w:t xml:space="preserve">. Innocent drinks can adopt probiotics, plant proteins and botanicals for product differentiation based on consumer appeal. </w:t>
      </w:r>
      <w:r w:rsidRPr="00093C98">
        <w:lastRenderedPageBreak/>
        <w:t xml:space="preserve">The opportunities for product development are mainly available </w:t>
      </w:r>
      <w:proofErr w:type="gramStart"/>
      <w:r w:rsidRPr="00093C98">
        <w:t>in the area of</w:t>
      </w:r>
      <w:proofErr w:type="gramEnd"/>
      <w:r w:rsidRPr="00093C98">
        <w:t xml:space="preserve"> holistic wellness. Product differentiation in new markets will lead Innocent Drinks towards the strategy of diversification. However, this strategy has the highest risks compared to the rest in the Ansoff Matrix (Clarissia, 2020).  </w:t>
      </w:r>
    </w:p>
    <w:p w14:paraId="119AC614" w14:textId="77777777" w:rsidR="0036766E" w:rsidRPr="00093C98" w:rsidRDefault="0036766E" w:rsidP="0036766E">
      <w:pPr>
        <w:pStyle w:val="Heading2"/>
      </w:pPr>
      <w:bookmarkStart w:id="10" w:name="_Toc219911377"/>
      <w:r w:rsidRPr="00093C98">
        <w:t>Diversification</w:t>
      </w:r>
      <w:bookmarkEnd w:id="10"/>
    </w:p>
    <w:p w14:paraId="79AD9C18" w14:textId="77777777" w:rsidR="0036766E" w:rsidRPr="00093C98" w:rsidRDefault="0036766E" w:rsidP="0036766E">
      <w:r w:rsidRPr="00093C98">
        <w:t>The advantages of diversification for Innocent Drinks include higher revenues, market expansion, synergy and economies of scale. New varieties of health drinks or new markets beyond the UK present multiple sources of revenue. A wider customer base in new markets facilitates further business growth. Similarly, shared resources, including technology and skills, result in synergy and cost efficiency</w:t>
      </w:r>
      <w:r>
        <w:t xml:space="preserve"> (</w:t>
      </w:r>
      <w:r w:rsidRPr="00DD6BA4">
        <w:t xml:space="preserve">De Roest, Ferrari and </w:t>
      </w:r>
      <w:proofErr w:type="spellStart"/>
      <w:r w:rsidRPr="00DD6BA4">
        <w:t>Knickel</w:t>
      </w:r>
      <w:proofErr w:type="spellEnd"/>
      <w:r w:rsidRPr="00DD6BA4">
        <w:t>, 2018</w:t>
      </w:r>
      <w:r>
        <w:t>)</w:t>
      </w:r>
      <w:r w:rsidRPr="00093C98">
        <w:t xml:space="preserve">. However, diversification will put additional pressure on the existing resources of Innocent Drinks. It not only requires new skills but also involves greater operational complexity. Furthermore, diversification can lead to the dilution of Innocent Drinks' image of a sustainable and ethical brand. </w:t>
      </w:r>
    </w:p>
    <w:p w14:paraId="144A32B7" w14:textId="77777777" w:rsidR="0036766E" w:rsidRPr="00093C98" w:rsidRDefault="0036766E" w:rsidP="0036766E">
      <w:pPr>
        <w:pStyle w:val="Heading2"/>
      </w:pPr>
      <w:bookmarkStart w:id="11" w:name="_Toc219911378"/>
      <w:r w:rsidRPr="00093C98">
        <w:t>Recommended Strategy: Integration of Market Penetration and Product Development</w:t>
      </w:r>
      <w:bookmarkEnd w:id="11"/>
      <w:r w:rsidRPr="00093C98">
        <w:t xml:space="preserve"> </w:t>
      </w:r>
    </w:p>
    <w:p w14:paraId="7D8862D4" w14:textId="77777777" w:rsidR="0036766E" w:rsidRPr="00093C98" w:rsidRDefault="0036766E" w:rsidP="0036766E">
      <w:r w:rsidRPr="00093C98">
        <w:t xml:space="preserve">Considering the benefits and risks of the various growth options, a hybrid strategy is proposed for Innocent Drinks. This strategy represents an integration of market penetration and product development. Accordingly, Innocent Drinks should focus on the UK market with existing products and new varieties. New varieties will enable the brand to face increasing competition while it can consolidate brand authenticity in the UK market. An understanding of the business environment in the UK will further foster sustainable supply chain management and ethical growth. </w:t>
      </w:r>
    </w:p>
    <w:p w14:paraId="744462BD" w14:textId="77777777" w:rsidR="0036766E" w:rsidRDefault="0036766E" w:rsidP="0036766E">
      <w:pPr>
        <w:jc w:val="center"/>
      </w:pPr>
      <w:r w:rsidRPr="00093C98">
        <w:rPr>
          <w:noProof/>
        </w:rPr>
        <w:drawing>
          <wp:inline distT="0" distB="0" distL="0" distR="0" wp14:anchorId="19345AC0" wp14:editId="565BB3E7">
            <wp:extent cx="3900055" cy="2797956"/>
            <wp:effectExtent l="0" t="0" r="0" b="0"/>
            <wp:docPr id="101741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07404" cy="2803228"/>
                    </a:xfrm>
                    <a:prstGeom prst="rect">
                      <a:avLst/>
                    </a:prstGeom>
                    <a:noFill/>
                    <a:ln>
                      <a:noFill/>
                    </a:ln>
                  </pic:spPr>
                </pic:pic>
              </a:graphicData>
            </a:graphic>
          </wp:inline>
        </w:drawing>
      </w:r>
    </w:p>
    <w:p w14:paraId="75DC9CA3" w14:textId="6B3EB6F6" w:rsidR="0036766E" w:rsidRPr="0036766E" w:rsidRDefault="0036766E" w:rsidP="0036766E">
      <w:pPr>
        <w:jc w:val="center"/>
        <w:rPr>
          <w:b/>
          <w:bCs/>
        </w:rPr>
      </w:pPr>
      <w:r w:rsidRPr="0036766E">
        <w:rPr>
          <w:b/>
          <w:bCs/>
        </w:rPr>
        <w:t xml:space="preserve">Figure </w:t>
      </w:r>
      <w:r>
        <w:rPr>
          <w:b/>
          <w:bCs/>
        </w:rPr>
        <w:t>1</w:t>
      </w:r>
      <w:r w:rsidRPr="0036766E">
        <w:rPr>
          <w:b/>
          <w:bCs/>
        </w:rPr>
        <w:t xml:space="preserve">: </w:t>
      </w:r>
      <w:r>
        <w:rPr>
          <w:b/>
          <w:bCs/>
        </w:rPr>
        <w:t>Ansoff</w:t>
      </w:r>
      <w:r w:rsidRPr="0036766E">
        <w:rPr>
          <w:b/>
          <w:bCs/>
        </w:rPr>
        <w:t xml:space="preserve"> M</w:t>
      </w:r>
      <w:r>
        <w:rPr>
          <w:b/>
          <w:bCs/>
        </w:rPr>
        <w:t>atrix</w:t>
      </w:r>
      <w:r w:rsidRPr="0036766E">
        <w:rPr>
          <w:b/>
          <w:bCs/>
        </w:rPr>
        <w:t xml:space="preserve"> </w:t>
      </w:r>
    </w:p>
    <w:p w14:paraId="2B721359" w14:textId="7273E808" w:rsidR="0036766E" w:rsidRPr="00093C98" w:rsidRDefault="0036766E" w:rsidP="0036766E">
      <w:pPr>
        <w:jc w:val="center"/>
      </w:pPr>
      <w:r>
        <w:lastRenderedPageBreak/>
        <w:t xml:space="preserve">Source: </w:t>
      </w:r>
      <w:r w:rsidRPr="00093C98">
        <w:t>Clarissia, 2020</w:t>
      </w:r>
    </w:p>
    <w:p w14:paraId="7E8CD315" w14:textId="77777777" w:rsidR="0036766E" w:rsidRPr="00093C98" w:rsidRDefault="0036766E" w:rsidP="0036766E">
      <w:pPr>
        <w:pStyle w:val="Heading1"/>
      </w:pPr>
      <w:bookmarkStart w:id="12" w:name="_Toc219911379"/>
      <w:r w:rsidRPr="00093C98">
        <w:t>Strategy Evaluation Based on the SFA Framework</w:t>
      </w:r>
      <w:bookmarkEnd w:id="12"/>
      <w:r w:rsidRPr="00093C98">
        <w:t xml:space="preserve"> </w:t>
      </w:r>
    </w:p>
    <w:p w14:paraId="7B8AD884" w14:textId="77777777" w:rsidR="0036766E" w:rsidRPr="00093C98" w:rsidRDefault="0036766E" w:rsidP="0036766E">
      <w:r w:rsidRPr="00093C98">
        <w:t>The proposed hybrid strategy for Innocent Drinks is evaluated below based on the SFA framework. Accordingly, this strategy is examined across the dimensions of suitability, feasibility and acceptability (</w:t>
      </w:r>
      <w:proofErr w:type="spellStart"/>
      <w:r w:rsidRPr="00093C98">
        <w:t>Zolfani</w:t>
      </w:r>
      <w:proofErr w:type="spellEnd"/>
      <w:r w:rsidRPr="00093C98">
        <w:t xml:space="preserve"> et al., 2021).</w:t>
      </w:r>
    </w:p>
    <w:p w14:paraId="18A144F4" w14:textId="77777777" w:rsidR="0036766E" w:rsidRPr="00093C98" w:rsidRDefault="0036766E" w:rsidP="0036766E">
      <w:pPr>
        <w:rPr>
          <w:noProof/>
        </w:rPr>
      </w:pPr>
    </w:p>
    <w:p w14:paraId="7DDF07FF" w14:textId="77777777" w:rsidR="0036766E" w:rsidRDefault="0036766E" w:rsidP="0036766E">
      <w:pPr>
        <w:jc w:val="center"/>
      </w:pPr>
      <w:r w:rsidRPr="00093C98">
        <w:rPr>
          <w:noProof/>
        </w:rPr>
        <w:drawing>
          <wp:inline distT="0" distB="0" distL="0" distR="0" wp14:anchorId="385599FC" wp14:editId="470120DA">
            <wp:extent cx="2541905" cy="2375308"/>
            <wp:effectExtent l="0" t="0" r="0" b="0"/>
            <wp:docPr id="1814249254" name="Picture 2" descr="sfa-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fa-matrix"/>
                    <pic:cNvPicPr>
                      <a:picLocks noChangeAspect="1" noChangeArrowheads="1"/>
                    </pic:cNvPicPr>
                  </pic:nvPicPr>
                  <pic:blipFill rotWithShape="1">
                    <a:blip r:embed="rId9">
                      <a:extLst>
                        <a:ext uri="{28A0092B-C50C-407E-A947-70E740481C1C}">
                          <a14:useLocalDpi xmlns:a14="http://schemas.microsoft.com/office/drawing/2010/main" val="0"/>
                        </a:ext>
                      </a:extLst>
                    </a:blip>
                    <a:srcRect l="28213" t="31039" r="29009" b="16001"/>
                    <a:stretch>
                      <a:fillRect/>
                    </a:stretch>
                  </pic:blipFill>
                  <pic:spPr bwMode="auto">
                    <a:xfrm>
                      <a:off x="0" y="0"/>
                      <a:ext cx="2542568" cy="2375927"/>
                    </a:xfrm>
                    <a:prstGeom prst="rect">
                      <a:avLst/>
                    </a:prstGeom>
                    <a:noFill/>
                    <a:ln>
                      <a:noFill/>
                    </a:ln>
                    <a:extLst>
                      <a:ext uri="{53640926-AAD7-44D8-BBD7-CCE9431645EC}">
                        <a14:shadowObscured xmlns:a14="http://schemas.microsoft.com/office/drawing/2010/main"/>
                      </a:ext>
                    </a:extLst>
                  </pic:spPr>
                </pic:pic>
              </a:graphicData>
            </a:graphic>
          </wp:inline>
        </w:drawing>
      </w:r>
    </w:p>
    <w:p w14:paraId="571280AE" w14:textId="77777777" w:rsidR="0036766E" w:rsidRDefault="0036766E" w:rsidP="0036766E">
      <w:pPr>
        <w:jc w:val="center"/>
      </w:pPr>
    </w:p>
    <w:p w14:paraId="49722ED6" w14:textId="35478B77" w:rsidR="0036766E" w:rsidRPr="0036766E" w:rsidRDefault="0036766E" w:rsidP="0036766E">
      <w:pPr>
        <w:jc w:val="center"/>
        <w:rPr>
          <w:b/>
          <w:bCs/>
        </w:rPr>
      </w:pPr>
      <w:r w:rsidRPr="0036766E">
        <w:rPr>
          <w:b/>
          <w:bCs/>
        </w:rPr>
        <w:t xml:space="preserve">Figure 2: SFA Model </w:t>
      </w:r>
    </w:p>
    <w:p w14:paraId="5D9E69DC" w14:textId="46847A3D" w:rsidR="0036766E" w:rsidRPr="00093C98" w:rsidRDefault="0036766E" w:rsidP="0036766E">
      <w:pPr>
        <w:jc w:val="center"/>
      </w:pPr>
      <w:r>
        <w:t xml:space="preserve">Source: </w:t>
      </w:r>
      <w:proofErr w:type="spellStart"/>
      <w:r w:rsidRPr="00093C98">
        <w:t>Zolfani</w:t>
      </w:r>
      <w:proofErr w:type="spellEnd"/>
      <w:r w:rsidRPr="00093C98">
        <w:t xml:space="preserve"> et al., 2021</w:t>
      </w:r>
    </w:p>
    <w:p w14:paraId="7042CD27" w14:textId="77777777" w:rsidR="0036766E" w:rsidRPr="00093C98" w:rsidRDefault="0036766E" w:rsidP="0036766E">
      <w:pPr>
        <w:pStyle w:val="Heading2"/>
      </w:pPr>
      <w:bookmarkStart w:id="13" w:name="_Toc219911380"/>
      <w:r w:rsidRPr="00093C98">
        <w:t>Suitability</w:t>
      </w:r>
      <w:bookmarkEnd w:id="13"/>
      <w:r w:rsidRPr="00093C98">
        <w:t xml:space="preserve"> </w:t>
      </w:r>
    </w:p>
    <w:p w14:paraId="4DC53366" w14:textId="77777777" w:rsidR="0036766E" w:rsidRPr="00093C98" w:rsidRDefault="0036766E" w:rsidP="0036766E">
      <w:r w:rsidRPr="00093C98">
        <w:t>The suitability of a strategy depends on whether a brand can use its strengths to optimise market opportunities. The analysis in the preceding section reveals high growth projections for the UK health drinks market</w:t>
      </w:r>
      <w:r>
        <w:t xml:space="preserve"> </w:t>
      </w:r>
      <w:r w:rsidRPr="00093C98">
        <w:t xml:space="preserve">(Mordor Intelligence, 2026). Thereby, an emphasis on its current market allows Innocent Drinks to </w:t>
      </w:r>
      <w:proofErr w:type="gramStart"/>
      <w:r w:rsidRPr="00093C98">
        <w:t>continue on</w:t>
      </w:r>
      <w:proofErr w:type="gramEnd"/>
      <w:r w:rsidRPr="00093C98">
        <w:t xml:space="preserve"> a high-growth trajectory. The product development aspect of the hybrid strategy also aligns with the increasing health consciousness in the UK</w:t>
      </w:r>
      <w:r>
        <w:t xml:space="preserve"> (</w:t>
      </w:r>
      <w:r w:rsidRPr="00DD6BA4">
        <w:t>Damberg, 2022</w:t>
      </w:r>
      <w:r>
        <w:t>)</w:t>
      </w:r>
      <w:r w:rsidRPr="00093C98">
        <w:t>. Moreover, Innocent Drinks also avoids the risks of cultural adaptation by consolidating its presence in the British market</w:t>
      </w:r>
      <w:r>
        <w:t xml:space="preserve"> (</w:t>
      </w:r>
      <w:r w:rsidRPr="00DD6BA4">
        <w:t>Majeed, Hussain and Aslam, 2025</w:t>
      </w:r>
      <w:r>
        <w:t>)</w:t>
      </w:r>
      <w:r w:rsidRPr="00093C98">
        <w:t xml:space="preserve">. </w:t>
      </w:r>
    </w:p>
    <w:p w14:paraId="2151AEFE" w14:textId="77777777" w:rsidR="0036766E" w:rsidRPr="00093C98" w:rsidRDefault="0036766E" w:rsidP="0036766E">
      <w:pPr>
        <w:pStyle w:val="Heading2"/>
      </w:pPr>
      <w:bookmarkStart w:id="14" w:name="_Toc219911381"/>
      <w:r w:rsidRPr="00093C98">
        <w:t>Feasibility</w:t>
      </w:r>
      <w:bookmarkEnd w:id="14"/>
      <w:r w:rsidRPr="00093C98">
        <w:t xml:space="preserve"> </w:t>
      </w:r>
    </w:p>
    <w:p w14:paraId="55B2FF11" w14:textId="77777777" w:rsidR="0036766E" w:rsidRPr="00093C98" w:rsidRDefault="0036766E" w:rsidP="0036766E">
      <w:r w:rsidRPr="00093C98">
        <w:t xml:space="preserve">Next, the feasibility of the strategy depends on whether Innocent Drinks has the requisite material and non-material resources. The established position of the brand in the British market provides adequate financial stability and leverage for further consolidating its share. </w:t>
      </w:r>
      <w:r w:rsidRPr="00093C98">
        <w:lastRenderedPageBreak/>
        <w:t>The application of innovation to the existing manufacturing facilities also helps Innocent Drinks to develop new varieties of existing products. By focusing on the British market, Innocent Drinks also avoids the risks involved in new supply chains</w:t>
      </w:r>
      <w:r>
        <w:t xml:space="preserve"> (</w:t>
      </w:r>
      <w:proofErr w:type="spellStart"/>
      <w:r w:rsidRPr="00DD6BA4">
        <w:t>Gurtu</w:t>
      </w:r>
      <w:proofErr w:type="spellEnd"/>
      <w:r w:rsidRPr="00DD6BA4">
        <w:t xml:space="preserve"> and Johny, 2021</w:t>
      </w:r>
      <w:r>
        <w:t>)</w:t>
      </w:r>
      <w:r w:rsidRPr="00093C98">
        <w:t xml:space="preserve">. Additionally, it can capitalise on the existing online and retail distribution channels in the UK. Therefore, the hybrid strategy is not only suitable but also indicates adequate feasibility. </w:t>
      </w:r>
    </w:p>
    <w:p w14:paraId="4EF0233D" w14:textId="77777777" w:rsidR="0036766E" w:rsidRPr="00093C98" w:rsidRDefault="0036766E" w:rsidP="0036766E">
      <w:pPr>
        <w:pStyle w:val="Heading2"/>
      </w:pPr>
      <w:bookmarkStart w:id="15" w:name="_Toc219911382"/>
      <w:r w:rsidRPr="00093C98">
        <w:t>Acceptability</w:t>
      </w:r>
      <w:bookmarkEnd w:id="15"/>
      <w:r w:rsidRPr="00093C98">
        <w:t xml:space="preserve"> </w:t>
      </w:r>
    </w:p>
    <w:p w14:paraId="6D84C2DC" w14:textId="77777777" w:rsidR="0036766E" w:rsidRPr="004F04A7" w:rsidRDefault="0036766E" w:rsidP="0036766E">
      <w:r w:rsidRPr="00093C98">
        <w:t>For justifying the recommended hybrid strategy, acceptability remains the next critical dimension. As the Ansoff matrix indicates, diversification involves the highest risks (Clarissia, 2020). A blend of market penetration and product development brings down the risks to a medium level</w:t>
      </w:r>
      <w:r>
        <w:t xml:space="preserve"> (</w:t>
      </w:r>
      <w:r w:rsidRPr="00DD6BA4">
        <w:t>Aditiya and Kirana, 2025</w:t>
      </w:r>
      <w:r>
        <w:t>)</w:t>
      </w:r>
      <w:r w:rsidRPr="00093C98">
        <w:t>. Growth prospects with medium risks assure all stakeholders, including suppliers, investors and shareholders. Lastly, Innocent Drinks may struggle to retain an ethical and sustainable brand image in new markets with different regulations and environments. The next section examines the influence and power of the stakeholders in further detail.</w:t>
      </w:r>
      <w:r>
        <w:t xml:space="preserve">  </w:t>
      </w:r>
    </w:p>
    <w:p w14:paraId="6F4C4A1E" w14:textId="77777777" w:rsidR="00862DFA" w:rsidRDefault="00862DFA" w:rsidP="00862DFA">
      <w:pPr>
        <w:pStyle w:val="Heading1"/>
      </w:pPr>
      <w:bookmarkStart w:id="16" w:name="_Toc219911383"/>
      <w:r w:rsidRPr="003E7B3A">
        <w:t>Stakeholder Analysis</w:t>
      </w:r>
      <w:bookmarkEnd w:id="16"/>
      <w:r w:rsidRPr="003E7B3A">
        <w:t xml:space="preserve"> </w:t>
      </w:r>
    </w:p>
    <w:p w14:paraId="5CC45FD3" w14:textId="77777777" w:rsidR="00862DFA" w:rsidRPr="003C071B" w:rsidRDefault="00862DFA" w:rsidP="00862DFA">
      <w:pPr>
        <w:rPr>
          <w:b/>
          <w:bCs/>
          <w:i/>
          <w:iCs/>
        </w:rPr>
      </w:pPr>
      <w:r w:rsidRPr="003C071B">
        <w:rPr>
          <w:b/>
          <w:bCs/>
          <w:i/>
          <w:iCs/>
        </w:rPr>
        <w:t>Stakeholder Theory</w:t>
      </w:r>
    </w:p>
    <w:tbl>
      <w:tblPr>
        <w:tblStyle w:val="TableGrid"/>
        <w:tblW w:w="9640" w:type="dxa"/>
        <w:tblInd w:w="-289" w:type="dxa"/>
        <w:tblLook w:val="04A0" w:firstRow="1" w:lastRow="0" w:firstColumn="1" w:lastColumn="0" w:noHBand="0" w:noVBand="1"/>
      </w:tblPr>
      <w:tblGrid>
        <w:gridCol w:w="1560"/>
        <w:gridCol w:w="1985"/>
        <w:gridCol w:w="1890"/>
        <w:gridCol w:w="1813"/>
        <w:gridCol w:w="2392"/>
      </w:tblGrid>
      <w:tr w:rsidR="00862DFA" w:rsidRPr="00820EB1" w14:paraId="5F71C71E" w14:textId="77777777" w:rsidTr="004E39C5">
        <w:tc>
          <w:tcPr>
            <w:tcW w:w="1560" w:type="dxa"/>
            <w:hideMark/>
          </w:tcPr>
          <w:p w14:paraId="749D1676" w14:textId="77777777" w:rsidR="00862DFA" w:rsidRPr="00820EB1" w:rsidRDefault="00862DFA" w:rsidP="004E39C5">
            <w:pPr>
              <w:spacing w:after="160" w:line="278" w:lineRule="auto"/>
              <w:jc w:val="left"/>
              <w:rPr>
                <w:b/>
                <w:bCs/>
              </w:rPr>
            </w:pPr>
            <w:r w:rsidRPr="00820EB1">
              <w:rPr>
                <w:b/>
                <w:bCs/>
              </w:rPr>
              <w:t>Stakeholder</w:t>
            </w:r>
          </w:p>
        </w:tc>
        <w:tc>
          <w:tcPr>
            <w:tcW w:w="1985" w:type="dxa"/>
            <w:hideMark/>
          </w:tcPr>
          <w:p w14:paraId="4973B3E3" w14:textId="77777777" w:rsidR="00862DFA" w:rsidRPr="00820EB1" w:rsidRDefault="00862DFA" w:rsidP="004E39C5">
            <w:pPr>
              <w:spacing w:after="160" w:line="278" w:lineRule="auto"/>
              <w:jc w:val="left"/>
              <w:rPr>
                <w:b/>
                <w:bCs/>
              </w:rPr>
            </w:pPr>
            <w:r w:rsidRPr="00820EB1">
              <w:rPr>
                <w:b/>
                <w:bCs/>
              </w:rPr>
              <w:t>Power–Legitimacy–Urgency</w:t>
            </w:r>
          </w:p>
        </w:tc>
        <w:tc>
          <w:tcPr>
            <w:tcW w:w="1890" w:type="dxa"/>
            <w:hideMark/>
          </w:tcPr>
          <w:p w14:paraId="76C8F197" w14:textId="77777777" w:rsidR="00862DFA" w:rsidRPr="00820EB1" w:rsidRDefault="00862DFA" w:rsidP="004E39C5">
            <w:pPr>
              <w:spacing w:after="160" w:line="278" w:lineRule="auto"/>
              <w:jc w:val="left"/>
              <w:rPr>
                <w:b/>
                <w:bCs/>
              </w:rPr>
            </w:pPr>
            <w:r w:rsidRPr="00820EB1">
              <w:rPr>
                <w:b/>
                <w:bCs/>
              </w:rPr>
              <w:t>Interests</w:t>
            </w:r>
          </w:p>
        </w:tc>
        <w:tc>
          <w:tcPr>
            <w:tcW w:w="0" w:type="auto"/>
            <w:hideMark/>
          </w:tcPr>
          <w:p w14:paraId="15E91DCD" w14:textId="77777777" w:rsidR="00862DFA" w:rsidRPr="00820EB1" w:rsidRDefault="00862DFA" w:rsidP="004E39C5">
            <w:pPr>
              <w:spacing w:after="160" w:line="278" w:lineRule="auto"/>
              <w:jc w:val="left"/>
              <w:rPr>
                <w:b/>
                <w:bCs/>
              </w:rPr>
            </w:pPr>
            <w:r w:rsidRPr="00820EB1">
              <w:rPr>
                <w:b/>
                <w:bCs/>
              </w:rPr>
              <w:t xml:space="preserve">Impact of Market Penetration </w:t>
            </w:r>
            <w:r>
              <w:rPr>
                <w:b/>
                <w:bCs/>
              </w:rPr>
              <w:t xml:space="preserve">and Product Development </w:t>
            </w:r>
            <w:r w:rsidRPr="00820EB1">
              <w:rPr>
                <w:b/>
                <w:bCs/>
              </w:rPr>
              <w:t>Strategy</w:t>
            </w:r>
          </w:p>
        </w:tc>
        <w:tc>
          <w:tcPr>
            <w:tcW w:w="2392" w:type="dxa"/>
            <w:hideMark/>
          </w:tcPr>
          <w:p w14:paraId="2B290356" w14:textId="77777777" w:rsidR="00862DFA" w:rsidRPr="00820EB1" w:rsidRDefault="00862DFA" w:rsidP="004E39C5">
            <w:pPr>
              <w:spacing w:after="160" w:line="278" w:lineRule="auto"/>
              <w:jc w:val="left"/>
              <w:rPr>
                <w:b/>
                <w:bCs/>
              </w:rPr>
            </w:pPr>
            <w:r w:rsidRPr="00820EB1">
              <w:rPr>
                <w:b/>
                <w:bCs/>
              </w:rPr>
              <w:t xml:space="preserve">Engagement Approach </w:t>
            </w:r>
          </w:p>
        </w:tc>
      </w:tr>
      <w:tr w:rsidR="00862DFA" w:rsidRPr="00820EB1" w14:paraId="266B5D78" w14:textId="77777777" w:rsidTr="004E39C5">
        <w:tc>
          <w:tcPr>
            <w:tcW w:w="1560" w:type="dxa"/>
            <w:hideMark/>
          </w:tcPr>
          <w:p w14:paraId="2AF0B1AD" w14:textId="77777777" w:rsidR="00862DFA" w:rsidRPr="00820EB1" w:rsidRDefault="00862DFA" w:rsidP="004E39C5">
            <w:pPr>
              <w:spacing w:after="160" w:line="278" w:lineRule="auto"/>
            </w:pPr>
            <w:r w:rsidRPr="00820EB1">
              <w:t>Customers</w:t>
            </w:r>
          </w:p>
        </w:tc>
        <w:tc>
          <w:tcPr>
            <w:tcW w:w="1985" w:type="dxa"/>
            <w:hideMark/>
          </w:tcPr>
          <w:p w14:paraId="6EDD0346" w14:textId="77777777" w:rsidR="00862DFA" w:rsidRPr="00820EB1" w:rsidRDefault="00862DFA" w:rsidP="004E39C5">
            <w:pPr>
              <w:spacing w:after="160" w:line="278" w:lineRule="auto"/>
            </w:pPr>
            <w:r w:rsidRPr="00820EB1">
              <w:t>High legitimacy, high urgency</w:t>
            </w:r>
          </w:p>
        </w:tc>
        <w:tc>
          <w:tcPr>
            <w:tcW w:w="1890" w:type="dxa"/>
            <w:hideMark/>
          </w:tcPr>
          <w:p w14:paraId="2FD394EF" w14:textId="77777777" w:rsidR="00862DFA" w:rsidRPr="00820EB1" w:rsidRDefault="00862DFA" w:rsidP="004E39C5">
            <w:pPr>
              <w:spacing w:after="160" w:line="278" w:lineRule="auto"/>
            </w:pPr>
            <w:r w:rsidRPr="00820EB1">
              <w:t>Healthy, ethical, affordable drinks</w:t>
            </w:r>
          </w:p>
        </w:tc>
        <w:tc>
          <w:tcPr>
            <w:tcW w:w="0" w:type="auto"/>
            <w:hideMark/>
          </w:tcPr>
          <w:p w14:paraId="63055C14" w14:textId="77777777" w:rsidR="00862DFA" w:rsidRPr="00820EB1" w:rsidRDefault="00862DFA" w:rsidP="004E39C5">
            <w:pPr>
              <w:spacing w:after="160" w:line="278" w:lineRule="auto"/>
            </w:pPr>
            <w:r w:rsidRPr="00820EB1">
              <w:t>Greater access; concern over premium pricing</w:t>
            </w:r>
          </w:p>
        </w:tc>
        <w:tc>
          <w:tcPr>
            <w:tcW w:w="2392" w:type="dxa"/>
            <w:hideMark/>
          </w:tcPr>
          <w:p w14:paraId="5FAA6180" w14:textId="77777777" w:rsidR="00862DFA" w:rsidRPr="00820EB1" w:rsidRDefault="00862DFA" w:rsidP="004E39C5">
            <w:pPr>
              <w:spacing w:after="160" w:line="278" w:lineRule="auto"/>
            </w:pPr>
            <w:r w:rsidRPr="00820EB1">
              <w:t>Continuous dialogue, co-creation, transparent information</w:t>
            </w:r>
          </w:p>
        </w:tc>
      </w:tr>
      <w:tr w:rsidR="00862DFA" w:rsidRPr="00820EB1" w14:paraId="423C7FC1" w14:textId="77777777" w:rsidTr="004E39C5">
        <w:tc>
          <w:tcPr>
            <w:tcW w:w="1560" w:type="dxa"/>
            <w:hideMark/>
          </w:tcPr>
          <w:p w14:paraId="7FED82A1" w14:textId="77777777" w:rsidR="00862DFA" w:rsidRPr="00820EB1" w:rsidRDefault="00862DFA" w:rsidP="004E39C5">
            <w:pPr>
              <w:spacing w:after="160" w:line="278" w:lineRule="auto"/>
            </w:pPr>
            <w:r w:rsidRPr="00820EB1">
              <w:t>Employees</w:t>
            </w:r>
          </w:p>
        </w:tc>
        <w:tc>
          <w:tcPr>
            <w:tcW w:w="1985" w:type="dxa"/>
            <w:hideMark/>
          </w:tcPr>
          <w:p w14:paraId="55B969FA" w14:textId="77777777" w:rsidR="00862DFA" w:rsidRPr="00820EB1" w:rsidRDefault="00862DFA" w:rsidP="004E39C5">
            <w:pPr>
              <w:spacing w:after="160" w:line="278" w:lineRule="auto"/>
            </w:pPr>
            <w:r w:rsidRPr="00820EB1">
              <w:t>High legitimacy, moderate power</w:t>
            </w:r>
          </w:p>
        </w:tc>
        <w:tc>
          <w:tcPr>
            <w:tcW w:w="1890" w:type="dxa"/>
            <w:hideMark/>
          </w:tcPr>
          <w:p w14:paraId="45236FAA" w14:textId="77777777" w:rsidR="00862DFA" w:rsidRPr="00820EB1" w:rsidRDefault="00862DFA" w:rsidP="004E39C5">
            <w:pPr>
              <w:spacing w:after="160" w:line="278" w:lineRule="auto"/>
            </w:pPr>
            <w:r w:rsidRPr="00820EB1">
              <w:t>Fair work, stability, development</w:t>
            </w:r>
          </w:p>
        </w:tc>
        <w:tc>
          <w:tcPr>
            <w:tcW w:w="0" w:type="auto"/>
            <w:hideMark/>
          </w:tcPr>
          <w:p w14:paraId="7B7FB069" w14:textId="77777777" w:rsidR="00862DFA" w:rsidRPr="00820EB1" w:rsidRDefault="00862DFA" w:rsidP="004E39C5">
            <w:pPr>
              <w:spacing w:after="160" w:line="278" w:lineRule="auto"/>
            </w:pPr>
            <w:r w:rsidRPr="00820EB1">
              <w:t>Increased production demands, new roles</w:t>
            </w:r>
          </w:p>
        </w:tc>
        <w:tc>
          <w:tcPr>
            <w:tcW w:w="2392" w:type="dxa"/>
            <w:hideMark/>
          </w:tcPr>
          <w:p w14:paraId="6C9F9C4F" w14:textId="77777777" w:rsidR="00862DFA" w:rsidRPr="00820EB1" w:rsidRDefault="00862DFA" w:rsidP="004E39C5">
            <w:pPr>
              <w:spacing w:after="160" w:line="278" w:lineRule="auto"/>
            </w:pPr>
            <w:r w:rsidRPr="00820EB1">
              <w:t xml:space="preserve">Internal voice mechanisms, training, </w:t>
            </w:r>
            <w:r>
              <w:t xml:space="preserve">and </w:t>
            </w:r>
            <w:r w:rsidRPr="00820EB1">
              <w:t>participatory decision-making</w:t>
            </w:r>
          </w:p>
        </w:tc>
      </w:tr>
      <w:tr w:rsidR="00862DFA" w:rsidRPr="00820EB1" w14:paraId="7B193D4C" w14:textId="77777777" w:rsidTr="004E39C5">
        <w:tc>
          <w:tcPr>
            <w:tcW w:w="1560" w:type="dxa"/>
            <w:hideMark/>
          </w:tcPr>
          <w:p w14:paraId="25FDEF19" w14:textId="77777777" w:rsidR="00862DFA" w:rsidRPr="00820EB1" w:rsidRDefault="00862DFA" w:rsidP="004E39C5">
            <w:pPr>
              <w:spacing w:after="160" w:line="278" w:lineRule="auto"/>
            </w:pPr>
            <w:r w:rsidRPr="00820EB1">
              <w:t>Suppliers</w:t>
            </w:r>
          </w:p>
        </w:tc>
        <w:tc>
          <w:tcPr>
            <w:tcW w:w="1985" w:type="dxa"/>
            <w:hideMark/>
          </w:tcPr>
          <w:p w14:paraId="19CA5FB6" w14:textId="77777777" w:rsidR="00862DFA" w:rsidRPr="00820EB1" w:rsidRDefault="00862DFA" w:rsidP="004E39C5">
            <w:pPr>
              <w:spacing w:after="160" w:line="278" w:lineRule="auto"/>
            </w:pPr>
            <w:r w:rsidRPr="00820EB1">
              <w:t>High power, moderate legitimacy</w:t>
            </w:r>
          </w:p>
        </w:tc>
        <w:tc>
          <w:tcPr>
            <w:tcW w:w="1890" w:type="dxa"/>
            <w:hideMark/>
          </w:tcPr>
          <w:p w14:paraId="03C6837E" w14:textId="77777777" w:rsidR="00862DFA" w:rsidRPr="00820EB1" w:rsidRDefault="00862DFA" w:rsidP="004E39C5">
            <w:pPr>
              <w:spacing w:after="160" w:line="278" w:lineRule="auto"/>
            </w:pPr>
            <w:r w:rsidRPr="00820EB1">
              <w:t>Stable contracts, fair terms</w:t>
            </w:r>
          </w:p>
        </w:tc>
        <w:tc>
          <w:tcPr>
            <w:tcW w:w="0" w:type="auto"/>
            <w:hideMark/>
          </w:tcPr>
          <w:p w14:paraId="71AF18FD" w14:textId="77777777" w:rsidR="00862DFA" w:rsidRPr="00820EB1" w:rsidRDefault="00862DFA" w:rsidP="004E39C5">
            <w:pPr>
              <w:spacing w:after="160" w:line="278" w:lineRule="auto"/>
            </w:pPr>
            <w:r w:rsidRPr="00820EB1">
              <w:t>Higher volume demand; stricter sustainability needs</w:t>
            </w:r>
          </w:p>
        </w:tc>
        <w:tc>
          <w:tcPr>
            <w:tcW w:w="2392" w:type="dxa"/>
            <w:hideMark/>
          </w:tcPr>
          <w:p w14:paraId="655EA628" w14:textId="77777777" w:rsidR="00862DFA" w:rsidRPr="00820EB1" w:rsidRDefault="00862DFA" w:rsidP="004E39C5">
            <w:pPr>
              <w:spacing w:after="160" w:line="278" w:lineRule="auto"/>
            </w:pPr>
            <w:r w:rsidRPr="00820EB1">
              <w:t>Joint planning, long-term contracts, shared risk management</w:t>
            </w:r>
          </w:p>
        </w:tc>
      </w:tr>
      <w:tr w:rsidR="00862DFA" w:rsidRPr="00820EB1" w14:paraId="629DA6C9" w14:textId="77777777" w:rsidTr="004E39C5">
        <w:tc>
          <w:tcPr>
            <w:tcW w:w="1560" w:type="dxa"/>
            <w:hideMark/>
          </w:tcPr>
          <w:p w14:paraId="1251749D" w14:textId="77777777" w:rsidR="00862DFA" w:rsidRPr="00820EB1" w:rsidRDefault="00862DFA" w:rsidP="004E39C5">
            <w:pPr>
              <w:spacing w:after="160" w:line="278" w:lineRule="auto"/>
            </w:pPr>
            <w:r w:rsidRPr="00820EB1">
              <w:lastRenderedPageBreak/>
              <w:t>Retailers</w:t>
            </w:r>
          </w:p>
        </w:tc>
        <w:tc>
          <w:tcPr>
            <w:tcW w:w="1985" w:type="dxa"/>
            <w:hideMark/>
          </w:tcPr>
          <w:p w14:paraId="59F36301" w14:textId="77777777" w:rsidR="00862DFA" w:rsidRPr="00820EB1" w:rsidRDefault="00862DFA" w:rsidP="004E39C5">
            <w:pPr>
              <w:spacing w:after="160" w:line="278" w:lineRule="auto"/>
            </w:pPr>
            <w:r w:rsidRPr="00820EB1">
              <w:t>High power</w:t>
            </w:r>
          </w:p>
        </w:tc>
        <w:tc>
          <w:tcPr>
            <w:tcW w:w="1890" w:type="dxa"/>
            <w:hideMark/>
          </w:tcPr>
          <w:p w14:paraId="692A1180" w14:textId="77777777" w:rsidR="00862DFA" w:rsidRPr="00820EB1" w:rsidRDefault="00862DFA" w:rsidP="004E39C5">
            <w:pPr>
              <w:spacing w:after="160" w:line="278" w:lineRule="auto"/>
            </w:pPr>
            <w:r w:rsidRPr="00820EB1">
              <w:t>Reliable supply, sales growth</w:t>
            </w:r>
          </w:p>
        </w:tc>
        <w:tc>
          <w:tcPr>
            <w:tcW w:w="0" w:type="auto"/>
            <w:hideMark/>
          </w:tcPr>
          <w:p w14:paraId="0DEE4A2C" w14:textId="77777777" w:rsidR="00862DFA" w:rsidRPr="00820EB1" w:rsidRDefault="00862DFA" w:rsidP="004E39C5">
            <w:pPr>
              <w:spacing w:after="160" w:line="278" w:lineRule="auto"/>
            </w:pPr>
            <w:r w:rsidRPr="00820EB1">
              <w:t xml:space="preserve">More </w:t>
            </w:r>
            <w:proofErr w:type="gramStart"/>
            <w:r w:rsidRPr="00820EB1">
              <w:t>SKUs;</w:t>
            </w:r>
            <w:proofErr w:type="gramEnd"/>
            <w:r w:rsidRPr="00820EB1">
              <w:t xml:space="preserve"> tighter coordination needed</w:t>
            </w:r>
          </w:p>
        </w:tc>
        <w:tc>
          <w:tcPr>
            <w:tcW w:w="2392" w:type="dxa"/>
            <w:hideMark/>
          </w:tcPr>
          <w:p w14:paraId="09A03854" w14:textId="77777777" w:rsidR="00862DFA" w:rsidRPr="00820EB1" w:rsidRDefault="00862DFA" w:rsidP="004E39C5">
            <w:pPr>
              <w:spacing w:after="160" w:line="278" w:lineRule="auto"/>
            </w:pPr>
            <w:r w:rsidRPr="00820EB1">
              <w:t>Collaborative promotions, integrated forecasting</w:t>
            </w:r>
          </w:p>
        </w:tc>
      </w:tr>
      <w:tr w:rsidR="00862DFA" w:rsidRPr="00820EB1" w14:paraId="36FC43F0" w14:textId="77777777" w:rsidTr="004E39C5">
        <w:tc>
          <w:tcPr>
            <w:tcW w:w="1560" w:type="dxa"/>
            <w:hideMark/>
          </w:tcPr>
          <w:p w14:paraId="551456AB" w14:textId="77777777" w:rsidR="00862DFA" w:rsidRPr="00820EB1" w:rsidRDefault="00862DFA" w:rsidP="004E39C5">
            <w:pPr>
              <w:spacing w:after="160" w:line="278" w:lineRule="auto"/>
            </w:pPr>
            <w:r w:rsidRPr="00820EB1">
              <w:t>Investors</w:t>
            </w:r>
          </w:p>
        </w:tc>
        <w:tc>
          <w:tcPr>
            <w:tcW w:w="1985" w:type="dxa"/>
            <w:hideMark/>
          </w:tcPr>
          <w:p w14:paraId="084DBC4F" w14:textId="77777777" w:rsidR="00862DFA" w:rsidRPr="00820EB1" w:rsidRDefault="00862DFA" w:rsidP="004E39C5">
            <w:pPr>
              <w:spacing w:after="160" w:line="278" w:lineRule="auto"/>
            </w:pPr>
            <w:r w:rsidRPr="00820EB1">
              <w:t>High power, legitimacy</w:t>
            </w:r>
          </w:p>
        </w:tc>
        <w:tc>
          <w:tcPr>
            <w:tcW w:w="1890" w:type="dxa"/>
            <w:hideMark/>
          </w:tcPr>
          <w:p w14:paraId="293DE28A" w14:textId="77777777" w:rsidR="00862DFA" w:rsidRPr="00820EB1" w:rsidRDefault="00862DFA" w:rsidP="004E39C5">
            <w:pPr>
              <w:spacing w:after="160" w:line="278" w:lineRule="auto"/>
            </w:pPr>
            <w:r w:rsidRPr="00820EB1">
              <w:t>Ethical growth, stability</w:t>
            </w:r>
          </w:p>
        </w:tc>
        <w:tc>
          <w:tcPr>
            <w:tcW w:w="0" w:type="auto"/>
            <w:hideMark/>
          </w:tcPr>
          <w:p w14:paraId="462898AE" w14:textId="77777777" w:rsidR="00862DFA" w:rsidRPr="00820EB1" w:rsidRDefault="00862DFA" w:rsidP="004E39C5">
            <w:pPr>
              <w:spacing w:after="160" w:line="278" w:lineRule="auto"/>
            </w:pPr>
            <w:r w:rsidRPr="00820EB1">
              <w:t>Low-risk expansion; stronger brand value</w:t>
            </w:r>
          </w:p>
        </w:tc>
        <w:tc>
          <w:tcPr>
            <w:tcW w:w="2392" w:type="dxa"/>
            <w:hideMark/>
          </w:tcPr>
          <w:p w14:paraId="1E762F2B" w14:textId="77777777" w:rsidR="00862DFA" w:rsidRPr="00820EB1" w:rsidRDefault="00862DFA" w:rsidP="004E39C5">
            <w:pPr>
              <w:spacing w:after="160" w:line="278" w:lineRule="auto"/>
            </w:pPr>
            <w:r w:rsidRPr="00820EB1">
              <w:t>Regular reporting, governance transparency</w:t>
            </w:r>
          </w:p>
        </w:tc>
      </w:tr>
      <w:tr w:rsidR="00862DFA" w:rsidRPr="00820EB1" w14:paraId="7FD46B16" w14:textId="77777777" w:rsidTr="004E39C5">
        <w:tc>
          <w:tcPr>
            <w:tcW w:w="1560" w:type="dxa"/>
            <w:hideMark/>
          </w:tcPr>
          <w:p w14:paraId="06C71453" w14:textId="77777777" w:rsidR="00862DFA" w:rsidRPr="00820EB1" w:rsidRDefault="00862DFA" w:rsidP="004E39C5">
            <w:pPr>
              <w:spacing w:after="160" w:line="278" w:lineRule="auto"/>
            </w:pPr>
            <w:r w:rsidRPr="00820EB1">
              <w:t xml:space="preserve">Communities </w:t>
            </w:r>
            <w:r>
              <w:t xml:space="preserve">and </w:t>
            </w:r>
            <w:r w:rsidRPr="00820EB1">
              <w:t>Environment</w:t>
            </w:r>
          </w:p>
        </w:tc>
        <w:tc>
          <w:tcPr>
            <w:tcW w:w="1985" w:type="dxa"/>
            <w:hideMark/>
          </w:tcPr>
          <w:p w14:paraId="1E63683B" w14:textId="77777777" w:rsidR="00862DFA" w:rsidRPr="00820EB1" w:rsidRDefault="00862DFA" w:rsidP="004E39C5">
            <w:pPr>
              <w:spacing w:after="160" w:line="278" w:lineRule="auto"/>
            </w:pPr>
            <w:r w:rsidRPr="00820EB1">
              <w:t>High legitimacy</w:t>
            </w:r>
          </w:p>
        </w:tc>
        <w:tc>
          <w:tcPr>
            <w:tcW w:w="1890" w:type="dxa"/>
            <w:hideMark/>
          </w:tcPr>
          <w:p w14:paraId="66A25C20" w14:textId="77777777" w:rsidR="00862DFA" w:rsidRPr="00820EB1" w:rsidRDefault="00862DFA" w:rsidP="004E39C5">
            <w:pPr>
              <w:spacing w:after="160" w:line="278" w:lineRule="auto"/>
            </w:pPr>
            <w:r w:rsidRPr="00820EB1">
              <w:t>Sustainability, reduced carbon impact</w:t>
            </w:r>
          </w:p>
        </w:tc>
        <w:tc>
          <w:tcPr>
            <w:tcW w:w="0" w:type="auto"/>
            <w:hideMark/>
          </w:tcPr>
          <w:p w14:paraId="7DB51668" w14:textId="77777777" w:rsidR="00862DFA" w:rsidRPr="00820EB1" w:rsidRDefault="00862DFA" w:rsidP="004E39C5">
            <w:pPr>
              <w:spacing w:after="160" w:line="278" w:lineRule="auto"/>
            </w:pPr>
            <w:r w:rsidRPr="00820EB1">
              <w:t>Increased operations scrutiny</w:t>
            </w:r>
          </w:p>
        </w:tc>
        <w:tc>
          <w:tcPr>
            <w:tcW w:w="2392" w:type="dxa"/>
            <w:hideMark/>
          </w:tcPr>
          <w:p w14:paraId="27298B5E" w14:textId="77777777" w:rsidR="00862DFA" w:rsidRPr="00820EB1" w:rsidRDefault="00862DFA" w:rsidP="004E39C5">
            <w:pPr>
              <w:keepNext/>
              <w:spacing w:after="160" w:line="278" w:lineRule="auto"/>
            </w:pPr>
            <w:r w:rsidRPr="00820EB1">
              <w:t>Maintain environmental commitments; community partnerships</w:t>
            </w:r>
          </w:p>
        </w:tc>
      </w:tr>
    </w:tbl>
    <w:p w14:paraId="6305F85A" w14:textId="30F19C5C" w:rsidR="00862DFA" w:rsidRPr="00862DFA" w:rsidRDefault="00862DFA" w:rsidP="00862DFA">
      <w:pPr>
        <w:jc w:val="center"/>
        <w:rPr>
          <w:b/>
          <w:bCs/>
        </w:rPr>
      </w:pPr>
      <w:r w:rsidRPr="00306E98">
        <w:rPr>
          <w:b/>
          <w:bCs/>
        </w:rPr>
        <w:t xml:space="preserve">Table </w:t>
      </w:r>
      <w:r w:rsidRPr="00306E98">
        <w:rPr>
          <w:b/>
          <w:bCs/>
        </w:rPr>
        <w:fldChar w:fldCharType="begin"/>
      </w:r>
      <w:r w:rsidRPr="00306E98">
        <w:rPr>
          <w:b/>
          <w:bCs/>
        </w:rPr>
        <w:instrText xml:space="preserve"> SEQ Table \* ARABIC </w:instrText>
      </w:r>
      <w:r w:rsidRPr="00306E98">
        <w:rPr>
          <w:b/>
          <w:bCs/>
        </w:rPr>
        <w:fldChar w:fldCharType="separate"/>
      </w:r>
      <w:r>
        <w:rPr>
          <w:b/>
          <w:bCs/>
          <w:noProof/>
        </w:rPr>
        <w:t>4</w:t>
      </w:r>
      <w:r w:rsidRPr="00306E98">
        <w:rPr>
          <w:b/>
          <w:bCs/>
        </w:rPr>
        <w:fldChar w:fldCharType="end"/>
      </w:r>
      <w:r w:rsidRPr="00306E98">
        <w:rPr>
          <w:b/>
          <w:bCs/>
        </w:rPr>
        <w:t>: Stakeholder Theory</w:t>
      </w:r>
    </w:p>
    <w:p w14:paraId="771583BC" w14:textId="77777777" w:rsidR="00862DFA" w:rsidRPr="0070383B" w:rsidRDefault="00862DFA" w:rsidP="00862DFA">
      <w:r w:rsidRPr="0070383B">
        <w:t xml:space="preserve">The Stakeholder Theory states that organisations should consider the broad group of stakeholders to function effectively (Phillips </w:t>
      </w:r>
      <w:r w:rsidRPr="0070383B">
        <w:rPr>
          <w:i/>
          <w:iCs/>
        </w:rPr>
        <w:t>et al</w:t>
      </w:r>
      <w:r w:rsidRPr="0070383B">
        <w:t xml:space="preserve">., 2019). </w:t>
      </w:r>
      <w:r>
        <w:t>Innocent Drinks</w:t>
      </w:r>
      <w:r w:rsidRPr="0070383B">
        <w:t xml:space="preserve"> can face several challenges</w:t>
      </w:r>
      <w:r>
        <w:t xml:space="preserve"> w</w:t>
      </w:r>
      <w:r w:rsidRPr="0070383B">
        <w:t xml:space="preserve">hile implementing this </w:t>
      </w:r>
      <w:r>
        <w:t>stakeholder-focused</w:t>
      </w:r>
      <w:r w:rsidRPr="0070383B">
        <w:t xml:space="preserve"> plan</w:t>
      </w:r>
      <w:r>
        <w:t>,</w:t>
      </w:r>
      <w:r w:rsidRPr="0070383B">
        <w:t xml:space="preserve"> like balancing </w:t>
      </w:r>
      <w:r>
        <w:t xml:space="preserve">a </w:t>
      </w:r>
      <w:r w:rsidRPr="0070383B">
        <w:t xml:space="preserve">premium price </w:t>
      </w:r>
      <w:r>
        <w:t>with</w:t>
      </w:r>
      <w:r w:rsidRPr="0070383B">
        <w:t xml:space="preserve"> customer affordability</w:t>
      </w:r>
      <w:r>
        <w:t>,</w:t>
      </w:r>
      <w:r w:rsidRPr="0070383B">
        <w:t xml:space="preserve"> which can cause resistance in the brand. Enhancing production to satisfy retailers and employees can strain operational capacity for an organisation (</w:t>
      </w:r>
      <w:r w:rsidRPr="007848F8">
        <w:t xml:space="preserve">Farooq, Abbey, and </w:t>
      </w:r>
      <w:proofErr w:type="spellStart"/>
      <w:r w:rsidRPr="007848F8">
        <w:t>Onukwulu</w:t>
      </w:r>
      <w:proofErr w:type="spellEnd"/>
      <w:r>
        <w:t>, 2024</w:t>
      </w:r>
      <w:r w:rsidRPr="0070383B">
        <w:t xml:space="preserve">). Furthermore, strengthening sustainability requirements can increase tension with suppliers while raising costs. Coordinating promotions and </w:t>
      </w:r>
      <w:r>
        <w:t>informing</w:t>
      </w:r>
      <w:r w:rsidRPr="0070383B">
        <w:t xml:space="preserve"> the retailers requires shared data and system alignment</w:t>
      </w:r>
      <w:r>
        <w:t>,</w:t>
      </w:r>
      <w:r w:rsidRPr="0070383B">
        <w:t xml:space="preserve"> where investors can pressurise for faster financial returns</w:t>
      </w:r>
      <w:r>
        <w:t>,</w:t>
      </w:r>
      <w:r w:rsidRPr="0070383B">
        <w:t xml:space="preserve"> which can conflict with ethical commitments. The company must be careful </w:t>
      </w:r>
      <w:r>
        <w:t>when</w:t>
      </w:r>
      <w:r w:rsidRPr="0070383B">
        <w:t xml:space="preserve"> scaling operations and maintaining </w:t>
      </w:r>
      <w:r>
        <w:t>operational</w:t>
      </w:r>
      <w:r w:rsidRPr="0070383B">
        <w:t xml:space="preserve"> goals to prevent resource constraints and risk of scrutiny. </w:t>
      </w:r>
    </w:p>
    <w:p w14:paraId="0F6BCAD8" w14:textId="77777777" w:rsidR="00862DFA" w:rsidRPr="009454B0" w:rsidRDefault="00862DFA" w:rsidP="00862DFA">
      <w:pPr>
        <w:rPr>
          <w:b/>
          <w:bCs/>
          <w:i/>
          <w:iCs/>
        </w:rPr>
      </w:pPr>
      <w:r w:rsidRPr="009454B0">
        <w:rPr>
          <w:b/>
          <w:bCs/>
          <w:i/>
          <w:iCs/>
        </w:rPr>
        <w:t>Mendelow’s Matrix</w:t>
      </w:r>
    </w:p>
    <w:p w14:paraId="35518A93" w14:textId="77777777" w:rsidR="00862DFA" w:rsidRDefault="00862DFA" w:rsidP="00862DFA">
      <w:pPr>
        <w:keepNext/>
        <w:jc w:val="center"/>
      </w:pPr>
      <w:r>
        <w:rPr>
          <w:noProof/>
        </w:rPr>
        <w:lastRenderedPageBreak/>
        <w:drawing>
          <wp:inline distT="0" distB="0" distL="0" distR="0" wp14:anchorId="312D5D43" wp14:editId="345F9AD3">
            <wp:extent cx="4905375" cy="3228975"/>
            <wp:effectExtent l="76200" t="76200" r="142875" b="142875"/>
            <wp:docPr id="1643414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414496" name=""/>
                    <pic:cNvPicPr/>
                  </pic:nvPicPr>
                  <pic:blipFill>
                    <a:blip r:embed="rId10"/>
                    <a:stretch>
                      <a:fillRect/>
                    </a:stretch>
                  </pic:blipFill>
                  <pic:spPr>
                    <a:xfrm>
                      <a:off x="0" y="0"/>
                      <a:ext cx="4916298" cy="32361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3DF588" w14:textId="426D307C" w:rsidR="00862DFA" w:rsidRPr="007C4CFB" w:rsidRDefault="00862DFA" w:rsidP="00862DFA">
      <w:pPr>
        <w:jc w:val="center"/>
        <w:rPr>
          <w:b/>
          <w:bCs/>
        </w:rPr>
      </w:pPr>
      <w:r w:rsidRPr="007C4CFB">
        <w:rPr>
          <w:b/>
          <w:bCs/>
        </w:rPr>
        <w:t xml:space="preserve">Figure </w:t>
      </w:r>
      <w:r w:rsidR="0036766E">
        <w:rPr>
          <w:b/>
          <w:bCs/>
        </w:rPr>
        <w:t>3</w:t>
      </w:r>
      <w:r w:rsidRPr="007C4CFB">
        <w:rPr>
          <w:b/>
          <w:bCs/>
        </w:rPr>
        <w:t xml:space="preserve">: Mendelow's Matrix for Innocent Drinks </w:t>
      </w:r>
    </w:p>
    <w:p w14:paraId="28012ADD" w14:textId="77777777" w:rsidR="00862DFA" w:rsidRDefault="00862DFA" w:rsidP="00862DFA">
      <w:pPr>
        <w:jc w:val="center"/>
      </w:pPr>
      <w:r>
        <w:t>(Source: Created by the learner)</w:t>
      </w:r>
    </w:p>
    <w:p w14:paraId="4FD62C90" w14:textId="77777777" w:rsidR="00862DFA" w:rsidRDefault="00862DFA" w:rsidP="00862DFA">
      <w:r w:rsidRPr="007D7E2B">
        <w:t>Mendelow's Matrix can help companies manage and prioritise challenges by mapping stakeholders according to interest and power (</w:t>
      </w:r>
      <w:r w:rsidRPr="003641F8">
        <w:t xml:space="preserve">Mints and </w:t>
      </w:r>
      <w:proofErr w:type="spellStart"/>
      <w:r w:rsidRPr="003641F8">
        <w:t>Kamyshnykova</w:t>
      </w:r>
      <w:proofErr w:type="spellEnd"/>
      <w:r>
        <w:t>, 2021</w:t>
      </w:r>
      <w:r w:rsidRPr="007D7E2B">
        <w:t>). High</w:t>
      </w:r>
      <w:r>
        <w:t>-</w:t>
      </w:r>
      <w:r w:rsidRPr="007D7E2B">
        <w:t xml:space="preserve">power and </w:t>
      </w:r>
      <w:r>
        <w:t>high-interest</w:t>
      </w:r>
      <w:r w:rsidRPr="007D7E2B">
        <w:t xml:space="preserve"> groups involve investors and retailers and should be managed closely through frequent communication and joint planning to reduce conflicts regarding capacity pricing and financial expectations. </w:t>
      </w:r>
      <w:r>
        <w:t>High-power,</w:t>
      </w:r>
      <w:r w:rsidRPr="007D7E2B">
        <w:t xml:space="preserve"> </w:t>
      </w:r>
      <w:r>
        <w:t>low-interest</w:t>
      </w:r>
      <w:r w:rsidRPr="007D7E2B">
        <w:t xml:space="preserve"> sta</w:t>
      </w:r>
      <w:r>
        <w:t>ke</w:t>
      </w:r>
      <w:r w:rsidRPr="007D7E2B">
        <w:t>holders</w:t>
      </w:r>
      <w:r>
        <w:t>,</w:t>
      </w:r>
      <w:r w:rsidRPr="007D7E2B">
        <w:t xml:space="preserve"> </w:t>
      </w:r>
      <w:r>
        <w:t>namely</w:t>
      </w:r>
      <w:r w:rsidRPr="007D7E2B">
        <w:t xml:space="preserve"> suppliers</w:t>
      </w:r>
      <w:r>
        <w:t>,</w:t>
      </w:r>
      <w:r w:rsidRPr="007D7E2B">
        <w:t xml:space="preserve"> should be satisfied through stable contracts and shared sustainability targets</w:t>
      </w:r>
      <w:r>
        <w:t>,</w:t>
      </w:r>
      <w:r w:rsidRPr="007D7E2B">
        <w:t xml:space="preserve"> which can reduce tension. Low</w:t>
      </w:r>
      <w:r>
        <w:t>-</w:t>
      </w:r>
      <w:r w:rsidRPr="007D7E2B">
        <w:t xml:space="preserve">power </w:t>
      </w:r>
      <w:r>
        <w:t>high-interest</w:t>
      </w:r>
      <w:r w:rsidRPr="007D7E2B">
        <w:t xml:space="preserve"> groups</w:t>
      </w:r>
      <w:r>
        <w:t>,</w:t>
      </w:r>
      <w:r w:rsidRPr="007D7E2B">
        <w:t xml:space="preserve"> name</w:t>
      </w:r>
      <w:r>
        <w:t>ly</w:t>
      </w:r>
      <w:r w:rsidRPr="007D7E2B">
        <w:t xml:space="preserve"> communities and customers</w:t>
      </w:r>
      <w:r>
        <w:t>,</w:t>
      </w:r>
      <w:r w:rsidRPr="007D7E2B">
        <w:t xml:space="preserve"> require regular consultation to address environmental and affordability concerns. Finally</w:t>
      </w:r>
      <w:r>
        <w:t>,</w:t>
      </w:r>
      <w:r w:rsidRPr="007D7E2B">
        <w:t xml:space="preserve"> </w:t>
      </w:r>
      <w:r>
        <w:t>low-interest</w:t>
      </w:r>
      <w:r w:rsidRPr="007D7E2B">
        <w:t xml:space="preserve"> and </w:t>
      </w:r>
      <w:r>
        <w:t>low-power</w:t>
      </w:r>
      <w:r w:rsidRPr="007D7E2B">
        <w:t xml:space="preserve"> groups can be monitored to prevent any existing risk. These structured </w:t>
      </w:r>
      <w:r>
        <w:t>prioritisations</w:t>
      </w:r>
      <w:r w:rsidRPr="007D7E2B">
        <w:t xml:space="preserve"> can be used by Innocent Drinks to mitigate the emerging challenges and align expectations. </w:t>
      </w:r>
    </w:p>
    <w:p w14:paraId="667866B4" w14:textId="77777777" w:rsidR="00862DFA" w:rsidRDefault="00862DFA" w:rsidP="00862DFA">
      <w:pPr>
        <w:pStyle w:val="Heading1"/>
      </w:pPr>
      <w:bookmarkStart w:id="17" w:name="_Toc219911384"/>
      <w:r>
        <w:t>Implementation and monitoring</w:t>
      </w:r>
      <w:bookmarkEnd w:id="17"/>
      <w:r>
        <w:t xml:space="preserve"> </w:t>
      </w:r>
    </w:p>
    <w:tbl>
      <w:tblPr>
        <w:tblStyle w:val="TableGrid"/>
        <w:tblW w:w="9781" w:type="dxa"/>
        <w:tblInd w:w="-147" w:type="dxa"/>
        <w:tblLook w:val="04A0" w:firstRow="1" w:lastRow="0" w:firstColumn="1" w:lastColumn="0" w:noHBand="0" w:noVBand="1"/>
      </w:tblPr>
      <w:tblGrid>
        <w:gridCol w:w="1718"/>
        <w:gridCol w:w="2535"/>
        <w:gridCol w:w="3263"/>
        <w:gridCol w:w="2265"/>
      </w:tblGrid>
      <w:tr w:rsidR="00862DFA" w:rsidRPr="007848F8" w14:paraId="33ECD96A" w14:textId="77777777" w:rsidTr="004E39C5">
        <w:tc>
          <w:tcPr>
            <w:tcW w:w="1718" w:type="dxa"/>
            <w:hideMark/>
          </w:tcPr>
          <w:p w14:paraId="3408F1CA" w14:textId="77777777" w:rsidR="00862DFA" w:rsidRPr="007848F8" w:rsidRDefault="00862DFA" w:rsidP="004E39C5">
            <w:pPr>
              <w:spacing w:after="160"/>
              <w:jc w:val="left"/>
              <w:rPr>
                <w:b/>
                <w:bCs/>
              </w:rPr>
            </w:pPr>
            <w:r w:rsidRPr="007848F8">
              <w:rPr>
                <w:b/>
                <w:bCs/>
              </w:rPr>
              <w:t>Objective</w:t>
            </w:r>
          </w:p>
        </w:tc>
        <w:tc>
          <w:tcPr>
            <w:tcW w:w="2535" w:type="dxa"/>
            <w:hideMark/>
          </w:tcPr>
          <w:p w14:paraId="5630A986" w14:textId="77777777" w:rsidR="00862DFA" w:rsidRPr="007848F8" w:rsidRDefault="00862DFA" w:rsidP="004E39C5">
            <w:pPr>
              <w:spacing w:after="160"/>
              <w:jc w:val="left"/>
              <w:rPr>
                <w:b/>
                <w:bCs/>
              </w:rPr>
            </w:pPr>
            <w:r w:rsidRPr="007848F8">
              <w:rPr>
                <w:b/>
                <w:bCs/>
              </w:rPr>
              <w:t>Actions Required</w:t>
            </w:r>
          </w:p>
        </w:tc>
        <w:tc>
          <w:tcPr>
            <w:tcW w:w="3263" w:type="dxa"/>
            <w:hideMark/>
          </w:tcPr>
          <w:p w14:paraId="23E45D09" w14:textId="77777777" w:rsidR="00862DFA" w:rsidRPr="007848F8" w:rsidRDefault="00862DFA" w:rsidP="004E39C5">
            <w:pPr>
              <w:spacing w:after="160"/>
              <w:jc w:val="left"/>
              <w:rPr>
                <w:b/>
                <w:bCs/>
              </w:rPr>
            </w:pPr>
            <w:r w:rsidRPr="007848F8">
              <w:rPr>
                <w:b/>
                <w:bCs/>
              </w:rPr>
              <w:t xml:space="preserve">KPIs </w:t>
            </w:r>
          </w:p>
        </w:tc>
        <w:tc>
          <w:tcPr>
            <w:tcW w:w="2265" w:type="dxa"/>
            <w:hideMark/>
          </w:tcPr>
          <w:p w14:paraId="0AD1F691" w14:textId="77777777" w:rsidR="00862DFA" w:rsidRPr="007848F8" w:rsidRDefault="00862DFA" w:rsidP="004E39C5">
            <w:pPr>
              <w:spacing w:after="160"/>
              <w:jc w:val="left"/>
              <w:rPr>
                <w:b/>
                <w:bCs/>
              </w:rPr>
            </w:pPr>
            <w:r w:rsidRPr="007848F8">
              <w:rPr>
                <w:b/>
                <w:bCs/>
              </w:rPr>
              <w:t>Importance of KPIs</w:t>
            </w:r>
          </w:p>
        </w:tc>
      </w:tr>
      <w:tr w:rsidR="00862DFA" w:rsidRPr="007848F8" w14:paraId="67B384FE" w14:textId="77777777" w:rsidTr="004E39C5">
        <w:tc>
          <w:tcPr>
            <w:tcW w:w="1718" w:type="dxa"/>
            <w:hideMark/>
          </w:tcPr>
          <w:p w14:paraId="205D8EF4" w14:textId="77777777" w:rsidR="00862DFA" w:rsidRPr="007848F8" w:rsidRDefault="00862DFA" w:rsidP="004E39C5">
            <w:pPr>
              <w:spacing w:after="160"/>
            </w:pPr>
            <w:r w:rsidRPr="007848F8">
              <w:t>Increase UK market penetration</w:t>
            </w:r>
          </w:p>
        </w:tc>
        <w:tc>
          <w:tcPr>
            <w:tcW w:w="2535" w:type="dxa"/>
            <w:hideMark/>
          </w:tcPr>
          <w:p w14:paraId="4041D925" w14:textId="77777777" w:rsidR="00862DFA" w:rsidRPr="007848F8" w:rsidRDefault="00862DFA" w:rsidP="004E39C5">
            <w:pPr>
              <w:spacing w:after="160"/>
            </w:pPr>
            <w:r w:rsidRPr="007848F8">
              <w:t xml:space="preserve">Expand listings with major retailers; intensify </w:t>
            </w:r>
            <w:r w:rsidRPr="007848F8">
              <w:lastRenderedPageBreak/>
              <w:t>digital campaigns; run short-term discounts</w:t>
            </w:r>
          </w:p>
        </w:tc>
        <w:tc>
          <w:tcPr>
            <w:tcW w:w="3263" w:type="dxa"/>
            <w:hideMark/>
          </w:tcPr>
          <w:p w14:paraId="39342441" w14:textId="77777777" w:rsidR="00862DFA" w:rsidRDefault="00862DFA" w:rsidP="00862DFA">
            <w:pPr>
              <w:pStyle w:val="ListParagraph"/>
              <w:numPr>
                <w:ilvl w:val="0"/>
                <w:numId w:val="5"/>
              </w:numPr>
              <w:jc w:val="left"/>
            </w:pPr>
            <w:r w:rsidRPr="007848F8">
              <w:lastRenderedPageBreak/>
              <w:t xml:space="preserve">+10% UK sales volume within 12 months </w:t>
            </w:r>
          </w:p>
          <w:p w14:paraId="205F93DA" w14:textId="77777777" w:rsidR="00862DFA" w:rsidRDefault="00862DFA" w:rsidP="00862DFA">
            <w:pPr>
              <w:pStyle w:val="ListParagraph"/>
              <w:numPr>
                <w:ilvl w:val="0"/>
                <w:numId w:val="5"/>
              </w:numPr>
              <w:jc w:val="left"/>
            </w:pPr>
            <w:r w:rsidRPr="007848F8">
              <w:lastRenderedPageBreak/>
              <w:t>+5% market share in 1 year</w:t>
            </w:r>
          </w:p>
          <w:p w14:paraId="0DB7DB8E" w14:textId="77777777" w:rsidR="00862DFA" w:rsidRPr="007848F8" w:rsidRDefault="00862DFA" w:rsidP="00862DFA">
            <w:pPr>
              <w:pStyle w:val="ListParagraph"/>
              <w:numPr>
                <w:ilvl w:val="0"/>
                <w:numId w:val="5"/>
              </w:numPr>
              <w:jc w:val="left"/>
            </w:pPr>
            <w:r w:rsidRPr="007848F8">
              <w:t>+15% online engagement within 6 months</w:t>
            </w:r>
          </w:p>
        </w:tc>
        <w:tc>
          <w:tcPr>
            <w:tcW w:w="2265" w:type="dxa"/>
            <w:hideMark/>
          </w:tcPr>
          <w:p w14:paraId="616E8364" w14:textId="77777777" w:rsidR="00862DFA" w:rsidRPr="007848F8" w:rsidRDefault="00862DFA" w:rsidP="004E39C5">
            <w:pPr>
              <w:spacing w:after="160"/>
            </w:pPr>
            <w:r w:rsidRPr="007848F8">
              <w:lastRenderedPageBreak/>
              <w:t xml:space="preserve">Measures competitive growth, consumer reach, and </w:t>
            </w:r>
            <w:r w:rsidRPr="007848F8">
              <w:lastRenderedPageBreak/>
              <w:t>effectiveness of marketing efforts.</w:t>
            </w:r>
          </w:p>
        </w:tc>
      </w:tr>
      <w:tr w:rsidR="00862DFA" w:rsidRPr="007848F8" w14:paraId="7A441BCA" w14:textId="77777777" w:rsidTr="004E39C5">
        <w:tc>
          <w:tcPr>
            <w:tcW w:w="1718" w:type="dxa"/>
            <w:hideMark/>
          </w:tcPr>
          <w:p w14:paraId="6D01F32A" w14:textId="77777777" w:rsidR="00862DFA" w:rsidRPr="007848F8" w:rsidRDefault="00862DFA" w:rsidP="004E39C5">
            <w:pPr>
              <w:spacing w:after="160"/>
            </w:pPr>
            <w:r w:rsidRPr="007848F8">
              <w:lastRenderedPageBreak/>
              <w:t>Strengthen stakeholder relationships</w:t>
            </w:r>
          </w:p>
        </w:tc>
        <w:tc>
          <w:tcPr>
            <w:tcW w:w="2535" w:type="dxa"/>
            <w:hideMark/>
          </w:tcPr>
          <w:p w14:paraId="7EDA8BDD" w14:textId="77777777" w:rsidR="00862DFA" w:rsidRPr="007848F8" w:rsidRDefault="00862DFA" w:rsidP="004E39C5">
            <w:pPr>
              <w:spacing w:after="160"/>
            </w:pPr>
            <w:r w:rsidRPr="007848F8">
              <w:t>Quarterly retailer reviews; biannual supplier workshops; monthly customer feedback loops</w:t>
            </w:r>
          </w:p>
        </w:tc>
        <w:tc>
          <w:tcPr>
            <w:tcW w:w="3263" w:type="dxa"/>
            <w:hideMark/>
          </w:tcPr>
          <w:p w14:paraId="213495FF" w14:textId="77777777" w:rsidR="00862DFA" w:rsidRDefault="00862DFA" w:rsidP="00862DFA">
            <w:pPr>
              <w:pStyle w:val="ListParagraph"/>
              <w:numPr>
                <w:ilvl w:val="0"/>
                <w:numId w:val="6"/>
              </w:numPr>
              <w:jc w:val="left"/>
            </w:pPr>
            <w:r w:rsidRPr="007848F8">
              <w:t xml:space="preserve">Retailer satisfaction &gt;85% in 9 months </w:t>
            </w:r>
          </w:p>
          <w:p w14:paraId="796B2316" w14:textId="77777777" w:rsidR="00862DFA" w:rsidRDefault="00862DFA" w:rsidP="00862DFA">
            <w:pPr>
              <w:pStyle w:val="ListParagraph"/>
              <w:numPr>
                <w:ilvl w:val="0"/>
                <w:numId w:val="6"/>
              </w:numPr>
              <w:jc w:val="left"/>
            </w:pPr>
            <w:r w:rsidRPr="007848F8">
              <w:t xml:space="preserve">Supplier on-time delivery &gt;95% in 12 months </w:t>
            </w:r>
          </w:p>
          <w:p w14:paraId="1E2DFFD3" w14:textId="77777777" w:rsidR="00862DFA" w:rsidRPr="007848F8" w:rsidRDefault="00862DFA" w:rsidP="00862DFA">
            <w:pPr>
              <w:pStyle w:val="ListParagraph"/>
              <w:numPr>
                <w:ilvl w:val="0"/>
                <w:numId w:val="6"/>
              </w:numPr>
              <w:jc w:val="left"/>
            </w:pPr>
            <w:r w:rsidRPr="007848F8">
              <w:t>Customer satisfaction &gt;4/5 in 6 months</w:t>
            </w:r>
          </w:p>
        </w:tc>
        <w:tc>
          <w:tcPr>
            <w:tcW w:w="2265" w:type="dxa"/>
            <w:hideMark/>
          </w:tcPr>
          <w:p w14:paraId="65BC0CCE" w14:textId="77777777" w:rsidR="00862DFA" w:rsidRPr="007848F8" w:rsidRDefault="00862DFA" w:rsidP="004E39C5">
            <w:pPr>
              <w:spacing w:after="160"/>
            </w:pPr>
            <w:r w:rsidRPr="007848F8">
              <w:t>Ensures collaboration, smooth supply chain, and customer loyalty.</w:t>
            </w:r>
          </w:p>
        </w:tc>
      </w:tr>
      <w:tr w:rsidR="00862DFA" w:rsidRPr="007848F8" w14:paraId="129EB134" w14:textId="77777777" w:rsidTr="004E39C5">
        <w:tc>
          <w:tcPr>
            <w:tcW w:w="1718" w:type="dxa"/>
            <w:hideMark/>
          </w:tcPr>
          <w:p w14:paraId="21EB163C" w14:textId="77777777" w:rsidR="00862DFA" w:rsidRPr="007848F8" w:rsidRDefault="00862DFA" w:rsidP="004E39C5">
            <w:pPr>
              <w:spacing w:after="160"/>
            </w:pPr>
            <w:r w:rsidRPr="007848F8">
              <w:t>Maintain sustainability commitments</w:t>
            </w:r>
          </w:p>
        </w:tc>
        <w:tc>
          <w:tcPr>
            <w:tcW w:w="2535" w:type="dxa"/>
            <w:hideMark/>
          </w:tcPr>
          <w:p w14:paraId="52C0CD65" w14:textId="77777777" w:rsidR="00862DFA" w:rsidRPr="007848F8" w:rsidRDefault="00862DFA" w:rsidP="004E39C5">
            <w:pPr>
              <w:spacing w:after="160"/>
            </w:pPr>
            <w:r w:rsidRPr="007848F8">
              <w:t>Annual sourcing audits; invest in recyclable packaging; track emissions</w:t>
            </w:r>
          </w:p>
        </w:tc>
        <w:tc>
          <w:tcPr>
            <w:tcW w:w="3263" w:type="dxa"/>
            <w:hideMark/>
          </w:tcPr>
          <w:p w14:paraId="49946E1D" w14:textId="77777777" w:rsidR="00862DFA" w:rsidRDefault="00862DFA" w:rsidP="00862DFA">
            <w:pPr>
              <w:pStyle w:val="ListParagraph"/>
              <w:numPr>
                <w:ilvl w:val="0"/>
                <w:numId w:val="7"/>
              </w:numPr>
              <w:jc w:val="left"/>
            </w:pPr>
            <w:r w:rsidRPr="007848F8">
              <w:t>100% supplier sustainability compliance in 12 months</w:t>
            </w:r>
          </w:p>
          <w:p w14:paraId="5E5120E1" w14:textId="77777777" w:rsidR="00862DFA" w:rsidRDefault="00862DFA" w:rsidP="00862DFA">
            <w:pPr>
              <w:pStyle w:val="ListParagraph"/>
              <w:numPr>
                <w:ilvl w:val="0"/>
                <w:numId w:val="7"/>
              </w:numPr>
              <w:jc w:val="left"/>
            </w:pPr>
            <w:r w:rsidRPr="007848F8">
              <w:t xml:space="preserve">10% packaging reduction within 1 year </w:t>
            </w:r>
          </w:p>
          <w:p w14:paraId="6967497A" w14:textId="77777777" w:rsidR="00862DFA" w:rsidRPr="007848F8" w:rsidRDefault="00862DFA" w:rsidP="00862DFA">
            <w:pPr>
              <w:pStyle w:val="ListParagraph"/>
              <w:numPr>
                <w:ilvl w:val="0"/>
                <w:numId w:val="7"/>
              </w:numPr>
              <w:jc w:val="left"/>
            </w:pPr>
            <w:r w:rsidRPr="007848F8">
              <w:t>5% carbon reduction annually</w:t>
            </w:r>
          </w:p>
        </w:tc>
        <w:tc>
          <w:tcPr>
            <w:tcW w:w="2265" w:type="dxa"/>
            <w:hideMark/>
          </w:tcPr>
          <w:p w14:paraId="3A7AC32F" w14:textId="77777777" w:rsidR="00862DFA" w:rsidRPr="007848F8" w:rsidRDefault="00862DFA" w:rsidP="004E39C5">
            <w:pPr>
              <w:spacing w:after="160"/>
            </w:pPr>
            <w:r w:rsidRPr="007848F8">
              <w:t>Protects brand ethics, reduces risks of criticism, and meets B-Corp expectations.</w:t>
            </w:r>
          </w:p>
        </w:tc>
      </w:tr>
      <w:tr w:rsidR="00862DFA" w:rsidRPr="007848F8" w14:paraId="6B72E455" w14:textId="77777777" w:rsidTr="004E39C5">
        <w:tc>
          <w:tcPr>
            <w:tcW w:w="1718" w:type="dxa"/>
            <w:hideMark/>
          </w:tcPr>
          <w:p w14:paraId="6D00C42C" w14:textId="77777777" w:rsidR="00862DFA" w:rsidRPr="007848F8" w:rsidRDefault="00862DFA" w:rsidP="004E39C5">
            <w:pPr>
              <w:spacing w:after="160"/>
            </w:pPr>
            <w:r w:rsidRPr="007848F8">
              <w:t xml:space="preserve">Improve operations </w:t>
            </w:r>
            <w:r>
              <w:t>and</w:t>
            </w:r>
            <w:r w:rsidRPr="007848F8">
              <w:t xml:space="preserve"> workforce readiness</w:t>
            </w:r>
          </w:p>
        </w:tc>
        <w:tc>
          <w:tcPr>
            <w:tcW w:w="2535" w:type="dxa"/>
            <w:hideMark/>
          </w:tcPr>
          <w:p w14:paraId="5172B33C" w14:textId="77777777" w:rsidR="00862DFA" w:rsidRPr="007848F8" w:rsidRDefault="00862DFA" w:rsidP="004E39C5">
            <w:pPr>
              <w:spacing w:after="160"/>
            </w:pPr>
            <w:r w:rsidRPr="007848F8">
              <w:t>Adopt new processing tech; provide quarterly staff training; improve workflows</w:t>
            </w:r>
          </w:p>
        </w:tc>
        <w:tc>
          <w:tcPr>
            <w:tcW w:w="3263" w:type="dxa"/>
            <w:hideMark/>
          </w:tcPr>
          <w:p w14:paraId="3852EA53" w14:textId="77777777" w:rsidR="00862DFA" w:rsidRDefault="00862DFA" w:rsidP="00862DFA">
            <w:pPr>
              <w:pStyle w:val="ListParagraph"/>
              <w:numPr>
                <w:ilvl w:val="0"/>
                <w:numId w:val="8"/>
              </w:numPr>
              <w:jc w:val="left"/>
            </w:pPr>
            <w:r w:rsidRPr="007848F8">
              <w:t xml:space="preserve">8% production efficiency increase in 1 year </w:t>
            </w:r>
          </w:p>
          <w:p w14:paraId="5FF450B6" w14:textId="77777777" w:rsidR="00862DFA" w:rsidRDefault="00862DFA" w:rsidP="00862DFA">
            <w:pPr>
              <w:pStyle w:val="ListParagraph"/>
              <w:numPr>
                <w:ilvl w:val="0"/>
                <w:numId w:val="8"/>
              </w:numPr>
              <w:jc w:val="left"/>
            </w:pPr>
            <w:r w:rsidRPr="007848F8">
              <w:t xml:space="preserve">Staff retention &gt;90% annually </w:t>
            </w:r>
          </w:p>
          <w:p w14:paraId="3AC938CC" w14:textId="77777777" w:rsidR="00862DFA" w:rsidRPr="007848F8" w:rsidRDefault="00862DFA" w:rsidP="00862DFA">
            <w:pPr>
              <w:pStyle w:val="ListParagraph"/>
              <w:numPr>
                <w:ilvl w:val="0"/>
                <w:numId w:val="8"/>
              </w:numPr>
              <w:jc w:val="left"/>
            </w:pPr>
            <w:r w:rsidRPr="007848F8">
              <w:t>10% downtime reduction in 12 months</w:t>
            </w:r>
          </w:p>
        </w:tc>
        <w:tc>
          <w:tcPr>
            <w:tcW w:w="2265" w:type="dxa"/>
            <w:hideMark/>
          </w:tcPr>
          <w:p w14:paraId="5494CC6A" w14:textId="77777777" w:rsidR="00862DFA" w:rsidRPr="007848F8" w:rsidRDefault="00862DFA" w:rsidP="004E39C5">
            <w:pPr>
              <w:spacing w:after="160"/>
            </w:pPr>
            <w:r w:rsidRPr="007848F8">
              <w:t>Supports scaling, reduces costs, and ensures workforce capability.</w:t>
            </w:r>
          </w:p>
        </w:tc>
      </w:tr>
      <w:tr w:rsidR="00862DFA" w:rsidRPr="007848F8" w14:paraId="0337FD38" w14:textId="77777777" w:rsidTr="004E39C5">
        <w:tc>
          <w:tcPr>
            <w:tcW w:w="1718" w:type="dxa"/>
            <w:hideMark/>
          </w:tcPr>
          <w:p w14:paraId="31AE8B50" w14:textId="77777777" w:rsidR="00862DFA" w:rsidRPr="007848F8" w:rsidRDefault="00862DFA" w:rsidP="004E39C5">
            <w:pPr>
              <w:spacing w:after="160"/>
            </w:pPr>
            <w:r w:rsidRPr="007848F8">
              <w:t xml:space="preserve">Enhance transparency </w:t>
            </w:r>
            <w:r>
              <w:t>and</w:t>
            </w:r>
            <w:r w:rsidRPr="007848F8">
              <w:t xml:space="preserve"> governance</w:t>
            </w:r>
          </w:p>
        </w:tc>
        <w:tc>
          <w:tcPr>
            <w:tcW w:w="2535" w:type="dxa"/>
            <w:hideMark/>
          </w:tcPr>
          <w:p w14:paraId="10234E69" w14:textId="77777777" w:rsidR="00862DFA" w:rsidRPr="007848F8" w:rsidRDefault="00862DFA" w:rsidP="004E39C5">
            <w:pPr>
              <w:spacing w:after="160"/>
            </w:pPr>
            <w:r w:rsidRPr="007848F8">
              <w:t>Quarterly ESG updates; investor briefings; annual community reporting</w:t>
            </w:r>
          </w:p>
        </w:tc>
        <w:tc>
          <w:tcPr>
            <w:tcW w:w="3263" w:type="dxa"/>
            <w:hideMark/>
          </w:tcPr>
          <w:p w14:paraId="3583DD86" w14:textId="77777777" w:rsidR="00862DFA" w:rsidRDefault="00862DFA" w:rsidP="00862DFA">
            <w:pPr>
              <w:pStyle w:val="ListParagraph"/>
              <w:numPr>
                <w:ilvl w:val="0"/>
                <w:numId w:val="9"/>
              </w:numPr>
              <w:jc w:val="left"/>
            </w:pPr>
            <w:r w:rsidRPr="007848F8">
              <w:t xml:space="preserve">Quarterly ESG reports delivered on time </w:t>
            </w:r>
          </w:p>
          <w:p w14:paraId="1ED62D2E" w14:textId="77777777" w:rsidR="00862DFA" w:rsidRDefault="00862DFA" w:rsidP="00862DFA">
            <w:pPr>
              <w:pStyle w:val="ListParagraph"/>
              <w:numPr>
                <w:ilvl w:val="0"/>
                <w:numId w:val="9"/>
              </w:numPr>
              <w:jc w:val="left"/>
            </w:pPr>
            <w:r w:rsidRPr="007848F8">
              <w:t xml:space="preserve">Investor confidence &gt;80% in 12 months </w:t>
            </w:r>
          </w:p>
          <w:p w14:paraId="19900CD6" w14:textId="77777777" w:rsidR="00862DFA" w:rsidRPr="007848F8" w:rsidRDefault="00862DFA" w:rsidP="00862DFA">
            <w:pPr>
              <w:pStyle w:val="ListParagraph"/>
              <w:numPr>
                <w:ilvl w:val="0"/>
                <w:numId w:val="9"/>
              </w:numPr>
              <w:jc w:val="left"/>
            </w:pPr>
            <w:r w:rsidRPr="007848F8">
              <w:t>20% increase in community project involvement yearly</w:t>
            </w:r>
          </w:p>
        </w:tc>
        <w:tc>
          <w:tcPr>
            <w:tcW w:w="2265" w:type="dxa"/>
            <w:hideMark/>
          </w:tcPr>
          <w:p w14:paraId="46494063" w14:textId="77777777" w:rsidR="00862DFA" w:rsidRPr="007848F8" w:rsidRDefault="00862DFA" w:rsidP="004E39C5">
            <w:pPr>
              <w:keepNext/>
              <w:spacing w:after="160"/>
            </w:pPr>
            <w:r w:rsidRPr="007848F8">
              <w:t xml:space="preserve">Builds trust, demonstrates accountability, </w:t>
            </w:r>
            <w:r>
              <w:t xml:space="preserve">and </w:t>
            </w:r>
            <w:r w:rsidRPr="007848F8">
              <w:t>strengthens long-term stakeholder support.</w:t>
            </w:r>
          </w:p>
        </w:tc>
      </w:tr>
    </w:tbl>
    <w:p w14:paraId="34B8F60C" w14:textId="34137E04" w:rsidR="00862DFA" w:rsidRPr="008557FD" w:rsidRDefault="00862DFA" w:rsidP="008557FD">
      <w:pPr>
        <w:jc w:val="center"/>
        <w:rPr>
          <w:b/>
          <w:bCs/>
        </w:rPr>
      </w:pPr>
      <w:r w:rsidRPr="006956B9">
        <w:rPr>
          <w:b/>
          <w:bCs/>
        </w:rPr>
        <w:t xml:space="preserve">Table </w:t>
      </w:r>
      <w:r w:rsidRPr="006956B9">
        <w:rPr>
          <w:b/>
          <w:bCs/>
        </w:rPr>
        <w:fldChar w:fldCharType="begin"/>
      </w:r>
      <w:r w:rsidRPr="006956B9">
        <w:rPr>
          <w:b/>
          <w:bCs/>
        </w:rPr>
        <w:instrText xml:space="preserve"> SEQ Table \* ARABIC </w:instrText>
      </w:r>
      <w:r w:rsidRPr="006956B9">
        <w:rPr>
          <w:b/>
          <w:bCs/>
        </w:rPr>
        <w:fldChar w:fldCharType="separate"/>
      </w:r>
      <w:r>
        <w:rPr>
          <w:b/>
          <w:bCs/>
          <w:noProof/>
        </w:rPr>
        <w:t>5</w:t>
      </w:r>
      <w:r w:rsidRPr="006956B9">
        <w:rPr>
          <w:b/>
          <w:bCs/>
        </w:rPr>
        <w:fldChar w:fldCharType="end"/>
      </w:r>
      <w:r w:rsidRPr="006956B9">
        <w:rPr>
          <w:b/>
          <w:bCs/>
        </w:rPr>
        <w:t>: KPI metrics</w:t>
      </w:r>
    </w:p>
    <w:p w14:paraId="36C405EC" w14:textId="77777777" w:rsidR="00862DFA" w:rsidRDefault="00862DFA" w:rsidP="00862DFA">
      <w:r w:rsidRPr="00E26C0E">
        <w:lastRenderedPageBreak/>
        <w:t>Innocent Drinks can implement these strategies through the coordination of different teams, which can be useful for the expansion of marketing policies, sustainability actions, and improvement of operations. Engagement of retail and supplier teams can be managed through structured meetings with digital teams driving online growth</w:t>
      </w:r>
      <w:r>
        <w:t xml:space="preserve"> (</w:t>
      </w:r>
      <w:r w:rsidRPr="009113D0">
        <w:t>Battisti, Agarwal, and Brem</w:t>
      </w:r>
      <w:r>
        <w:t>, 2022)</w:t>
      </w:r>
      <w:r w:rsidRPr="00E26C0E">
        <w:t xml:space="preserve">. Sustainability officers can examine audits and reduce waste through carbon tracking and packaging. Operations </w:t>
      </w:r>
      <w:r>
        <w:t>and</w:t>
      </w:r>
      <w:r w:rsidRPr="00E26C0E">
        <w:t xml:space="preserve"> HR teams will handle the production efficiency and training of employees. However</w:t>
      </w:r>
      <w:r>
        <w:t>,</w:t>
      </w:r>
      <w:r w:rsidRPr="00E26C0E">
        <w:t xml:space="preserve"> there can be challenges in terms of rising operational costs, resistance of suppliers to the new sustainability standards, </w:t>
      </w:r>
      <w:r>
        <w:t>and</w:t>
      </w:r>
      <w:r w:rsidRPr="00E26C0E">
        <w:t xml:space="preserve"> strain </w:t>
      </w:r>
      <w:r>
        <w:t>on</w:t>
      </w:r>
      <w:r w:rsidRPr="00E26C0E">
        <w:t xml:space="preserve"> capacity due to increased production. Saturation of products in the market with price sensitivity among customers due to </w:t>
      </w:r>
      <w:r>
        <w:t>rising</w:t>
      </w:r>
      <w:r w:rsidRPr="00E26C0E">
        <w:t xml:space="preserve"> costs can limit penetration efforts. The company should also invest significantly and conduct careful monitoring to face these issues and avoid reputational risks. </w:t>
      </w:r>
    </w:p>
    <w:p w14:paraId="1924073A" w14:textId="77777777" w:rsidR="00862DFA" w:rsidRDefault="00862DFA" w:rsidP="00862DFA">
      <w:pPr>
        <w:pStyle w:val="Heading1"/>
      </w:pPr>
      <w:bookmarkStart w:id="18" w:name="_Toc219911385"/>
      <w:r>
        <w:t>Conclusion</w:t>
      </w:r>
      <w:bookmarkEnd w:id="18"/>
    </w:p>
    <w:p w14:paraId="16360368" w14:textId="77777777" w:rsidR="00862DFA" w:rsidRDefault="00862DFA" w:rsidP="00862DFA">
      <w:r w:rsidRPr="00133B86">
        <w:t>In summary</w:t>
      </w:r>
      <w:r>
        <w:t>,</w:t>
      </w:r>
      <w:r w:rsidRPr="00133B86">
        <w:t xml:space="preserve"> Innocent Drinks can be a leader in the UK market due to its strong ethical identity and certification </w:t>
      </w:r>
      <w:r>
        <w:t>as a</w:t>
      </w:r>
      <w:r w:rsidRPr="00133B86">
        <w:t xml:space="preserve"> B Corp. However</w:t>
      </w:r>
      <w:r>
        <w:t>,</w:t>
      </w:r>
      <w:r w:rsidRPr="00133B86">
        <w:t xml:space="preserve"> there are m</w:t>
      </w:r>
      <w:r>
        <w:t>a</w:t>
      </w:r>
      <w:r w:rsidRPr="00133B86">
        <w:t>croeconomic pressures like high comparative rivalry and inflation</w:t>
      </w:r>
      <w:r>
        <w:t xml:space="preserve"> for the company</w:t>
      </w:r>
      <w:r w:rsidRPr="00133B86">
        <w:t>. Still</w:t>
      </w:r>
      <w:r>
        <w:t>,</w:t>
      </w:r>
      <w:r w:rsidRPr="00133B86">
        <w:t xml:space="preserve"> the company's commitment to sustainability can be a competitive advantage in the industry. A combined strategy of product development and market penetration is suggested for the brand to increase its footprint in the UK while innovating in functional and </w:t>
      </w:r>
      <w:r>
        <w:t>nutrient-rich</w:t>
      </w:r>
      <w:r w:rsidRPr="00133B86">
        <w:t xml:space="preserve"> products. This involves a balance</w:t>
      </w:r>
      <w:r>
        <w:t>,</w:t>
      </w:r>
      <w:r w:rsidRPr="00133B86">
        <w:t xml:space="preserve"> which is </w:t>
      </w:r>
      <w:r>
        <w:t>further</w:t>
      </w:r>
      <w:r w:rsidRPr="00133B86">
        <w:t xml:space="preserve"> supported by stakeholder engagement and clear monitoring of KPIs</w:t>
      </w:r>
      <w:r>
        <w:t>.</w:t>
      </w:r>
      <w:r w:rsidRPr="00133B86">
        <w:t xml:space="preserve"> </w:t>
      </w:r>
      <w:r>
        <w:t>These</w:t>
      </w:r>
      <w:r w:rsidRPr="00133B86">
        <w:t xml:space="preserve"> will ensure the company achieves significant financial growth without compromising the vision of sustainability. </w:t>
      </w:r>
    </w:p>
    <w:p w14:paraId="10D58890" w14:textId="031E2601" w:rsidR="00C37DFA" w:rsidRDefault="00C37DFA" w:rsidP="00C37DFA"/>
    <w:p w14:paraId="3AB9C441" w14:textId="77777777" w:rsidR="00C25A2E" w:rsidRPr="00AD2127" w:rsidRDefault="00C25A2E" w:rsidP="00BC1DC2"/>
    <w:p w14:paraId="5CE57BC8" w14:textId="48CFD696" w:rsidR="00665FC4" w:rsidRPr="00AD2127" w:rsidRDefault="00665FC4">
      <w:pPr>
        <w:spacing w:line="259" w:lineRule="auto"/>
        <w:jc w:val="left"/>
      </w:pPr>
      <w:r w:rsidRPr="00AD2127">
        <w:br w:type="page"/>
      </w:r>
    </w:p>
    <w:p w14:paraId="764F7160" w14:textId="4ABE7FAF" w:rsidR="00665FC4" w:rsidRDefault="00665FC4" w:rsidP="00665FC4">
      <w:pPr>
        <w:pStyle w:val="Heading1"/>
      </w:pPr>
      <w:bookmarkStart w:id="19" w:name="_Toc219911386"/>
      <w:r w:rsidRPr="00AD2127">
        <w:lastRenderedPageBreak/>
        <w:t>Reference List</w:t>
      </w:r>
      <w:bookmarkEnd w:id="19"/>
    </w:p>
    <w:p w14:paraId="6C6C72EA" w14:textId="77777777" w:rsidR="0036766E" w:rsidRPr="005F0A35" w:rsidRDefault="0036766E" w:rsidP="0036766E">
      <w:r w:rsidRPr="005F0A35">
        <w:t>Aditiya, S. and Kirana, D.H.K., (2025). ‘</w:t>
      </w:r>
      <w:proofErr w:type="spellStart"/>
      <w:r w:rsidRPr="005F0A35">
        <w:t>Smarteye</w:t>
      </w:r>
      <w:proofErr w:type="spellEnd"/>
      <w:r w:rsidRPr="005F0A35">
        <w:t>. id’s Business Expansion Strategy for Global Market Penetration through the Ansoff Matrix.’ </w:t>
      </w:r>
      <w:r w:rsidRPr="005F0A35">
        <w:rPr>
          <w:i/>
          <w:iCs/>
        </w:rPr>
        <w:t>International Journal of Management and Business Economics</w:t>
      </w:r>
      <w:r w:rsidRPr="005F0A35">
        <w:t>, </w:t>
      </w:r>
      <w:r w:rsidRPr="005F0A35">
        <w:rPr>
          <w:i/>
          <w:iCs/>
        </w:rPr>
        <w:t>3</w:t>
      </w:r>
      <w:r w:rsidRPr="005F0A35">
        <w:t xml:space="preserve">(2), pp.60-65. </w:t>
      </w:r>
      <w:hyperlink r:id="rId11" w:history="1">
        <w:r w:rsidRPr="005F0A35">
          <w:rPr>
            <w:rStyle w:val="Hyperlink"/>
          </w:rPr>
          <w:t>https://www.putrapublisher.org/ojs/index.php/jamis/article/download/705/868</w:t>
        </w:r>
      </w:hyperlink>
    </w:p>
    <w:p w14:paraId="17815BBE" w14:textId="77777777" w:rsidR="0036766E" w:rsidRPr="00C92DAC" w:rsidRDefault="0036766E" w:rsidP="00862DFA">
      <w:r w:rsidRPr="009113D0">
        <w:t xml:space="preserve">Battisti, S., Agarwal, N. and Brem, A. </w:t>
      </w:r>
      <w:r>
        <w:t>(</w:t>
      </w:r>
      <w:r w:rsidRPr="009113D0">
        <w:t>2022</w:t>
      </w:r>
      <w:r>
        <w:t>)</w:t>
      </w:r>
      <w:r w:rsidRPr="009113D0">
        <w:t xml:space="preserve"> Creating new tech entrepreneurs with digital platforms: Meta-organizations for shared value in data-driven retail ecosystems. </w:t>
      </w:r>
      <w:r w:rsidRPr="009113D0">
        <w:rPr>
          <w:i/>
          <w:iCs/>
        </w:rPr>
        <w:t>Technological Forecasting and Social Change</w:t>
      </w:r>
      <w:r w:rsidRPr="009113D0">
        <w:t>, </w:t>
      </w:r>
      <w:r w:rsidRPr="009113D0">
        <w:rPr>
          <w:i/>
          <w:iCs/>
        </w:rPr>
        <w:t>175</w:t>
      </w:r>
      <w:r w:rsidRPr="009113D0">
        <w:t>, p.121392.</w:t>
      </w:r>
      <w:r>
        <w:t xml:space="preserve"> </w:t>
      </w:r>
      <w:r w:rsidRPr="009113D0">
        <w:t>https://www.sciencedirect.com/science/article/pii/S0040162521008234</w:t>
      </w:r>
    </w:p>
    <w:p w14:paraId="58A94EAE" w14:textId="77777777" w:rsidR="0036766E" w:rsidRPr="00AD2127" w:rsidRDefault="0036766E" w:rsidP="00665FC4">
      <w:r w:rsidRPr="00AD2127">
        <w:t>Chaugule, M.P.S. (2023) ‘Shift of Millennials and Gen Z towards Veganism in respect to Vegan and Plant-based food consumption’, </w:t>
      </w:r>
      <w:r w:rsidRPr="00AD2127">
        <w:rPr>
          <w:i/>
          <w:iCs/>
        </w:rPr>
        <w:t>Journal Of Management And Entrepreneurship UGC Care Group 1 Journal</w:t>
      </w:r>
      <w:r w:rsidRPr="00AD2127">
        <w:t xml:space="preserve">, 17(1), pp.2229-5348. </w:t>
      </w:r>
      <w:hyperlink r:id="rId12" w:history="1">
        <w:r w:rsidRPr="00AD2127">
          <w:rPr>
            <w:rStyle w:val="Hyperlink"/>
          </w:rPr>
          <w:t>https://www.researchgate.net/profile/Pinki-Chaugule/publication/384681958_SHIFT_OF_MILLENNIALS_AND_GEN_Z_TOWARDS_VEGANISM_IN_RESPECT_TO_VEGAN_AND_PLANT-BASED_FOOD_CONSUMPTION/links/67402b33b5bd9d17d6fc69d4/SHIFT-OF-MILLENNIALS-AND-GEN-Z-TOWARDS-VEGANISM-IN-RESPECT-TO-VEGAN-AND-PLANT-BASED-FOOD-CONSUMPTION.pdf</w:t>
        </w:r>
      </w:hyperlink>
    </w:p>
    <w:p w14:paraId="723C4E10" w14:textId="77777777" w:rsidR="0036766E" w:rsidRPr="005F0A35" w:rsidRDefault="0036766E" w:rsidP="0036766E">
      <w:r w:rsidRPr="005F0A35">
        <w:t>Clarissia, S.M.S., (2020). ‘A study on Ansoff Matrix Technique: As a growth strategy and an adaptive learning technique adopted in the leading brand of products.’ </w:t>
      </w:r>
      <w:r w:rsidRPr="005F0A35">
        <w:rPr>
          <w:i/>
          <w:iCs/>
        </w:rPr>
        <w:t>BIMS Journal of Management</w:t>
      </w:r>
      <w:r w:rsidRPr="005F0A35">
        <w:t>, </w:t>
      </w:r>
      <w:r w:rsidRPr="005F0A35">
        <w:rPr>
          <w:i/>
          <w:iCs/>
        </w:rPr>
        <w:t>18</w:t>
      </w:r>
      <w:r w:rsidRPr="005F0A35">
        <w:t xml:space="preserve">. </w:t>
      </w:r>
      <w:hyperlink r:id="rId13" w:anchor="page=26" w:history="1">
        <w:r w:rsidRPr="005F0A35">
          <w:rPr>
            <w:rStyle w:val="Hyperlink"/>
          </w:rPr>
          <w:t>https://bimskol.org/pdf/E-copy-BIMS-Journal-Management-Kolkata-Vol5-Issue-1-July-2020.pdf#page=26</w:t>
        </w:r>
      </w:hyperlink>
    </w:p>
    <w:p w14:paraId="0E8BA863" w14:textId="77777777" w:rsidR="0036766E" w:rsidRPr="005F0A35" w:rsidRDefault="0036766E" w:rsidP="0036766E">
      <w:r w:rsidRPr="005F0A35">
        <w:t>Damberg, S., (2022). ‘Predicting future use intention of fitness apps among fitness app users in the United Kingdom: the role of health consciousness.’ </w:t>
      </w:r>
      <w:r w:rsidRPr="005F0A35">
        <w:rPr>
          <w:i/>
          <w:iCs/>
        </w:rPr>
        <w:t>International Journal of Sports Marketing and Sponsorship</w:t>
      </w:r>
      <w:r w:rsidRPr="005F0A35">
        <w:t>, </w:t>
      </w:r>
      <w:r w:rsidRPr="005F0A35">
        <w:rPr>
          <w:i/>
          <w:iCs/>
        </w:rPr>
        <w:t>23</w:t>
      </w:r>
      <w:r w:rsidRPr="005F0A35">
        <w:t xml:space="preserve">(2), pp.369-384. </w:t>
      </w:r>
      <w:hyperlink r:id="rId14" w:history="1">
        <w:r w:rsidRPr="005F0A35">
          <w:rPr>
            <w:rStyle w:val="Hyperlink"/>
          </w:rPr>
          <w:t>https://www.emerald.com/ijsms/article-pdf/23/2/369/2162492/ijsms-01-2021-0013.pdf</w:t>
        </w:r>
      </w:hyperlink>
    </w:p>
    <w:p w14:paraId="1EC79916" w14:textId="77777777" w:rsidR="0036766E" w:rsidRDefault="0036766E" w:rsidP="0036766E">
      <w:r w:rsidRPr="005F0A35">
        <w:t xml:space="preserve">De Roest, K., Ferrari, P. and </w:t>
      </w:r>
      <w:proofErr w:type="spellStart"/>
      <w:r w:rsidRPr="005F0A35">
        <w:t>Knickel</w:t>
      </w:r>
      <w:proofErr w:type="spellEnd"/>
      <w:r w:rsidRPr="005F0A35">
        <w:t>, K., (2018). ‘Specialisation and economies of scale or diversification and economies of scope? Assessing different agricultural development pathways.’ </w:t>
      </w:r>
      <w:r w:rsidRPr="005F0A35">
        <w:rPr>
          <w:i/>
          <w:iCs/>
        </w:rPr>
        <w:t>Journal of Rural Studies</w:t>
      </w:r>
      <w:r w:rsidRPr="005F0A35">
        <w:t>, </w:t>
      </w:r>
      <w:r w:rsidRPr="005F0A35">
        <w:rPr>
          <w:i/>
          <w:iCs/>
        </w:rPr>
        <w:t>59</w:t>
      </w:r>
      <w:r w:rsidRPr="005F0A35">
        <w:t xml:space="preserve">, pp.222-231. </w:t>
      </w:r>
      <w:hyperlink r:id="rId15" w:history="1">
        <w:r w:rsidRPr="005F0A35">
          <w:rPr>
            <w:rStyle w:val="Hyperlink"/>
          </w:rPr>
          <w:t>https://www.crpa.it/media/documents/crpa_www/Settori/Economia/Download/Archivio_2018/De_Roest_et.al._2018.pdf</w:t>
        </w:r>
      </w:hyperlink>
    </w:p>
    <w:p w14:paraId="6A48A087" w14:textId="77777777" w:rsidR="0036766E" w:rsidRPr="00622328" w:rsidRDefault="0036766E" w:rsidP="00862DFA">
      <w:r w:rsidRPr="007848F8">
        <w:t xml:space="preserve">Farooq, A., Abbey, A.B.N. and </w:t>
      </w:r>
      <w:proofErr w:type="spellStart"/>
      <w:r w:rsidRPr="007848F8">
        <w:t>Onukwulu</w:t>
      </w:r>
      <w:proofErr w:type="spellEnd"/>
      <w:r w:rsidRPr="007848F8">
        <w:t xml:space="preserve">, E.C. </w:t>
      </w:r>
      <w:r>
        <w:t>(</w:t>
      </w:r>
      <w:r w:rsidRPr="007848F8">
        <w:t>2024</w:t>
      </w:r>
      <w:r>
        <w:t>)</w:t>
      </w:r>
      <w:r w:rsidRPr="007848F8">
        <w:t xml:space="preserve"> A conceptual framework for ergonomic innovations in logistics: Enhancing workplace safety through data-driven design. </w:t>
      </w:r>
      <w:r w:rsidRPr="007848F8">
        <w:rPr>
          <w:i/>
          <w:iCs/>
        </w:rPr>
        <w:t>Gulf Journal of Advance Business Research</w:t>
      </w:r>
      <w:r w:rsidRPr="007848F8">
        <w:t>, </w:t>
      </w:r>
      <w:r w:rsidRPr="007848F8">
        <w:rPr>
          <w:i/>
          <w:iCs/>
        </w:rPr>
        <w:t>2</w:t>
      </w:r>
      <w:r w:rsidRPr="007848F8">
        <w:t>(6), pp.435-446.</w:t>
      </w:r>
      <w:r>
        <w:t xml:space="preserve"> </w:t>
      </w:r>
      <w:r w:rsidRPr="007848F8">
        <w:t>https://www.researchgate.net/profile/Anate-</w:t>
      </w:r>
      <w:r w:rsidRPr="007848F8">
        <w:lastRenderedPageBreak/>
        <w:t>Abbey/publication/388421788_Ergonomic_innovations_in_logistics_Gulf_Journal_of_Advance_Business_Research_A_conceptual_framework_for_ergonomic_innovations_in_logistics_enhancing_workplace_safety_through_data-driven_design/links/67986c218311ce680c3e3e55/Ergonomic-innovations-in-logistics-Gulf-Journal-of-Advance-Business-Research-A-conceptual-framework-for-ergonomic-innovations-in-logistics-enhancing-workplace-safety-through-data-driven-design.pdf</w:t>
      </w:r>
    </w:p>
    <w:p w14:paraId="7F435C71" w14:textId="77777777" w:rsidR="0036766E" w:rsidRPr="005F0A35" w:rsidRDefault="0036766E" w:rsidP="0036766E">
      <w:proofErr w:type="spellStart"/>
      <w:r w:rsidRPr="005F0A35">
        <w:t>Fathin</w:t>
      </w:r>
      <w:proofErr w:type="spellEnd"/>
      <w:r w:rsidRPr="005F0A35">
        <w:t xml:space="preserve">, F.F., </w:t>
      </w:r>
      <w:proofErr w:type="spellStart"/>
      <w:r w:rsidRPr="005F0A35">
        <w:t>Sosianika</w:t>
      </w:r>
      <w:proofErr w:type="spellEnd"/>
      <w:r w:rsidRPr="005F0A35">
        <w:t>, A., Amalia, F.A. and Kania, R., (2023). ‘The role of health consciousness and trust on Gen Y and Gen Z intention to purchase functional beverages.’ </w:t>
      </w:r>
      <w:r w:rsidRPr="005F0A35">
        <w:rPr>
          <w:i/>
          <w:iCs/>
        </w:rPr>
        <w:t>Journal of Consumer Sciences</w:t>
      </w:r>
      <w:r w:rsidRPr="005F0A35">
        <w:t>, </w:t>
      </w:r>
      <w:r w:rsidRPr="005F0A35">
        <w:rPr>
          <w:i/>
          <w:iCs/>
        </w:rPr>
        <w:t>8</w:t>
      </w:r>
      <w:r w:rsidRPr="005F0A35">
        <w:t xml:space="preserve">(3), pp.360-378. </w:t>
      </w:r>
      <w:hyperlink r:id="rId16" w:history="1">
        <w:r w:rsidRPr="005F0A35">
          <w:rPr>
            <w:rStyle w:val="Hyperlink"/>
          </w:rPr>
          <w:t>https://journal.ipb.ac.id/index.php/jcs/article/download/47546/26745</w:t>
        </w:r>
      </w:hyperlink>
    </w:p>
    <w:p w14:paraId="563E4F7D" w14:textId="77777777" w:rsidR="0036766E" w:rsidRPr="005F0A35" w:rsidRDefault="0036766E" w:rsidP="0036766E">
      <w:r w:rsidRPr="005F0A35">
        <w:t>Finnegan, D.Y. and Krzyzaniak, D.S.A., (2024). ‘Clean Labels in the Food Industry: Regulatory Considerations and Challenges in Balancing Consumer Demand, Safety and Sustainability.’ </w:t>
      </w:r>
      <w:r w:rsidRPr="005F0A35">
        <w:rPr>
          <w:i/>
          <w:iCs/>
        </w:rPr>
        <w:t>Food Science and Nutrition Cases</w:t>
      </w:r>
      <w:r w:rsidRPr="005F0A35">
        <w:t xml:space="preserve">, (2024). </w:t>
      </w:r>
      <w:hyperlink r:id="rId17" w:history="1">
        <w:r w:rsidRPr="005F0A35">
          <w:rPr>
            <w:rStyle w:val="Hyperlink"/>
          </w:rPr>
          <w:t>https://www.cabidigitallibrary.org/doi/pdf/10.1079/fsncases.2024.0017</w:t>
        </w:r>
      </w:hyperlink>
    </w:p>
    <w:p w14:paraId="2F7C52BE" w14:textId="77777777" w:rsidR="0036766E" w:rsidRPr="005F0A35" w:rsidRDefault="0036766E" w:rsidP="0036766E">
      <w:r w:rsidRPr="005F0A35">
        <w:t>Forde, H., Penney, T.L., White, M., Levy, L., Greaves, F. and Adams, J., (2022). ‘Understanding marketing responses to a tax on sugary drinks: a qualitative interview study in the United Kingdom, 2019.’ </w:t>
      </w:r>
      <w:r w:rsidRPr="005F0A35">
        <w:rPr>
          <w:i/>
          <w:iCs/>
        </w:rPr>
        <w:t>International Journal of Health Policy and Management</w:t>
      </w:r>
      <w:r w:rsidRPr="005F0A35">
        <w:t>, </w:t>
      </w:r>
      <w:r w:rsidRPr="005F0A35">
        <w:rPr>
          <w:i/>
          <w:iCs/>
        </w:rPr>
        <w:t>11</w:t>
      </w:r>
      <w:r w:rsidRPr="005F0A35">
        <w:t xml:space="preserve">(11), p.2618. </w:t>
      </w:r>
      <w:hyperlink r:id="rId18" w:history="1">
        <w:r w:rsidRPr="005F0A35">
          <w:rPr>
            <w:rStyle w:val="Hyperlink"/>
          </w:rPr>
          <w:t>https://pmc.ncbi.nlm.nih.gov/articles/PMC9818127/pdf/ijhpm-11-2618.pdf</w:t>
        </w:r>
      </w:hyperlink>
    </w:p>
    <w:p w14:paraId="4F7EFED1" w14:textId="77777777" w:rsidR="0036766E" w:rsidRPr="00AD2127" w:rsidRDefault="0036766E" w:rsidP="00665FC4">
      <w:pPr>
        <w:rPr>
          <w:rFonts w:cs="Arial"/>
        </w:rPr>
      </w:pPr>
      <w:r w:rsidRPr="00AD2127">
        <w:rPr>
          <w:rFonts w:cs="Arial"/>
        </w:rPr>
        <w:t xml:space="preserve">Government of the UK. (2025) </w:t>
      </w:r>
      <w:r w:rsidRPr="00AD2127">
        <w:rPr>
          <w:rFonts w:cs="Arial"/>
          <w:i/>
          <w:iCs/>
        </w:rPr>
        <w:t>Review of raw cane sugar ATQ and related considerations</w:t>
      </w:r>
      <w:r w:rsidRPr="00AD2127">
        <w:rPr>
          <w:rFonts w:cs="Arial"/>
        </w:rPr>
        <w:t xml:space="preserve">, available at: </w:t>
      </w:r>
      <w:hyperlink r:id="rId19" w:anchor=":~:text=Following%20subsequent%20reviews%20of%20this,at%20%C2%A3280%20per%20tonne" w:history="1">
        <w:r w:rsidRPr="00AD2127">
          <w:rPr>
            <w:rStyle w:val="Hyperlink"/>
            <w:rFonts w:cs="Arial"/>
          </w:rPr>
          <w:t>https://www.gov.uk/government/publications/review-of-raw-cane-sugar-atq-and-related-considerations-2025/review-of-raw-cane-sugar-atq-and-related-considerations#:~:text=Following%20subsequent%20reviews%20of%20this,at%20%C2%A3280%20per%20tonne</w:t>
        </w:r>
      </w:hyperlink>
      <w:r w:rsidRPr="00AD2127">
        <w:rPr>
          <w:rFonts w:cs="Arial"/>
        </w:rPr>
        <w:t xml:space="preserve"> (Accessed 21 January 2026).</w:t>
      </w:r>
    </w:p>
    <w:p w14:paraId="56026FD1" w14:textId="77777777" w:rsidR="0036766E" w:rsidRPr="005F0A35" w:rsidRDefault="0036766E" w:rsidP="0036766E">
      <w:proofErr w:type="spellStart"/>
      <w:r w:rsidRPr="005F0A35">
        <w:t>Gurtu</w:t>
      </w:r>
      <w:proofErr w:type="spellEnd"/>
      <w:r w:rsidRPr="005F0A35">
        <w:t>, A. and Johny, J., (2021). ‘Supply chain risk management: Literature review.’ </w:t>
      </w:r>
      <w:r w:rsidRPr="005F0A35">
        <w:rPr>
          <w:i/>
          <w:iCs/>
        </w:rPr>
        <w:t>Risks</w:t>
      </w:r>
      <w:r w:rsidRPr="005F0A35">
        <w:t>, </w:t>
      </w:r>
      <w:r w:rsidRPr="005F0A35">
        <w:rPr>
          <w:i/>
          <w:iCs/>
        </w:rPr>
        <w:t>9</w:t>
      </w:r>
      <w:r w:rsidRPr="005F0A35">
        <w:t xml:space="preserve">(1), p.16. </w:t>
      </w:r>
      <w:hyperlink r:id="rId20" w:history="1">
        <w:r w:rsidRPr="005F0A35">
          <w:rPr>
            <w:rStyle w:val="Hyperlink"/>
          </w:rPr>
          <w:t>https://www.mdpi.com/2227-9091/9/1/16</w:t>
        </w:r>
      </w:hyperlink>
    </w:p>
    <w:p w14:paraId="3688813D" w14:textId="77777777" w:rsidR="0036766E" w:rsidRPr="00AD2127" w:rsidRDefault="0036766E" w:rsidP="00665FC4">
      <w:r w:rsidRPr="00AD2127">
        <w:t xml:space="preserve">Haokip, S.W., Shankar, K. and </w:t>
      </w:r>
      <w:proofErr w:type="spellStart"/>
      <w:r w:rsidRPr="00AD2127">
        <w:t>Lalrinngheta</w:t>
      </w:r>
      <w:proofErr w:type="spellEnd"/>
      <w:r w:rsidRPr="00AD2127">
        <w:t>, J. (2020) ‘Climate change and its impact on fruit crops’, </w:t>
      </w:r>
      <w:r w:rsidRPr="00AD2127">
        <w:rPr>
          <w:i/>
          <w:iCs/>
        </w:rPr>
        <w:t>Journal of Pharmacognosy and Phytochemistry</w:t>
      </w:r>
      <w:r w:rsidRPr="00AD2127">
        <w:t xml:space="preserve">, 9(1), pp.435-438. </w:t>
      </w:r>
      <w:hyperlink r:id="rId21" w:history="1">
        <w:r w:rsidRPr="00AD2127">
          <w:rPr>
            <w:rStyle w:val="Hyperlink"/>
          </w:rPr>
          <w:t>https://www.researchgate.net/profile/Songthat-Haokip/publication/344662035_Climate_change_and_its_impact_on_fruit_crops/links/5f87af6d299bf1b53e28d9f5/Climate-change-and-its-impact-on-fruit-crops.pdf</w:t>
        </w:r>
      </w:hyperlink>
    </w:p>
    <w:p w14:paraId="2DD2D29C" w14:textId="77777777" w:rsidR="0036766E" w:rsidRPr="00AD2127" w:rsidRDefault="0036766E" w:rsidP="00665FC4">
      <w:r w:rsidRPr="00AD2127">
        <w:t xml:space="preserve">Innocent Drinks. (2022) </w:t>
      </w:r>
      <w:r w:rsidRPr="00AD2127">
        <w:rPr>
          <w:i/>
          <w:iCs/>
        </w:rPr>
        <w:t>Doing good stuff in 2022</w:t>
      </w:r>
      <w:r w:rsidRPr="00AD2127">
        <w:t xml:space="preserve">, available at: </w:t>
      </w:r>
      <w:hyperlink r:id="rId22" w:history="1">
        <w:r w:rsidRPr="00AD2127">
          <w:rPr>
            <w:rStyle w:val="Hyperlink"/>
          </w:rPr>
          <w:t>https://www.innocentdrinks.co.uk/content/dam/innocent/gb/en/GARR%20V15%20(2).pdf</w:t>
        </w:r>
      </w:hyperlink>
      <w:r w:rsidRPr="00AD2127">
        <w:t xml:space="preserve"> (Accessed 21 January 2026).</w:t>
      </w:r>
    </w:p>
    <w:p w14:paraId="0BE66F29" w14:textId="77777777" w:rsidR="0036766E" w:rsidRPr="00AD2127" w:rsidRDefault="0036766E" w:rsidP="00665FC4">
      <w:r w:rsidRPr="00AD2127">
        <w:lastRenderedPageBreak/>
        <w:t xml:space="preserve">Innocent Drinks. (2026) </w:t>
      </w:r>
      <w:r w:rsidRPr="00AD2127">
        <w:rPr>
          <w:i/>
          <w:iCs/>
        </w:rPr>
        <w:t>About us</w:t>
      </w:r>
      <w:r w:rsidRPr="00AD2127">
        <w:t xml:space="preserve">, available at: </w:t>
      </w:r>
      <w:hyperlink r:id="rId23" w:history="1">
        <w:r w:rsidRPr="00AD2127">
          <w:rPr>
            <w:rStyle w:val="Hyperlink"/>
          </w:rPr>
          <w:t>https://www.innocentdrinks.co.uk/a-bit-about-us</w:t>
        </w:r>
      </w:hyperlink>
      <w:r w:rsidRPr="00AD2127">
        <w:t xml:space="preserve"> (Accessed 21 January 2026).</w:t>
      </w:r>
    </w:p>
    <w:p w14:paraId="22432C1F" w14:textId="77777777" w:rsidR="0036766E" w:rsidRPr="00AD2127" w:rsidRDefault="0036766E" w:rsidP="00665FC4">
      <w:r w:rsidRPr="00AD2127">
        <w:t>Isabelle, D., Horak, K., McKinnon, S. and Palumbo, C. (2020) ‘Is Porter's Five Forces Framework Still Relevant? A study of the capital/labour intensity continuum via mining and IT industries’, </w:t>
      </w:r>
      <w:r w:rsidRPr="00AD2127">
        <w:rPr>
          <w:i/>
          <w:iCs/>
        </w:rPr>
        <w:t>Technology innovation management review</w:t>
      </w:r>
      <w:r w:rsidRPr="00AD2127">
        <w:t xml:space="preserve">, 10(6). </w:t>
      </w:r>
      <w:hyperlink r:id="rId24" w:history="1">
        <w:r w:rsidRPr="00AD2127">
          <w:rPr>
            <w:rStyle w:val="Hyperlink"/>
          </w:rPr>
          <w:t>https://www.timreview.ca/sites/default/files/article_PDF/TIMReview_2020_June%20-%203.pdf</w:t>
        </w:r>
      </w:hyperlink>
    </w:p>
    <w:p w14:paraId="06006BE5" w14:textId="77777777" w:rsidR="0036766E" w:rsidRPr="005F0A35" w:rsidRDefault="0036766E" w:rsidP="0036766E">
      <w:r w:rsidRPr="005F0A35">
        <w:t>Majeed, M.U., Hussain, Z. and Aslam, S., (2025). ‘The Impact of Globalization on Relationship Marketing and Customer Loyalty: The Mediating Role of Cultural Adaptation.’ </w:t>
      </w:r>
      <w:r w:rsidRPr="005F0A35">
        <w:rPr>
          <w:i/>
          <w:iCs/>
        </w:rPr>
        <w:t>International Journal of Marketing, Communication and New Media</w:t>
      </w:r>
      <w:r w:rsidRPr="005F0A35">
        <w:t xml:space="preserve">, (17). </w:t>
      </w:r>
      <w:hyperlink r:id="rId25" w:history="1">
        <w:r w:rsidRPr="005F0A35">
          <w:rPr>
            <w:rStyle w:val="Hyperlink"/>
          </w:rPr>
          <w:t>http://u3isjournal.isvouga.pt/index.php/ijmcnm/article/download/951/485</w:t>
        </w:r>
      </w:hyperlink>
    </w:p>
    <w:p w14:paraId="5937E05E" w14:textId="77777777" w:rsidR="0036766E" w:rsidRPr="00AD2127" w:rsidRDefault="0036766E" w:rsidP="00665FC4">
      <w:r w:rsidRPr="00AD2127">
        <w:t xml:space="preserve">Market Research. (2025) </w:t>
      </w:r>
      <w:r w:rsidRPr="00AD2127">
        <w:rPr>
          <w:i/>
          <w:iCs/>
        </w:rPr>
        <w:t>UK Plant-based Beverages Market</w:t>
      </w:r>
      <w:r w:rsidRPr="00AD2127">
        <w:t xml:space="preserve">, available at: </w:t>
      </w:r>
      <w:hyperlink r:id="rId26" w:history="1">
        <w:r w:rsidRPr="00AD2127">
          <w:rPr>
            <w:rStyle w:val="Hyperlink"/>
          </w:rPr>
          <w:t>https://www.marketresearchfuture.com/reports/uk-plant-based-beverages-market-47797</w:t>
        </w:r>
      </w:hyperlink>
      <w:r w:rsidRPr="00AD2127">
        <w:t xml:space="preserve"> (Accessed 21 January 2026).</w:t>
      </w:r>
    </w:p>
    <w:p w14:paraId="4FA76E7C" w14:textId="77777777" w:rsidR="0036766E" w:rsidRPr="00862DFA" w:rsidRDefault="0036766E" w:rsidP="00862DFA">
      <w:r w:rsidRPr="003641F8">
        <w:t xml:space="preserve">Mints, A. and </w:t>
      </w:r>
      <w:proofErr w:type="spellStart"/>
      <w:r w:rsidRPr="003641F8">
        <w:t>Kamyshnykova</w:t>
      </w:r>
      <w:proofErr w:type="spellEnd"/>
      <w:r w:rsidRPr="003641F8">
        <w:t xml:space="preserve">, E. </w:t>
      </w:r>
      <w:r>
        <w:t>(</w:t>
      </w:r>
      <w:r w:rsidRPr="003641F8">
        <w:t>2021</w:t>
      </w:r>
      <w:r>
        <w:t>)</w:t>
      </w:r>
      <w:r w:rsidRPr="003641F8">
        <w:t xml:space="preserve"> Fuzzy methods of stakeholder prioritisation in the context of stakeholder management. </w:t>
      </w:r>
      <w:r w:rsidRPr="003641F8">
        <w:rPr>
          <w:i/>
          <w:iCs/>
        </w:rPr>
        <w:t>International Journal of Learning and Change</w:t>
      </w:r>
      <w:r w:rsidRPr="003641F8">
        <w:t>, </w:t>
      </w:r>
      <w:r w:rsidRPr="003641F8">
        <w:rPr>
          <w:i/>
          <w:iCs/>
        </w:rPr>
        <w:t>13</w:t>
      </w:r>
      <w:r w:rsidRPr="003641F8">
        <w:t>(4-5), pp.372-398.</w:t>
      </w:r>
      <w:r>
        <w:t xml:space="preserve"> </w:t>
      </w:r>
      <w:r w:rsidRPr="003641F8">
        <w:t>https://www.inderscienceonline.com/doi/abs/10.1504/IJLC.2021.116673</w:t>
      </w:r>
    </w:p>
    <w:p w14:paraId="654659F2" w14:textId="77777777" w:rsidR="0036766E" w:rsidRPr="005F0A35" w:rsidRDefault="0036766E" w:rsidP="0036766E">
      <w:r w:rsidRPr="005F0A35">
        <w:t xml:space="preserve">Mordor Intelligence (2026), </w:t>
      </w:r>
      <w:r w:rsidRPr="005F0A35">
        <w:rPr>
          <w:i/>
          <w:iCs/>
        </w:rPr>
        <w:t>Functional Beverage Market</w:t>
      </w:r>
      <w:r w:rsidRPr="005F0A35">
        <w:t xml:space="preserve">  </w:t>
      </w:r>
      <w:hyperlink r:id="rId27" w:history="1">
        <w:r w:rsidRPr="005F0A35">
          <w:rPr>
            <w:rStyle w:val="Hyperlink"/>
          </w:rPr>
          <w:t>https://mordorintelligence.com/industry-reports/functional-beverage-market</w:t>
        </w:r>
      </w:hyperlink>
    </w:p>
    <w:p w14:paraId="56F57D04" w14:textId="77777777" w:rsidR="0036766E" w:rsidRPr="00AD2127" w:rsidRDefault="0036766E" w:rsidP="00665FC4">
      <w:r w:rsidRPr="00AD2127">
        <w:t xml:space="preserve">ONS. (2025) </w:t>
      </w:r>
      <w:r w:rsidRPr="00AD2127">
        <w:rPr>
          <w:i/>
          <w:iCs/>
        </w:rPr>
        <w:t>Gross Domestic Product</w:t>
      </w:r>
      <w:r w:rsidRPr="00AD2127">
        <w:t xml:space="preserve">, available at: </w:t>
      </w:r>
      <w:hyperlink r:id="rId28" w:anchor=":~:text=What's%20in%20the%20bulletin?,More%20publications" w:history="1">
        <w:r w:rsidRPr="00AD2127">
          <w:rPr>
            <w:rStyle w:val="Hyperlink"/>
          </w:rPr>
          <w:t>https://www.ons.gov.uk/economy/grossdomesticproductgdp#:~:text=What's%20in%20the%20bulletin?,More%20publications</w:t>
        </w:r>
      </w:hyperlink>
      <w:r w:rsidRPr="00AD2127">
        <w:t xml:space="preserve"> (Accessed 21 January 2026).</w:t>
      </w:r>
    </w:p>
    <w:p w14:paraId="22C9F612" w14:textId="77777777" w:rsidR="0036766E" w:rsidRDefault="0036766E" w:rsidP="00862DFA">
      <w:r w:rsidRPr="0070383B">
        <w:t xml:space="preserve">Phillips, R.A., Barney, J.B., Freeman, R.E. and Harrison, J.S. </w:t>
      </w:r>
      <w:r>
        <w:t>(</w:t>
      </w:r>
      <w:r w:rsidRPr="0070383B">
        <w:t>2019</w:t>
      </w:r>
      <w:r>
        <w:t>)</w:t>
      </w:r>
      <w:r w:rsidRPr="0070383B">
        <w:t xml:space="preserve"> Stakeholder theory.</w:t>
      </w:r>
      <w:r>
        <w:t xml:space="preserve"> </w:t>
      </w:r>
      <w:r w:rsidRPr="0070383B">
        <w:rPr>
          <w:i/>
          <w:iCs/>
        </w:rPr>
        <w:t>1-16, Oxford: Oxford University Press</w:t>
      </w:r>
      <w:r>
        <w:t xml:space="preserve">. </w:t>
      </w:r>
      <w:hyperlink r:id="rId29" w:history="1">
        <w:r w:rsidRPr="009D27A6">
          <w:rPr>
            <w:rStyle w:val="Hyperlink"/>
          </w:rPr>
          <w:t>https://scholarship.richmond.edu/cgi/viewcontent.cgi?article=1105&amp;context=management-faculty-publications</w:t>
        </w:r>
      </w:hyperlink>
    </w:p>
    <w:p w14:paraId="38F1CE6E" w14:textId="77777777" w:rsidR="0036766E" w:rsidRPr="00AD2127" w:rsidRDefault="0036766E" w:rsidP="00665FC4">
      <w:r w:rsidRPr="00AD2127">
        <w:t xml:space="preserve">Slotta, D. (2025) </w:t>
      </w:r>
      <w:r w:rsidRPr="00AD2127">
        <w:rPr>
          <w:i/>
          <w:iCs/>
        </w:rPr>
        <w:t>Social media usage in the United Kingdom (UK) - statistics &amp; facts</w:t>
      </w:r>
      <w:r w:rsidRPr="00AD2127">
        <w:t xml:space="preserve">, available at: </w:t>
      </w:r>
      <w:hyperlink r:id="rId30" w:history="1">
        <w:r w:rsidRPr="00AD2127">
          <w:rPr>
            <w:rStyle w:val="Hyperlink"/>
          </w:rPr>
          <w:t>https://www.statista.com/topics/3236/social-media-usage-in-the-uk/?srsltid=AfmBOorz_Q1x-Q76VZswFjyXTzNu8cBSi2PzK4E9DumTuH_3t-xKfVDB</w:t>
        </w:r>
      </w:hyperlink>
      <w:r w:rsidRPr="00AD2127">
        <w:t xml:space="preserve"> (Accessed 21 January 2026).</w:t>
      </w:r>
    </w:p>
    <w:p w14:paraId="2F892D26" w14:textId="77777777" w:rsidR="0036766E" w:rsidRDefault="0036766E" w:rsidP="00665FC4">
      <w:proofErr w:type="spellStart"/>
      <w:r w:rsidRPr="00AD2127">
        <w:t>Ulubeyli</w:t>
      </w:r>
      <w:proofErr w:type="spellEnd"/>
      <w:r w:rsidRPr="00AD2127">
        <w:t xml:space="preserve">, S., </w:t>
      </w:r>
      <w:proofErr w:type="spellStart"/>
      <w:r w:rsidRPr="00AD2127">
        <w:t>Kazancı</w:t>
      </w:r>
      <w:proofErr w:type="spellEnd"/>
      <w:r w:rsidRPr="00AD2127">
        <w:t>, O., Kazaz, A. and Arslan, V. (2019) ‘Strategic factors affecting green building industry: A macro-environmental analysis using PESTEL framework’, </w:t>
      </w:r>
      <w:r w:rsidRPr="00AD2127">
        <w:rPr>
          <w:i/>
          <w:iCs/>
        </w:rPr>
        <w:t xml:space="preserve">Sakarya </w:t>
      </w:r>
      <w:r w:rsidRPr="00AD2127">
        <w:rPr>
          <w:i/>
          <w:iCs/>
        </w:rPr>
        <w:lastRenderedPageBreak/>
        <w:t>University Journal of Science</w:t>
      </w:r>
      <w:r w:rsidRPr="00AD2127">
        <w:t xml:space="preserve">, 23(6), pp.1042-1055. </w:t>
      </w:r>
      <w:hyperlink r:id="rId31" w:history="1">
        <w:r w:rsidRPr="00AD2127">
          <w:rPr>
            <w:rStyle w:val="Hyperlink"/>
          </w:rPr>
          <w:t>https://dergipark.org.tr/en/download/article-file/793017</w:t>
        </w:r>
      </w:hyperlink>
    </w:p>
    <w:p w14:paraId="3C95E6D1" w14:textId="77777777" w:rsidR="0036766E" w:rsidRPr="005F0A35" w:rsidRDefault="0036766E" w:rsidP="0036766E">
      <w:bookmarkStart w:id="20" w:name="_Hlk219909203"/>
      <w:r w:rsidRPr="005F0A35">
        <w:t>Zolfani</w:t>
      </w:r>
      <w:bookmarkEnd w:id="20"/>
      <w:r w:rsidRPr="005F0A35">
        <w:t xml:space="preserve">, S.H., </w:t>
      </w:r>
      <w:proofErr w:type="spellStart"/>
      <w:r w:rsidRPr="005F0A35">
        <w:t>Bazrafshan</w:t>
      </w:r>
      <w:proofErr w:type="spellEnd"/>
      <w:r w:rsidRPr="005F0A35">
        <w:t xml:space="preserve">, R., </w:t>
      </w:r>
      <w:proofErr w:type="spellStart"/>
      <w:r w:rsidRPr="005F0A35">
        <w:t>Akaberi</w:t>
      </w:r>
      <w:proofErr w:type="spellEnd"/>
      <w:r w:rsidRPr="005F0A35">
        <w:t xml:space="preserve">, P., Yazdani, M. and </w:t>
      </w:r>
      <w:proofErr w:type="spellStart"/>
      <w:r w:rsidRPr="005F0A35">
        <w:t>Ecer</w:t>
      </w:r>
      <w:proofErr w:type="spellEnd"/>
      <w:r w:rsidRPr="005F0A35">
        <w:t>, F., (2021). ‘Combining the suitability-feasibility-acceptability (SFA) strategy with the MCDM approach.’ </w:t>
      </w:r>
      <w:proofErr w:type="spellStart"/>
      <w:r w:rsidRPr="005F0A35">
        <w:rPr>
          <w:i/>
          <w:iCs/>
        </w:rPr>
        <w:t>Facta</w:t>
      </w:r>
      <w:proofErr w:type="spellEnd"/>
      <w:r w:rsidRPr="005F0A35">
        <w:rPr>
          <w:i/>
          <w:iCs/>
        </w:rPr>
        <w:t xml:space="preserve"> Universitatis, Series: Mechanical Engineering</w:t>
      </w:r>
      <w:r w:rsidRPr="005F0A35">
        <w:t>, </w:t>
      </w:r>
      <w:r w:rsidRPr="005F0A35">
        <w:rPr>
          <w:i/>
          <w:iCs/>
        </w:rPr>
        <w:t>19</w:t>
      </w:r>
      <w:r w:rsidRPr="005F0A35">
        <w:t xml:space="preserve">(3), pp.579-600. </w:t>
      </w:r>
      <w:hyperlink r:id="rId32" w:history="1">
        <w:r w:rsidRPr="005F0A35">
          <w:rPr>
            <w:rStyle w:val="Hyperlink"/>
          </w:rPr>
          <w:t>https://casopisi.junis.ni.ac.rs/index.php/FUMechEng/article/download/8001/4234</w:t>
        </w:r>
      </w:hyperlink>
    </w:p>
    <w:p w14:paraId="15B25533" w14:textId="77777777" w:rsidR="0036766E" w:rsidRPr="0076523B" w:rsidRDefault="0036766E" w:rsidP="0036766E"/>
    <w:p w14:paraId="3390C9E7" w14:textId="77777777" w:rsidR="0036766E" w:rsidRPr="00AD2127" w:rsidRDefault="0036766E" w:rsidP="00665FC4"/>
    <w:sectPr w:rsidR="0036766E" w:rsidRPr="00AD2127" w:rsidSect="0036766E">
      <w:head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84D368" w14:textId="77777777" w:rsidR="00217E48" w:rsidRDefault="00217E48" w:rsidP="00AD2127">
      <w:pPr>
        <w:spacing w:after="0" w:line="240" w:lineRule="auto"/>
      </w:pPr>
      <w:r>
        <w:separator/>
      </w:r>
    </w:p>
  </w:endnote>
  <w:endnote w:type="continuationSeparator" w:id="0">
    <w:p w14:paraId="5139676D" w14:textId="77777777" w:rsidR="00217E48" w:rsidRDefault="00217E48" w:rsidP="00AD2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2E600F" w14:textId="77777777" w:rsidR="00217E48" w:rsidRDefault="00217E48" w:rsidP="00AD2127">
      <w:pPr>
        <w:spacing w:after="0" w:line="240" w:lineRule="auto"/>
      </w:pPr>
      <w:r>
        <w:separator/>
      </w:r>
    </w:p>
  </w:footnote>
  <w:footnote w:type="continuationSeparator" w:id="0">
    <w:p w14:paraId="22DDC32D" w14:textId="77777777" w:rsidR="00217E48" w:rsidRDefault="00217E48" w:rsidP="00AD21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5484706"/>
      <w:docPartObj>
        <w:docPartGallery w:val="Page Numbers (Top of Page)"/>
        <w:docPartUnique/>
      </w:docPartObj>
    </w:sdtPr>
    <w:sdtContent>
      <w:p w14:paraId="7289AFEE" w14:textId="2B73F5FC" w:rsidR="0036766E" w:rsidRDefault="0036766E">
        <w:pPr>
          <w:pStyle w:val="Header"/>
          <w:jc w:val="right"/>
        </w:pPr>
        <w:r>
          <w:fldChar w:fldCharType="begin"/>
        </w:r>
        <w:r>
          <w:instrText>PAGE   \* MERGEFORMAT</w:instrText>
        </w:r>
        <w:r>
          <w:fldChar w:fldCharType="separate"/>
        </w:r>
        <w:r>
          <w:t>2</w:t>
        </w:r>
        <w:r>
          <w:fldChar w:fldCharType="end"/>
        </w:r>
      </w:p>
    </w:sdtContent>
  </w:sdt>
  <w:p w14:paraId="2722589E" w14:textId="77777777" w:rsidR="00AD2127" w:rsidRDefault="00AD21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A2233"/>
    <w:multiLevelType w:val="hybridMultilevel"/>
    <w:tmpl w:val="629A3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BE3315"/>
    <w:multiLevelType w:val="hybridMultilevel"/>
    <w:tmpl w:val="E4006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FC7CA9"/>
    <w:multiLevelType w:val="hybridMultilevel"/>
    <w:tmpl w:val="7E5874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63E51B8"/>
    <w:multiLevelType w:val="hybridMultilevel"/>
    <w:tmpl w:val="67B2B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9C4969"/>
    <w:multiLevelType w:val="hybridMultilevel"/>
    <w:tmpl w:val="E73442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FC62C60"/>
    <w:multiLevelType w:val="hybridMultilevel"/>
    <w:tmpl w:val="2F82D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580E22"/>
    <w:multiLevelType w:val="hybridMultilevel"/>
    <w:tmpl w:val="CFFC8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F535F9"/>
    <w:multiLevelType w:val="hybridMultilevel"/>
    <w:tmpl w:val="96189A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6BE29D4"/>
    <w:multiLevelType w:val="hybridMultilevel"/>
    <w:tmpl w:val="CBFC35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72124697">
    <w:abstractNumId w:val="2"/>
  </w:num>
  <w:num w:numId="2" w16cid:durableId="1630864248">
    <w:abstractNumId w:val="4"/>
  </w:num>
  <w:num w:numId="3" w16cid:durableId="2126387523">
    <w:abstractNumId w:val="7"/>
  </w:num>
  <w:num w:numId="4" w16cid:durableId="1655447716">
    <w:abstractNumId w:val="8"/>
  </w:num>
  <w:num w:numId="5" w16cid:durableId="1940868810">
    <w:abstractNumId w:val="6"/>
  </w:num>
  <w:num w:numId="6" w16cid:durableId="1544950304">
    <w:abstractNumId w:val="0"/>
  </w:num>
  <w:num w:numId="7" w16cid:durableId="1985426259">
    <w:abstractNumId w:val="3"/>
  </w:num>
  <w:num w:numId="8" w16cid:durableId="2099208780">
    <w:abstractNumId w:val="5"/>
  </w:num>
  <w:num w:numId="9" w16cid:durableId="10689218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BInMjQxMDYyMLYyBQ0lEKTi0uzszPAykwrAUAqhwxkiwAAAA="/>
  </w:docVars>
  <w:rsids>
    <w:rsidRoot w:val="00FD68DE"/>
    <w:rsid w:val="000005AD"/>
    <w:rsid w:val="0000179D"/>
    <w:rsid w:val="0000207B"/>
    <w:rsid w:val="00007376"/>
    <w:rsid w:val="00013895"/>
    <w:rsid w:val="00014095"/>
    <w:rsid w:val="00017598"/>
    <w:rsid w:val="00025F9D"/>
    <w:rsid w:val="000351D0"/>
    <w:rsid w:val="000358DF"/>
    <w:rsid w:val="00036917"/>
    <w:rsid w:val="000370D7"/>
    <w:rsid w:val="00041049"/>
    <w:rsid w:val="000420A5"/>
    <w:rsid w:val="000464D3"/>
    <w:rsid w:val="00051D3C"/>
    <w:rsid w:val="00052D54"/>
    <w:rsid w:val="00053DDF"/>
    <w:rsid w:val="00054298"/>
    <w:rsid w:val="00071409"/>
    <w:rsid w:val="00075FE1"/>
    <w:rsid w:val="00080F27"/>
    <w:rsid w:val="000849DD"/>
    <w:rsid w:val="0009088B"/>
    <w:rsid w:val="00092A6C"/>
    <w:rsid w:val="00095377"/>
    <w:rsid w:val="0009625B"/>
    <w:rsid w:val="000B3585"/>
    <w:rsid w:val="000B5BAC"/>
    <w:rsid w:val="000C3577"/>
    <w:rsid w:val="000C4A68"/>
    <w:rsid w:val="000C6685"/>
    <w:rsid w:val="000D1EBE"/>
    <w:rsid w:val="000D49E4"/>
    <w:rsid w:val="000E2B33"/>
    <w:rsid w:val="000F25B1"/>
    <w:rsid w:val="000F2BA6"/>
    <w:rsid w:val="00104210"/>
    <w:rsid w:val="001141A0"/>
    <w:rsid w:val="0011468A"/>
    <w:rsid w:val="00117EEE"/>
    <w:rsid w:val="00120778"/>
    <w:rsid w:val="001216BC"/>
    <w:rsid w:val="00121710"/>
    <w:rsid w:val="00121867"/>
    <w:rsid w:val="00121944"/>
    <w:rsid w:val="001328A2"/>
    <w:rsid w:val="001332CE"/>
    <w:rsid w:val="0013355F"/>
    <w:rsid w:val="00133D7E"/>
    <w:rsid w:val="001343E5"/>
    <w:rsid w:val="00134B9E"/>
    <w:rsid w:val="00137400"/>
    <w:rsid w:val="00140309"/>
    <w:rsid w:val="001413E2"/>
    <w:rsid w:val="00145053"/>
    <w:rsid w:val="00151F7D"/>
    <w:rsid w:val="00152A5D"/>
    <w:rsid w:val="00153AB4"/>
    <w:rsid w:val="00154514"/>
    <w:rsid w:val="001568DA"/>
    <w:rsid w:val="00157952"/>
    <w:rsid w:val="00161F09"/>
    <w:rsid w:val="00185A13"/>
    <w:rsid w:val="0019103E"/>
    <w:rsid w:val="001927F9"/>
    <w:rsid w:val="00193CF1"/>
    <w:rsid w:val="00193FE8"/>
    <w:rsid w:val="00194223"/>
    <w:rsid w:val="00196885"/>
    <w:rsid w:val="001A3FCF"/>
    <w:rsid w:val="001A4627"/>
    <w:rsid w:val="001A6ADF"/>
    <w:rsid w:val="001B1600"/>
    <w:rsid w:val="001B4535"/>
    <w:rsid w:val="001B668D"/>
    <w:rsid w:val="001B6CD4"/>
    <w:rsid w:val="001C0E60"/>
    <w:rsid w:val="001D12FB"/>
    <w:rsid w:val="001D180F"/>
    <w:rsid w:val="001D1BE8"/>
    <w:rsid w:val="001D4CA4"/>
    <w:rsid w:val="001E6449"/>
    <w:rsid w:val="001F3205"/>
    <w:rsid w:val="001F3B68"/>
    <w:rsid w:val="001F4891"/>
    <w:rsid w:val="001F4909"/>
    <w:rsid w:val="00203AF0"/>
    <w:rsid w:val="00212CD0"/>
    <w:rsid w:val="00215E0A"/>
    <w:rsid w:val="00217E48"/>
    <w:rsid w:val="00220E60"/>
    <w:rsid w:val="00221491"/>
    <w:rsid w:val="00221772"/>
    <w:rsid w:val="00226050"/>
    <w:rsid w:val="00233BC6"/>
    <w:rsid w:val="002402F0"/>
    <w:rsid w:val="002409F4"/>
    <w:rsid w:val="002463BA"/>
    <w:rsid w:val="002468F5"/>
    <w:rsid w:val="00247CC8"/>
    <w:rsid w:val="00253BFA"/>
    <w:rsid w:val="002572F9"/>
    <w:rsid w:val="00263657"/>
    <w:rsid w:val="00264E3E"/>
    <w:rsid w:val="00270BBF"/>
    <w:rsid w:val="002722BB"/>
    <w:rsid w:val="00273CFD"/>
    <w:rsid w:val="00276151"/>
    <w:rsid w:val="002773F4"/>
    <w:rsid w:val="00283E6F"/>
    <w:rsid w:val="00287384"/>
    <w:rsid w:val="00290FA7"/>
    <w:rsid w:val="00291192"/>
    <w:rsid w:val="00291349"/>
    <w:rsid w:val="00291F14"/>
    <w:rsid w:val="00295AB7"/>
    <w:rsid w:val="002A2714"/>
    <w:rsid w:val="002A2B2E"/>
    <w:rsid w:val="002A3723"/>
    <w:rsid w:val="002A431B"/>
    <w:rsid w:val="002A554D"/>
    <w:rsid w:val="002B10DE"/>
    <w:rsid w:val="002B335B"/>
    <w:rsid w:val="002B488D"/>
    <w:rsid w:val="002B6FB9"/>
    <w:rsid w:val="002B7CCD"/>
    <w:rsid w:val="002C0055"/>
    <w:rsid w:val="002C04B0"/>
    <w:rsid w:val="002C2A96"/>
    <w:rsid w:val="002C70F6"/>
    <w:rsid w:val="002C7E1D"/>
    <w:rsid w:val="002D0FC2"/>
    <w:rsid w:val="002D1506"/>
    <w:rsid w:val="002D25CD"/>
    <w:rsid w:val="002D32DD"/>
    <w:rsid w:val="002D550E"/>
    <w:rsid w:val="002D69F5"/>
    <w:rsid w:val="002D7F8C"/>
    <w:rsid w:val="002E079E"/>
    <w:rsid w:val="002E0AD4"/>
    <w:rsid w:val="002E6AAA"/>
    <w:rsid w:val="002F70CE"/>
    <w:rsid w:val="0030188F"/>
    <w:rsid w:val="00301FF9"/>
    <w:rsid w:val="00304D54"/>
    <w:rsid w:val="00306D38"/>
    <w:rsid w:val="00307A57"/>
    <w:rsid w:val="00310F41"/>
    <w:rsid w:val="00312333"/>
    <w:rsid w:val="00317E0E"/>
    <w:rsid w:val="00323CFD"/>
    <w:rsid w:val="00324E37"/>
    <w:rsid w:val="003264DC"/>
    <w:rsid w:val="003337E0"/>
    <w:rsid w:val="00335996"/>
    <w:rsid w:val="003417C5"/>
    <w:rsid w:val="00341D79"/>
    <w:rsid w:val="00342335"/>
    <w:rsid w:val="00343E7D"/>
    <w:rsid w:val="00344788"/>
    <w:rsid w:val="0034605C"/>
    <w:rsid w:val="0034622D"/>
    <w:rsid w:val="00350A7E"/>
    <w:rsid w:val="00351706"/>
    <w:rsid w:val="003533E9"/>
    <w:rsid w:val="00355079"/>
    <w:rsid w:val="00356698"/>
    <w:rsid w:val="00357B09"/>
    <w:rsid w:val="0036136B"/>
    <w:rsid w:val="0036766E"/>
    <w:rsid w:val="00372EB4"/>
    <w:rsid w:val="00374FEE"/>
    <w:rsid w:val="00376B7B"/>
    <w:rsid w:val="003A1954"/>
    <w:rsid w:val="003A5117"/>
    <w:rsid w:val="003B0677"/>
    <w:rsid w:val="003B37B7"/>
    <w:rsid w:val="003B4FB1"/>
    <w:rsid w:val="003C2126"/>
    <w:rsid w:val="003C6372"/>
    <w:rsid w:val="003D0458"/>
    <w:rsid w:val="003D264A"/>
    <w:rsid w:val="003D4349"/>
    <w:rsid w:val="003D7005"/>
    <w:rsid w:val="003E0FD4"/>
    <w:rsid w:val="003E303F"/>
    <w:rsid w:val="003E32AA"/>
    <w:rsid w:val="003E543B"/>
    <w:rsid w:val="003E616A"/>
    <w:rsid w:val="003E7421"/>
    <w:rsid w:val="003F1C1A"/>
    <w:rsid w:val="003F3CD2"/>
    <w:rsid w:val="003F3EC4"/>
    <w:rsid w:val="003F4AF0"/>
    <w:rsid w:val="004000C5"/>
    <w:rsid w:val="004016BC"/>
    <w:rsid w:val="004024FB"/>
    <w:rsid w:val="00405269"/>
    <w:rsid w:val="00413022"/>
    <w:rsid w:val="00415323"/>
    <w:rsid w:val="004169E5"/>
    <w:rsid w:val="00420AC7"/>
    <w:rsid w:val="00425AEB"/>
    <w:rsid w:val="00427C5C"/>
    <w:rsid w:val="004322FE"/>
    <w:rsid w:val="004366DF"/>
    <w:rsid w:val="0044290A"/>
    <w:rsid w:val="00443188"/>
    <w:rsid w:val="00445FE5"/>
    <w:rsid w:val="004472DF"/>
    <w:rsid w:val="004530F4"/>
    <w:rsid w:val="00453FC4"/>
    <w:rsid w:val="00454116"/>
    <w:rsid w:val="00455166"/>
    <w:rsid w:val="004611D4"/>
    <w:rsid w:val="0046120A"/>
    <w:rsid w:val="0046183C"/>
    <w:rsid w:val="00464D07"/>
    <w:rsid w:val="00466EAB"/>
    <w:rsid w:val="00471714"/>
    <w:rsid w:val="00472F02"/>
    <w:rsid w:val="004742B5"/>
    <w:rsid w:val="004762C8"/>
    <w:rsid w:val="00476670"/>
    <w:rsid w:val="0047769B"/>
    <w:rsid w:val="0048286A"/>
    <w:rsid w:val="00490202"/>
    <w:rsid w:val="00491447"/>
    <w:rsid w:val="0049229E"/>
    <w:rsid w:val="00496160"/>
    <w:rsid w:val="004A0E36"/>
    <w:rsid w:val="004A1FE7"/>
    <w:rsid w:val="004A46E1"/>
    <w:rsid w:val="004A7E8B"/>
    <w:rsid w:val="004B2ACF"/>
    <w:rsid w:val="004B5C9F"/>
    <w:rsid w:val="004B652A"/>
    <w:rsid w:val="004B73D2"/>
    <w:rsid w:val="004C2DBD"/>
    <w:rsid w:val="004D17EF"/>
    <w:rsid w:val="004E0639"/>
    <w:rsid w:val="004F1166"/>
    <w:rsid w:val="004F3CC3"/>
    <w:rsid w:val="004F4213"/>
    <w:rsid w:val="004F504A"/>
    <w:rsid w:val="004F52B5"/>
    <w:rsid w:val="004F6922"/>
    <w:rsid w:val="00500216"/>
    <w:rsid w:val="00500669"/>
    <w:rsid w:val="00502367"/>
    <w:rsid w:val="00504450"/>
    <w:rsid w:val="00504BA4"/>
    <w:rsid w:val="0050530A"/>
    <w:rsid w:val="00505E6C"/>
    <w:rsid w:val="00514DEB"/>
    <w:rsid w:val="00515879"/>
    <w:rsid w:val="005172FB"/>
    <w:rsid w:val="005215D7"/>
    <w:rsid w:val="00521BB0"/>
    <w:rsid w:val="005224DB"/>
    <w:rsid w:val="00526079"/>
    <w:rsid w:val="00530295"/>
    <w:rsid w:val="0053352F"/>
    <w:rsid w:val="00533D7A"/>
    <w:rsid w:val="0053708C"/>
    <w:rsid w:val="005414E0"/>
    <w:rsid w:val="00551C95"/>
    <w:rsid w:val="005562AF"/>
    <w:rsid w:val="00557A46"/>
    <w:rsid w:val="005601F2"/>
    <w:rsid w:val="00562364"/>
    <w:rsid w:val="005652C5"/>
    <w:rsid w:val="00566A6C"/>
    <w:rsid w:val="00566D1A"/>
    <w:rsid w:val="00567198"/>
    <w:rsid w:val="00572DCE"/>
    <w:rsid w:val="00582C0D"/>
    <w:rsid w:val="005877A2"/>
    <w:rsid w:val="00590EC5"/>
    <w:rsid w:val="0059335F"/>
    <w:rsid w:val="005A74B7"/>
    <w:rsid w:val="005B1515"/>
    <w:rsid w:val="005B19B9"/>
    <w:rsid w:val="005B4CD7"/>
    <w:rsid w:val="005C0FAE"/>
    <w:rsid w:val="005C43A1"/>
    <w:rsid w:val="005C79DE"/>
    <w:rsid w:val="005D4AA8"/>
    <w:rsid w:val="005D5539"/>
    <w:rsid w:val="005D65AF"/>
    <w:rsid w:val="005E1D9A"/>
    <w:rsid w:val="005E1F61"/>
    <w:rsid w:val="005E336E"/>
    <w:rsid w:val="005E3D89"/>
    <w:rsid w:val="005E56ED"/>
    <w:rsid w:val="005E58D2"/>
    <w:rsid w:val="005F001C"/>
    <w:rsid w:val="005F015B"/>
    <w:rsid w:val="005F0C78"/>
    <w:rsid w:val="005F1E4F"/>
    <w:rsid w:val="005F403E"/>
    <w:rsid w:val="005F565C"/>
    <w:rsid w:val="005F633B"/>
    <w:rsid w:val="005F7FE2"/>
    <w:rsid w:val="00602506"/>
    <w:rsid w:val="0060468F"/>
    <w:rsid w:val="006048B0"/>
    <w:rsid w:val="00604B17"/>
    <w:rsid w:val="00610530"/>
    <w:rsid w:val="00623B5F"/>
    <w:rsid w:val="00630284"/>
    <w:rsid w:val="006306F3"/>
    <w:rsid w:val="006315AE"/>
    <w:rsid w:val="006318F2"/>
    <w:rsid w:val="00636493"/>
    <w:rsid w:val="006605F6"/>
    <w:rsid w:val="00660D14"/>
    <w:rsid w:val="00660E60"/>
    <w:rsid w:val="006615B7"/>
    <w:rsid w:val="00665FC4"/>
    <w:rsid w:val="00670C09"/>
    <w:rsid w:val="00672605"/>
    <w:rsid w:val="00674584"/>
    <w:rsid w:val="00674EC8"/>
    <w:rsid w:val="00680032"/>
    <w:rsid w:val="00681359"/>
    <w:rsid w:val="0068403A"/>
    <w:rsid w:val="00686C9C"/>
    <w:rsid w:val="006875C8"/>
    <w:rsid w:val="00687A2D"/>
    <w:rsid w:val="00690550"/>
    <w:rsid w:val="006963E8"/>
    <w:rsid w:val="006A125A"/>
    <w:rsid w:val="006A20D3"/>
    <w:rsid w:val="006A35E3"/>
    <w:rsid w:val="006A4B26"/>
    <w:rsid w:val="006B1415"/>
    <w:rsid w:val="006B1694"/>
    <w:rsid w:val="006B27DE"/>
    <w:rsid w:val="006B393B"/>
    <w:rsid w:val="006B6D98"/>
    <w:rsid w:val="006B7356"/>
    <w:rsid w:val="006C057A"/>
    <w:rsid w:val="006C1C3A"/>
    <w:rsid w:val="006C3759"/>
    <w:rsid w:val="006C3F62"/>
    <w:rsid w:val="006C524D"/>
    <w:rsid w:val="006C596F"/>
    <w:rsid w:val="006C67A3"/>
    <w:rsid w:val="006C79C6"/>
    <w:rsid w:val="006D0A05"/>
    <w:rsid w:val="006D4E21"/>
    <w:rsid w:val="006D5EBD"/>
    <w:rsid w:val="006D68D9"/>
    <w:rsid w:val="006E1E1F"/>
    <w:rsid w:val="006E227E"/>
    <w:rsid w:val="006F160F"/>
    <w:rsid w:val="006F71DC"/>
    <w:rsid w:val="006F7D4D"/>
    <w:rsid w:val="00701145"/>
    <w:rsid w:val="007077AF"/>
    <w:rsid w:val="0071105E"/>
    <w:rsid w:val="007116B0"/>
    <w:rsid w:val="00711E8D"/>
    <w:rsid w:val="007157AD"/>
    <w:rsid w:val="007209D7"/>
    <w:rsid w:val="00722AA3"/>
    <w:rsid w:val="007231EE"/>
    <w:rsid w:val="00723634"/>
    <w:rsid w:val="007248B1"/>
    <w:rsid w:val="00724C36"/>
    <w:rsid w:val="007327B6"/>
    <w:rsid w:val="00737ECD"/>
    <w:rsid w:val="007450BF"/>
    <w:rsid w:val="00746DC3"/>
    <w:rsid w:val="00751613"/>
    <w:rsid w:val="00756D50"/>
    <w:rsid w:val="0076026E"/>
    <w:rsid w:val="00761B6D"/>
    <w:rsid w:val="00764B59"/>
    <w:rsid w:val="00765119"/>
    <w:rsid w:val="00773862"/>
    <w:rsid w:val="00782F35"/>
    <w:rsid w:val="00786277"/>
    <w:rsid w:val="007920FD"/>
    <w:rsid w:val="007A05D0"/>
    <w:rsid w:val="007A3A49"/>
    <w:rsid w:val="007B69A5"/>
    <w:rsid w:val="007C27A3"/>
    <w:rsid w:val="007C5904"/>
    <w:rsid w:val="007D41DC"/>
    <w:rsid w:val="007D573C"/>
    <w:rsid w:val="007E1393"/>
    <w:rsid w:val="007E17CB"/>
    <w:rsid w:val="007E1D96"/>
    <w:rsid w:val="007E2E70"/>
    <w:rsid w:val="007E4913"/>
    <w:rsid w:val="007F24FD"/>
    <w:rsid w:val="007F2FCC"/>
    <w:rsid w:val="007F4289"/>
    <w:rsid w:val="007F5768"/>
    <w:rsid w:val="007F5F39"/>
    <w:rsid w:val="00800492"/>
    <w:rsid w:val="008006BD"/>
    <w:rsid w:val="008030FF"/>
    <w:rsid w:val="00803A6F"/>
    <w:rsid w:val="008138B1"/>
    <w:rsid w:val="00814175"/>
    <w:rsid w:val="00820F63"/>
    <w:rsid w:val="008217D1"/>
    <w:rsid w:val="00827125"/>
    <w:rsid w:val="00831D10"/>
    <w:rsid w:val="00831E69"/>
    <w:rsid w:val="00847895"/>
    <w:rsid w:val="00853CB3"/>
    <w:rsid w:val="008557FD"/>
    <w:rsid w:val="00861C74"/>
    <w:rsid w:val="00862DFA"/>
    <w:rsid w:val="0087055C"/>
    <w:rsid w:val="008731AA"/>
    <w:rsid w:val="0087619A"/>
    <w:rsid w:val="00891697"/>
    <w:rsid w:val="00893C2E"/>
    <w:rsid w:val="00896150"/>
    <w:rsid w:val="00897C07"/>
    <w:rsid w:val="008A4436"/>
    <w:rsid w:val="008A4DE2"/>
    <w:rsid w:val="008A66D7"/>
    <w:rsid w:val="008A7074"/>
    <w:rsid w:val="008B3678"/>
    <w:rsid w:val="008B5A23"/>
    <w:rsid w:val="008B5E02"/>
    <w:rsid w:val="008C3FFB"/>
    <w:rsid w:val="008C602B"/>
    <w:rsid w:val="008C7CE6"/>
    <w:rsid w:val="008D26BB"/>
    <w:rsid w:val="008D50FD"/>
    <w:rsid w:val="008E0C48"/>
    <w:rsid w:val="008E34FD"/>
    <w:rsid w:val="008E47F6"/>
    <w:rsid w:val="008E594F"/>
    <w:rsid w:val="008E631E"/>
    <w:rsid w:val="008F24EF"/>
    <w:rsid w:val="008F43D6"/>
    <w:rsid w:val="009029D6"/>
    <w:rsid w:val="00904E84"/>
    <w:rsid w:val="00905BC3"/>
    <w:rsid w:val="00907D47"/>
    <w:rsid w:val="009129FC"/>
    <w:rsid w:val="009165F7"/>
    <w:rsid w:val="009206D3"/>
    <w:rsid w:val="00921C7C"/>
    <w:rsid w:val="009278AF"/>
    <w:rsid w:val="00930008"/>
    <w:rsid w:val="009342A2"/>
    <w:rsid w:val="009378F5"/>
    <w:rsid w:val="00937B19"/>
    <w:rsid w:val="0094071C"/>
    <w:rsid w:val="0094256B"/>
    <w:rsid w:val="009437D7"/>
    <w:rsid w:val="00945656"/>
    <w:rsid w:val="00945AAC"/>
    <w:rsid w:val="0094646C"/>
    <w:rsid w:val="009507EE"/>
    <w:rsid w:val="00950D8B"/>
    <w:rsid w:val="00952D90"/>
    <w:rsid w:val="00954D19"/>
    <w:rsid w:val="009555CE"/>
    <w:rsid w:val="00960A3C"/>
    <w:rsid w:val="00962882"/>
    <w:rsid w:val="00970126"/>
    <w:rsid w:val="00971BB9"/>
    <w:rsid w:val="009720DB"/>
    <w:rsid w:val="00974A4B"/>
    <w:rsid w:val="009767AF"/>
    <w:rsid w:val="00977D4F"/>
    <w:rsid w:val="00981C9E"/>
    <w:rsid w:val="00982610"/>
    <w:rsid w:val="00987B91"/>
    <w:rsid w:val="00987E4B"/>
    <w:rsid w:val="00990048"/>
    <w:rsid w:val="00990C04"/>
    <w:rsid w:val="00994E99"/>
    <w:rsid w:val="009A2CA9"/>
    <w:rsid w:val="009A3DA3"/>
    <w:rsid w:val="009A40BF"/>
    <w:rsid w:val="009A4531"/>
    <w:rsid w:val="009B07B9"/>
    <w:rsid w:val="009B12AA"/>
    <w:rsid w:val="009C0CAA"/>
    <w:rsid w:val="009D031F"/>
    <w:rsid w:val="009D5036"/>
    <w:rsid w:val="009E0303"/>
    <w:rsid w:val="009E4EE3"/>
    <w:rsid w:val="009E5841"/>
    <w:rsid w:val="009F2369"/>
    <w:rsid w:val="009F2D30"/>
    <w:rsid w:val="009F3738"/>
    <w:rsid w:val="009F55BA"/>
    <w:rsid w:val="00A00460"/>
    <w:rsid w:val="00A015CE"/>
    <w:rsid w:val="00A01753"/>
    <w:rsid w:val="00A119FC"/>
    <w:rsid w:val="00A12D0F"/>
    <w:rsid w:val="00A24882"/>
    <w:rsid w:val="00A2624F"/>
    <w:rsid w:val="00A3216A"/>
    <w:rsid w:val="00A34ECC"/>
    <w:rsid w:val="00A4532D"/>
    <w:rsid w:val="00A507D6"/>
    <w:rsid w:val="00A5237C"/>
    <w:rsid w:val="00A560F2"/>
    <w:rsid w:val="00A57FAC"/>
    <w:rsid w:val="00A6208A"/>
    <w:rsid w:val="00A73222"/>
    <w:rsid w:val="00A77168"/>
    <w:rsid w:val="00A8308C"/>
    <w:rsid w:val="00A9162B"/>
    <w:rsid w:val="00A94E74"/>
    <w:rsid w:val="00A975F2"/>
    <w:rsid w:val="00A9775D"/>
    <w:rsid w:val="00AA11E6"/>
    <w:rsid w:val="00AA12AB"/>
    <w:rsid w:val="00AA16B1"/>
    <w:rsid w:val="00AC019B"/>
    <w:rsid w:val="00AC1C91"/>
    <w:rsid w:val="00AC6741"/>
    <w:rsid w:val="00AD0413"/>
    <w:rsid w:val="00AD2127"/>
    <w:rsid w:val="00AD32FB"/>
    <w:rsid w:val="00AD3BB8"/>
    <w:rsid w:val="00AE13F3"/>
    <w:rsid w:val="00AE1D86"/>
    <w:rsid w:val="00AE1FF2"/>
    <w:rsid w:val="00AE2BEC"/>
    <w:rsid w:val="00AE3B29"/>
    <w:rsid w:val="00AF31DA"/>
    <w:rsid w:val="00B026F1"/>
    <w:rsid w:val="00B075D1"/>
    <w:rsid w:val="00B12B30"/>
    <w:rsid w:val="00B2458D"/>
    <w:rsid w:val="00B25B22"/>
    <w:rsid w:val="00B32F3E"/>
    <w:rsid w:val="00B34CCD"/>
    <w:rsid w:val="00B40480"/>
    <w:rsid w:val="00B415AC"/>
    <w:rsid w:val="00B43C5E"/>
    <w:rsid w:val="00B447DF"/>
    <w:rsid w:val="00B4616A"/>
    <w:rsid w:val="00B47241"/>
    <w:rsid w:val="00B47D0D"/>
    <w:rsid w:val="00B53292"/>
    <w:rsid w:val="00B543B9"/>
    <w:rsid w:val="00B56961"/>
    <w:rsid w:val="00B6144A"/>
    <w:rsid w:val="00B620D0"/>
    <w:rsid w:val="00B63F90"/>
    <w:rsid w:val="00B72817"/>
    <w:rsid w:val="00B74BE6"/>
    <w:rsid w:val="00B75B5C"/>
    <w:rsid w:val="00B77B70"/>
    <w:rsid w:val="00B80D82"/>
    <w:rsid w:val="00B825B0"/>
    <w:rsid w:val="00B84A63"/>
    <w:rsid w:val="00B86DD5"/>
    <w:rsid w:val="00B9075E"/>
    <w:rsid w:val="00B90BA5"/>
    <w:rsid w:val="00B917C0"/>
    <w:rsid w:val="00B918D4"/>
    <w:rsid w:val="00BA19B2"/>
    <w:rsid w:val="00BA1BD8"/>
    <w:rsid w:val="00BA412B"/>
    <w:rsid w:val="00BA419F"/>
    <w:rsid w:val="00BA4C2D"/>
    <w:rsid w:val="00BA524C"/>
    <w:rsid w:val="00BA6A55"/>
    <w:rsid w:val="00BA7121"/>
    <w:rsid w:val="00BA73FE"/>
    <w:rsid w:val="00BB0DA6"/>
    <w:rsid w:val="00BB2526"/>
    <w:rsid w:val="00BB4A76"/>
    <w:rsid w:val="00BC040B"/>
    <w:rsid w:val="00BC0882"/>
    <w:rsid w:val="00BC1DC2"/>
    <w:rsid w:val="00BC38B9"/>
    <w:rsid w:val="00BC45CF"/>
    <w:rsid w:val="00BD1476"/>
    <w:rsid w:val="00BD2BDD"/>
    <w:rsid w:val="00BD43C9"/>
    <w:rsid w:val="00BE4119"/>
    <w:rsid w:val="00BE4795"/>
    <w:rsid w:val="00BE7B7B"/>
    <w:rsid w:val="00BF18BF"/>
    <w:rsid w:val="00BF37CA"/>
    <w:rsid w:val="00BF7808"/>
    <w:rsid w:val="00C00F93"/>
    <w:rsid w:val="00C04558"/>
    <w:rsid w:val="00C17374"/>
    <w:rsid w:val="00C21793"/>
    <w:rsid w:val="00C21EBD"/>
    <w:rsid w:val="00C2202B"/>
    <w:rsid w:val="00C221DE"/>
    <w:rsid w:val="00C249AE"/>
    <w:rsid w:val="00C25A2E"/>
    <w:rsid w:val="00C25F8D"/>
    <w:rsid w:val="00C37DFA"/>
    <w:rsid w:val="00C41D6C"/>
    <w:rsid w:val="00C421E1"/>
    <w:rsid w:val="00C42FF3"/>
    <w:rsid w:val="00C5083D"/>
    <w:rsid w:val="00C57651"/>
    <w:rsid w:val="00C57B99"/>
    <w:rsid w:val="00C57D02"/>
    <w:rsid w:val="00C67F89"/>
    <w:rsid w:val="00C776DD"/>
    <w:rsid w:val="00C80D2F"/>
    <w:rsid w:val="00C81B00"/>
    <w:rsid w:val="00C83F9C"/>
    <w:rsid w:val="00C87F0F"/>
    <w:rsid w:val="00C94532"/>
    <w:rsid w:val="00CA28B9"/>
    <w:rsid w:val="00CA3266"/>
    <w:rsid w:val="00CA4A5A"/>
    <w:rsid w:val="00CA5E7C"/>
    <w:rsid w:val="00CA61E2"/>
    <w:rsid w:val="00CB372C"/>
    <w:rsid w:val="00CB5929"/>
    <w:rsid w:val="00CC304E"/>
    <w:rsid w:val="00CC4301"/>
    <w:rsid w:val="00CC5C8B"/>
    <w:rsid w:val="00CC6D10"/>
    <w:rsid w:val="00CD074A"/>
    <w:rsid w:val="00CD6C59"/>
    <w:rsid w:val="00CE12B9"/>
    <w:rsid w:val="00CE1B35"/>
    <w:rsid w:val="00CE6805"/>
    <w:rsid w:val="00CE7E45"/>
    <w:rsid w:val="00CF1BA7"/>
    <w:rsid w:val="00D017A6"/>
    <w:rsid w:val="00D07B71"/>
    <w:rsid w:val="00D10F5A"/>
    <w:rsid w:val="00D11272"/>
    <w:rsid w:val="00D13CDB"/>
    <w:rsid w:val="00D20A6A"/>
    <w:rsid w:val="00D22049"/>
    <w:rsid w:val="00D24AD8"/>
    <w:rsid w:val="00D25BA1"/>
    <w:rsid w:val="00D25BE2"/>
    <w:rsid w:val="00D30A67"/>
    <w:rsid w:val="00D3455C"/>
    <w:rsid w:val="00D35768"/>
    <w:rsid w:val="00D3578D"/>
    <w:rsid w:val="00D41B2C"/>
    <w:rsid w:val="00D41BE4"/>
    <w:rsid w:val="00D44EF9"/>
    <w:rsid w:val="00D510A8"/>
    <w:rsid w:val="00D51ABF"/>
    <w:rsid w:val="00D51D06"/>
    <w:rsid w:val="00D54A30"/>
    <w:rsid w:val="00D56025"/>
    <w:rsid w:val="00D56BD5"/>
    <w:rsid w:val="00D574B5"/>
    <w:rsid w:val="00D60825"/>
    <w:rsid w:val="00D64D77"/>
    <w:rsid w:val="00D67F4C"/>
    <w:rsid w:val="00D67FB7"/>
    <w:rsid w:val="00D72062"/>
    <w:rsid w:val="00D75064"/>
    <w:rsid w:val="00D77F86"/>
    <w:rsid w:val="00D833A0"/>
    <w:rsid w:val="00D83C98"/>
    <w:rsid w:val="00D91075"/>
    <w:rsid w:val="00D91941"/>
    <w:rsid w:val="00DA003D"/>
    <w:rsid w:val="00DA4083"/>
    <w:rsid w:val="00DA40F9"/>
    <w:rsid w:val="00DA7359"/>
    <w:rsid w:val="00DA7F38"/>
    <w:rsid w:val="00DB2A13"/>
    <w:rsid w:val="00DB4BEE"/>
    <w:rsid w:val="00DB5AB4"/>
    <w:rsid w:val="00DC1CF1"/>
    <w:rsid w:val="00DC4C4E"/>
    <w:rsid w:val="00DC7373"/>
    <w:rsid w:val="00DD172F"/>
    <w:rsid w:val="00DD624A"/>
    <w:rsid w:val="00DE1937"/>
    <w:rsid w:val="00DE33A2"/>
    <w:rsid w:val="00DE5741"/>
    <w:rsid w:val="00DE7D75"/>
    <w:rsid w:val="00DF1097"/>
    <w:rsid w:val="00DF523D"/>
    <w:rsid w:val="00E11FA9"/>
    <w:rsid w:val="00E164B1"/>
    <w:rsid w:val="00E17502"/>
    <w:rsid w:val="00E204EB"/>
    <w:rsid w:val="00E206E9"/>
    <w:rsid w:val="00E21546"/>
    <w:rsid w:val="00E238CB"/>
    <w:rsid w:val="00E310FF"/>
    <w:rsid w:val="00E33125"/>
    <w:rsid w:val="00E36142"/>
    <w:rsid w:val="00E3690C"/>
    <w:rsid w:val="00E454F8"/>
    <w:rsid w:val="00E45AEA"/>
    <w:rsid w:val="00E47621"/>
    <w:rsid w:val="00E535F5"/>
    <w:rsid w:val="00E5502A"/>
    <w:rsid w:val="00E60321"/>
    <w:rsid w:val="00E62808"/>
    <w:rsid w:val="00E628EF"/>
    <w:rsid w:val="00E65C5F"/>
    <w:rsid w:val="00E75744"/>
    <w:rsid w:val="00E827BD"/>
    <w:rsid w:val="00E85C56"/>
    <w:rsid w:val="00E861C8"/>
    <w:rsid w:val="00E86313"/>
    <w:rsid w:val="00E866CC"/>
    <w:rsid w:val="00EB1F7D"/>
    <w:rsid w:val="00EB1F8B"/>
    <w:rsid w:val="00EB21BF"/>
    <w:rsid w:val="00EB3BA6"/>
    <w:rsid w:val="00EB57FB"/>
    <w:rsid w:val="00EB6C59"/>
    <w:rsid w:val="00EC089C"/>
    <w:rsid w:val="00EC45AE"/>
    <w:rsid w:val="00ED2E62"/>
    <w:rsid w:val="00ED4E86"/>
    <w:rsid w:val="00EE36CE"/>
    <w:rsid w:val="00EE63E3"/>
    <w:rsid w:val="00EE6E15"/>
    <w:rsid w:val="00EE7709"/>
    <w:rsid w:val="00EF022A"/>
    <w:rsid w:val="00EF11E3"/>
    <w:rsid w:val="00EF31C4"/>
    <w:rsid w:val="00F012AE"/>
    <w:rsid w:val="00F0344E"/>
    <w:rsid w:val="00F055E3"/>
    <w:rsid w:val="00F06F11"/>
    <w:rsid w:val="00F07CFF"/>
    <w:rsid w:val="00F1098E"/>
    <w:rsid w:val="00F10A3D"/>
    <w:rsid w:val="00F11F4D"/>
    <w:rsid w:val="00F13C57"/>
    <w:rsid w:val="00F177A5"/>
    <w:rsid w:val="00F225D5"/>
    <w:rsid w:val="00F236CD"/>
    <w:rsid w:val="00F24DCE"/>
    <w:rsid w:val="00F27CE8"/>
    <w:rsid w:val="00F30D93"/>
    <w:rsid w:val="00F322B0"/>
    <w:rsid w:val="00F44C80"/>
    <w:rsid w:val="00F560A3"/>
    <w:rsid w:val="00F64826"/>
    <w:rsid w:val="00F721EC"/>
    <w:rsid w:val="00F80159"/>
    <w:rsid w:val="00F8142D"/>
    <w:rsid w:val="00F8531A"/>
    <w:rsid w:val="00F903CD"/>
    <w:rsid w:val="00F922EE"/>
    <w:rsid w:val="00F92D2D"/>
    <w:rsid w:val="00F94429"/>
    <w:rsid w:val="00F9510F"/>
    <w:rsid w:val="00FA14C7"/>
    <w:rsid w:val="00FA73F6"/>
    <w:rsid w:val="00FA75D7"/>
    <w:rsid w:val="00FB2520"/>
    <w:rsid w:val="00FB28DE"/>
    <w:rsid w:val="00FB302B"/>
    <w:rsid w:val="00FB3C05"/>
    <w:rsid w:val="00FB6B15"/>
    <w:rsid w:val="00FC1921"/>
    <w:rsid w:val="00FC3F28"/>
    <w:rsid w:val="00FC5D1B"/>
    <w:rsid w:val="00FC7EF3"/>
    <w:rsid w:val="00FD50FD"/>
    <w:rsid w:val="00FD68DE"/>
    <w:rsid w:val="00FD7DB2"/>
    <w:rsid w:val="00FE17C0"/>
    <w:rsid w:val="00FE2058"/>
    <w:rsid w:val="00FE246C"/>
    <w:rsid w:val="00FE5948"/>
    <w:rsid w:val="00FE5B74"/>
    <w:rsid w:val="00FE69A9"/>
    <w:rsid w:val="00FF356B"/>
    <w:rsid w:val="00FF6D5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40B66"/>
  <w15:chartTrackingRefBased/>
  <w15:docId w15:val="{ACA4BE93-ABBF-4965-8F0D-06EC4147D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70D7"/>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36766E"/>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36766E"/>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FD68D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D68D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D68D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D68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68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68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68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766E"/>
    <w:rPr>
      <w:rFonts w:ascii="Arial" w:eastAsiaTheme="majorEastAsia" w:hAnsi="Arial" w:cstheme="majorBidi"/>
      <w:b/>
      <w:sz w:val="28"/>
      <w:szCs w:val="40"/>
      <w:lang w:val="en-GB"/>
    </w:rPr>
  </w:style>
  <w:style w:type="character" w:customStyle="1" w:styleId="Heading2Char">
    <w:name w:val="Heading 2 Char"/>
    <w:basedOn w:val="DefaultParagraphFont"/>
    <w:link w:val="Heading2"/>
    <w:uiPriority w:val="9"/>
    <w:rsid w:val="0036766E"/>
    <w:rPr>
      <w:rFonts w:ascii="Arial" w:eastAsiaTheme="majorEastAsia" w:hAnsi="Arial" w:cstheme="majorBidi"/>
      <w:b/>
      <w:szCs w:val="32"/>
      <w:lang w:val="en-GB"/>
    </w:rPr>
  </w:style>
  <w:style w:type="character" w:customStyle="1" w:styleId="Heading3Char">
    <w:name w:val="Heading 3 Char"/>
    <w:basedOn w:val="DefaultParagraphFont"/>
    <w:link w:val="Heading3"/>
    <w:uiPriority w:val="9"/>
    <w:semiHidden/>
    <w:rsid w:val="00FD68DE"/>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FD68D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FD68D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FD68D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D68D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D68D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D68DE"/>
    <w:rPr>
      <w:rFonts w:eastAsiaTheme="majorEastAsia" w:cstheme="majorBidi"/>
      <w:color w:val="272727" w:themeColor="text1" w:themeTint="D8"/>
      <w:lang w:val="en-GB"/>
    </w:rPr>
  </w:style>
  <w:style w:type="paragraph" w:styleId="Title">
    <w:name w:val="Title"/>
    <w:basedOn w:val="Normal"/>
    <w:next w:val="Normal"/>
    <w:link w:val="TitleChar"/>
    <w:autoRedefine/>
    <w:uiPriority w:val="10"/>
    <w:qFormat/>
    <w:rsid w:val="0036766E"/>
    <w:pPr>
      <w:spacing w:after="80"/>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36766E"/>
    <w:rPr>
      <w:rFonts w:ascii="Arial" w:eastAsiaTheme="majorEastAsia" w:hAnsi="Arial" w:cstheme="majorBidi"/>
      <w:b/>
      <w:spacing w:val="-10"/>
      <w:kern w:val="28"/>
      <w:sz w:val="32"/>
      <w:szCs w:val="56"/>
      <w:lang w:val="en-GB"/>
    </w:rPr>
  </w:style>
  <w:style w:type="paragraph" w:styleId="Subtitle">
    <w:name w:val="Subtitle"/>
    <w:basedOn w:val="Normal"/>
    <w:next w:val="Normal"/>
    <w:link w:val="SubtitleChar"/>
    <w:uiPriority w:val="11"/>
    <w:qFormat/>
    <w:rsid w:val="00FD68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68D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D68DE"/>
    <w:pPr>
      <w:spacing w:before="160"/>
      <w:jc w:val="center"/>
    </w:pPr>
    <w:rPr>
      <w:i/>
      <w:iCs/>
      <w:color w:val="404040" w:themeColor="text1" w:themeTint="BF"/>
    </w:rPr>
  </w:style>
  <w:style w:type="character" w:customStyle="1" w:styleId="QuoteChar">
    <w:name w:val="Quote Char"/>
    <w:basedOn w:val="DefaultParagraphFont"/>
    <w:link w:val="Quote"/>
    <w:uiPriority w:val="29"/>
    <w:rsid w:val="00FD68DE"/>
    <w:rPr>
      <w:i/>
      <w:iCs/>
      <w:color w:val="404040" w:themeColor="text1" w:themeTint="BF"/>
      <w:lang w:val="en-GB"/>
    </w:rPr>
  </w:style>
  <w:style w:type="paragraph" w:styleId="ListParagraph">
    <w:name w:val="List Paragraph"/>
    <w:basedOn w:val="Normal"/>
    <w:uiPriority w:val="34"/>
    <w:qFormat/>
    <w:rsid w:val="00FD68DE"/>
    <w:pPr>
      <w:ind w:left="720"/>
      <w:contextualSpacing/>
    </w:pPr>
  </w:style>
  <w:style w:type="character" w:styleId="IntenseEmphasis">
    <w:name w:val="Intense Emphasis"/>
    <w:basedOn w:val="DefaultParagraphFont"/>
    <w:uiPriority w:val="21"/>
    <w:qFormat/>
    <w:rsid w:val="00FD68DE"/>
    <w:rPr>
      <w:i/>
      <w:iCs/>
      <w:color w:val="2F5496" w:themeColor="accent1" w:themeShade="BF"/>
    </w:rPr>
  </w:style>
  <w:style w:type="paragraph" w:styleId="IntenseQuote">
    <w:name w:val="Intense Quote"/>
    <w:basedOn w:val="Normal"/>
    <w:next w:val="Normal"/>
    <w:link w:val="IntenseQuoteChar"/>
    <w:uiPriority w:val="30"/>
    <w:qFormat/>
    <w:rsid w:val="00FD68D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68DE"/>
    <w:rPr>
      <w:i/>
      <w:iCs/>
      <w:color w:val="2F5496" w:themeColor="accent1" w:themeShade="BF"/>
      <w:lang w:val="en-GB"/>
    </w:rPr>
  </w:style>
  <w:style w:type="character" w:styleId="IntenseReference">
    <w:name w:val="Intense Reference"/>
    <w:basedOn w:val="DefaultParagraphFont"/>
    <w:uiPriority w:val="32"/>
    <w:qFormat/>
    <w:rsid w:val="00FD68DE"/>
    <w:rPr>
      <w:b/>
      <w:bCs/>
      <w:smallCaps/>
      <w:color w:val="2F5496" w:themeColor="accent1" w:themeShade="BF"/>
      <w:spacing w:val="5"/>
    </w:rPr>
  </w:style>
  <w:style w:type="character" w:styleId="Hyperlink">
    <w:name w:val="Hyperlink"/>
    <w:basedOn w:val="DefaultParagraphFont"/>
    <w:uiPriority w:val="99"/>
    <w:unhideWhenUsed/>
    <w:rsid w:val="00FF356B"/>
    <w:rPr>
      <w:color w:val="0563C1" w:themeColor="hyperlink"/>
      <w:u w:val="single"/>
    </w:rPr>
  </w:style>
  <w:style w:type="character" w:styleId="UnresolvedMention">
    <w:name w:val="Unresolved Mention"/>
    <w:basedOn w:val="DefaultParagraphFont"/>
    <w:uiPriority w:val="99"/>
    <w:semiHidden/>
    <w:unhideWhenUsed/>
    <w:rsid w:val="00FF356B"/>
    <w:rPr>
      <w:color w:val="605E5C"/>
      <w:shd w:val="clear" w:color="auto" w:fill="E1DFDD"/>
    </w:rPr>
  </w:style>
  <w:style w:type="table" w:styleId="TableGrid">
    <w:name w:val="Table Grid"/>
    <w:basedOn w:val="TableNormal"/>
    <w:uiPriority w:val="39"/>
    <w:rsid w:val="00425A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D21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2127"/>
    <w:rPr>
      <w:rFonts w:ascii="Arial" w:hAnsi="Arial"/>
      <w:lang w:val="en-GB"/>
    </w:rPr>
  </w:style>
  <w:style w:type="paragraph" w:styleId="Footer">
    <w:name w:val="footer"/>
    <w:basedOn w:val="Normal"/>
    <w:link w:val="FooterChar"/>
    <w:uiPriority w:val="99"/>
    <w:unhideWhenUsed/>
    <w:rsid w:val="00AD21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2127"/>
    <w:rPr>
      <w:rFonts w:ascii="Arial" w:hAnsi="Arial"/>
      <w:lang w:val="en-GB"/>
    </w:rPr>
  </w:style>
  <w:style w:type="paragraph" w:styleId="TOCHeading">
    <w:name w:val="TOC Heading"/>
    <w:basedOn w:val="Heading1"/>
    <w:next w:val="Normal"/>
    <w:uiPriority w:val="39"/>
    <w:unhideWhenUsed/>
    <w:qFormat/>
    <w:rsid w:val="00AD2127"/>
    <w:pPr>
      <w:spacing w:before="240" w:after="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D2127"/>
    <w:pPr>
      <w:spacing w:after="100"/>
    </w:pPr>
  </w:style>
  <w:style w:type="paragraph" w:styleId="TOC2">
    <w:name w:val="toc 2"/>
    <w:basedOn w:val="Normal"/>
    <w:next w:val="Normal"/>
    <w:autoRedefine/>
    <w:uiPriority w:val="39"/>
    <w:unhideWhenUsed/>
    <w:rsid w:val="00AD2127"/>
    <w:pPr>
      <w:spacing w:after="100"/>
      <w:ind w:left="220"/>
    </w:pPr>
  </w:style>
  <w:style w:type="paragraph" w:styleId="Caption">
    <w:name w:val="caption"/>
    <w:basedOn w:val="Normal"/>
    <w:next w:val="Normal"/>
    <w:uiPriority w:val="35"/>
    <w:unhideWhenUsed/>
    <w:qFormat/>
    <w:rsid w:val="00862DF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imskol.org/pdf/E-copy-BIMS-Journal-Management-Kolkata-Vol5-Issue-1-July-2020.pdf" TargetMode="External"/><Relationship Id="rId18" Type="http://schemas.openxmlformats.org/officeDocument/2006/relationships/hyperlink" Target="https://pmc.ncbi.nlm.nih.gov/articles/PMC9818127/pdf/ijhpm-11-2618.pdf" TargetMode="External"/><Relationship Id="rId26" Type="http://schemas.openxmlformats.org/officeDocument/2006/relationships/hyperlink" Target="https://www.marketresearchfuture.com/reports/uk-plant-based-beverages-market-47797" TargetMode="External"/><Relationship Id="rId3" Type="http://schemas.openxmlformats.org/officeDocument/2006/relationships/styles" Target="styles.xml"/><Relationship Id="rId21" Type="http://schemas.openxmlformats.org/officeDocument/2006/relationships/hyperlink" Target="https://www.researchgate.net/profile/Songthat-Haokip/publication/344662035_Climate_change_and_its_impact_on_fruit_crops/links/5f87af6d299bf1b53e28d9f5/Climate-change-and-its-impact-on-fruit-crops.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researchgate.net/profile/Pinki-Chaugule/publication/384681958_SHIFT_OF_MILLENNIALS_AND_GEN_Z_TOWARDS_VEGANISM_IN_RESPECT_TO_VEGAN_AND_PLANT-BASED_FOOD_CONSUMPTION/links/67402b33b5bd9d17d6fc69d4/SHIFT-OF-MILLENNIALS-AND-GEN-Z-TOWARDS-VEGANISM-IN-RESPECT-TO-VEGAN-AND-PLANT-BASED-FOOD-CONSUMPTION.pdf" TargetMode="External"/><Relationship Id="rId17" Type="http://schemas.openxmlformats.org/officeDocument/2006/relationships/hyperlink" Target="https://www.cabidigitallibrary.org/doi/pdf/10.1079/fsncases.2024.0017" TargetMode="External"/><Relationship Id="rId25" Type="http://schemas.openxmlformats.org/officeDocument/2006/relationships/hyperlink" Target="http://u3isjournal.isvouga.pt/index.php/ijmcnm/article/download/951/485"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journal.ipb.ac.id/index.php/jcs/article/download/47546/26745" TargetMode="External"/><Relationship Id="rId20" Type="http://schemas.openxmlformats.org/officeDocument/2006/relationships/hyperlink" Target="https://www.mdpi.com/2227-9091/9/1/16" TargetMode="External"/><Relationship Id="rId29" Type="http://schemas.openxmlformats.org/officeDocument/2006/relationships/hyperlink" Target="https://scholarship.richmond.edu/cgi/viewcontent.cgi?article=1105&amp;context=management-faculty-public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utrapublisher.org/ojs/index.php/jamis/article/download/705/868" TargetMode="External"/><Relationship Id="rId24" Type="http://schemas.openxmlformats.org/officeDocument/2006/relationships/hyperlink" Target="https://www.timreview.ca/sites/default/files/article_PDF/TIMReview_2020_June%20-%203.pdf" TargetMode="External"/><Relationship Id="rId32" Type="http://schemas.openxmlformats.org/officeDocument/2006/relationships/hyperlink" Target="https://casopisi.junis.ni.ac.rs/index.php/FUMechEng/article/download/8001/4234" TargetMode="External"/><Relationship Id="rId5" Type="http://schemas.openxmlformats.org/officeDocument/2006/relationships/webSettings" Target="webSettings.xml"/><Relationship Id="rId15" Type="http://schemas.openxmlformats.org/officeDocument/2006/relationships/hyperlink" Target="https://www.crpa.it/media/documents/crpa_www/Settori/Economia/Download/Archivio_2018/De_Roest_et.al._2018.pdf" TargetMode="External"/><Relationship Id="rId23" Type="http://schemas.openxmlformats.org/officeDocument/2006/relationships/hyperlink" Target="https://www.innocentdrinks.co.uk/a-bit-about-us" TargetMode="External"/><Relationship Id="rId28" Type="http://schemas.openxmlformats.org/officeDocument/2006/relationships/hyperlink" Target="https://www.ons.gov.uk/economy/grossdomesticproductgdp" TargetMode="External"/><Relationship Id="rId10" Type="http://schemas.openxmlformats.org/officeDocument/2006/relationships/image" Target="media/image3.png"/><Relationship Id="rId19" Type="http://schemas.openxmlformats.org/officeDocument/2006/relationships/hyperlink" Target="https://www.gov.uk/government/publications/review-of-raw-cane-sugar-atq-and-related-considerations-2025/review-of-raw-cane-sugar-atq-and-related-considerations" TargetMode="External"/><Relationship Id="rId31" Type="http://schemas.openxmlformats.org/officeDocument/2006/relationships/hyperlink" Target="https://dergipark.org.tr/en/download/article-file/79301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erald.com/ijsms/article-pdf/23/2/369/2162492/ijsms-01-2021-0013.pdf" TargetMode="External"/><Relationship Id="rId22" Type="http://schemas.openxmlformats.org/officeDocument/2006/relationships/hyperlink" Target="https://www.innocentdrinks.co.uk/content/dam/innocent/gb/en/GARR%20V15%20(2).pdf" TargetMode="External"/><Relationship Id="rId27" Type="http://schemas.openxmlformats.org/officeDocument/2006/relationships/hyperlink" Target="https://mordorintelligence.com/industry-reports/functional-beverage-market" TargetMode="External"/><Relationship Id="rId30" Type="http://schemas.openxmlformats.org/officeDocument/2006/relationships/hyperlink" Target="https://www.statista.com/topics/3236/social-media-usage-in-the-uk/?srsltid=AfmBOorz_Q1x-Q76VZswFjyXTzNu8cBSi2PzK4E9DumTuH_3t-xKfVDB"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F92239-76B9-4FE7-A331-5A3163B332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18</Pages>
  <Words>4943</Words>
  <Characters>28178</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eridan saliasi</cp:lastModifiedBy>
  <cp:revision>7</cp:revision>
  <dcterms:created xsi:type="dcterms:W3CDTF">2026-01-21T12:40:00Z</dcterms:created>
  <dcterms:modified xsi:type="dcterms:W3CDTF">2026-03-14T09:47:00Z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ca819ea9-1cb2-4b8d-9ee2-de1d1e6e573e</vt:lpwstr>
  </property>
</Properties>
</file>