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56FDD" w14:textId="77777777" w:rsidR="00AB3B38" w:rsidRDefault="00AB3B38" w:rsidP="00AB3B38">
      <w:r>
        <w:t>Comprehensive Risk Management Plan for the Successful Execution of a Hospital Fundraising.</w:t>
      </w:r>
    </w:p>
    <w:p w14:paraId="11238327" w14:textId="6167B16D" w:rsidR="00AB3B38" w:rsidRDefault="00F82F07" w:rsidP="00F82F07">
      <w:r>
        <w:t>The importance of event risk management has increased significantly in modern event planning, particularly in the healthcare sector where safety and compliance are paramount (Tarlow, 2002). The focus of this report is a fundraising event at a local hospital featuring a bake sale, a raffle, and live entertainment from a musician (Hoyle,2002). These events are vital for hospitals as they help raise funds for healthcare services and equipment while promoting community involvement (Goldblatt,201</w:t>
      </w:r>
      <w:r w:rsidR="00BF6F09">
        <w:t>4</w:t>
      </w:r>
      <w:r>
        <w:t>). However, they also present various potential risks that must be carefully managed to ensure participant safety, compliance with legal standards, and the event success (Bowdin et.al., 2012</w:t>
      </w:r>
      <w:r>
        <w:t>). The</w:t>
      </w:r>
      <w:r w:rsidR="00AB3B38">
        <w:t xml:space="preserve"> risk assessment aims to identify potential risks associated with an event, assess their probability and consequences, and develop strategies to mitigate them. It entails a </w:t>
      </w:r>
      <w:r w:rsidR="00AB3B38">
        <w:t>comprehensive</w:t>
      </w:r>
      <w:r w:rsidR="00AB3B38">
        <w:t xml:space="preserve"> examination of every aspect of the event, encompassing planning, execution, and preparation, to ensure that all potential scenarios are considered and properly addressed. This comprehensive approach is crucial for efficient risk management in the successful implementation of any public event (Getz and Page, 2016).</w:t>
      </w:r>
    </w:p>
    <w:p w14:paraId="1A6B3CCC" w14:textId="77777777" w:rsidR="00AB3B38" w:rsidRDefault="00AB3B38" w:rsidP="00AB3B38">
      <w:r>
        <w:t>Important terms in the field of event risk management include:</w:t>
      </w:r>
    </w:p>
    <w:p w14:paraId="1F08187B" w14:textId="30A99FD3" w:rsidR="00AB3B38" w:rsidRDefault="00AB3B38" w:rsidP="00AB3B38">
      <w:r>
        <w:t>Risk refers to the possibility of an unexpected event or activity resulting in a negative outcome or loss (Aven, 2016).</w:t>
      </w:r>
    </w:p>
    <w:p w14:paraId="149FED45" w14:textId="77777777" w:rsidR="00AB3B38" w:rsidRDefault="00AB3B38" w:rsidP="00AB3B38">
      <w:r>
        <w:t>Hazard: An occurrence or object that possesses the capacity to inflict harm or destruction.</w:t>
      </w:r>
    </w:p>
    <w:p w14:paraId="565E2796" w14:textId="77777777" w:rsidR="00AB3B38" w:rsidRDefault="00AB3B38" w:rsidP="00AB3B38">
      <w:r>
        <w:t>Likelihood refers to the probability of a particular risk happening within a specified period of time.</w:t>
      </w:r>
    </w:p>
    <w:p w14:paraId="7521962E" w14:textId="198A4CDD" w:rsidR="00AB3B38" w:rsidRDefault="00AB3B38" w:rsidP="00AB3B38">
      <w:r>
        <w:t>Impact refers to the extent of the negative consequences</w:t>
      </w:r>
      <w:r w:rsidR="006211A8">
        <w:t>.</w:t>
      </w:r>
    </w:p>
    <w:p w14:paraId="248B6A1C" w14:textId="620E7BFC" w:rsidR="00AB3B38" w:rsidRDefault="006211A8" w:rsidP="00AB3B38">
      <w:r w:rsidRPr="006211A8">
        <w:t>Compliance entails adhering to the laws, regulations, guidelines, and specifications that are relevant to the event at hand</w:t>
      </w:r>
      <w:r w:rsidR="00AB3B38">
        <w:t xml:space="preserve"> (Bowdin et.al., 2012).</w:t>
      </w:r>
    </w:p>
    <w:p w14:paraId="284C8DFA" w14:textId="08643B63" w:rsidR="00AB3B38" w:rsidRDefault="00AB3B38" w:rsidP="00AB3B38">
      <w:r>
        <w:t xml:space="preserve">This risk assessment </w:t>
      </w:r>
      <w:proofErr w:type="gramStart"/>
      <w:r>
        <w:t>is conducted</w:t>
      </w:r>
      <w:proofErr w:type="gramEnd"/>
      <w:r>
        <w:t xml:space="preserve"> with the primary objective of ensuring the physical safety of all participants and protecting the reputation of the hospital. Additionally, it </w:t>
      </w:r>
      <w:r>
        <w:lastRenderedPageBreak/>
        <w:t>aims to ensure that the event complies with all applicable legislative requirements. This entails not only complying with health and safety legislation, but also considering food hygiene standards for the bake sale and ensuring that all raffle activities adhere to local gambling regulations.</w:t>
      </w:r>
      <w:r w:rsidR="00F82F07">
        <w:t xml:space="preserve"> </w:t>
      </w:r>
      <w:r>
        <w:t xml:space="preserve">The risk assessment methodology employed for this fundraising event at the hospital is based on a comprehensive and systematic approach. The purpose of this is to ensure </w:t>
      </w:r>
      <w:r>
        <w:t>meticulousness</w:t>
      </w:r>
      <w:r>
        <w:t xml:space="preserve"> and dependability in the identification, analysis, and assessment of potential risks</w:t>
      </w:r>
      <w:proofErr w:type="gramStart"/>
      <w:r>
        <w:t xml:space="preserve">.  </w:t>
      </w:r>
      <w:proofErr w:type="gramEnd"/>
      <w:r>
        <w:t xml:space="preserve">This approach is based on the most effective methods in managing risks associated with events and is consistent with established frameworks such as ISO 31000 (International Organisation for Standardisation, 2018) and the Event Safety Guide (Health and Safety </w:t>
      </w:r>
      <w:r>
        <w:t>Executive</w:t>
      </w:r>
      <w:r>
        <w:t>, 2015).</w:t>
      </w:r>
    </w:p>
    <w:p w14:paraId="4CC9495D" w14:textId="77777777" w:rsidR="00AB3B38" w:rsidRDefault="00AB3B38" w:rsidP="00AB3B38">
      <w:r>
        <w:t>1. Risk Identification</w:t>
      </w:r>
    </w:p>
    <w:p w14:paraId="61104E06" w14:textId="09B46CB7" w:rsidR="00AB3B38" w:rsidRDefault="00AB3B38" w:rsidP="00AB3B38">
      <w:r>
        <w:t xml:space="preserve">The first stage of the methodology entailed identifying potential risks linked to the event. This process </w:t>
      </w:r>
      <w:proofErr w:type="gramStart"/>
      <w:r>
        <w:t>was guided</w:t>
      </w:r>
      <w:proofErr w:type="gramEnd"/>
      <w:r>
        <w:t xml:space="preserve"> by a comprehensive analysis of literature on event management and risk assessment, in addition to extensive discussions with key stakeholders such as hospital management, event planners, and local authorities. The </w:t>
      </w:r>
      <w:proofErr w:type="gramStart"/>
      <w:r>
        <w:t>main areas</w:t>
      </w:r>
      <w:proofErr w:type="gramEnd"/>
      <w:r>
        <w:t xml:space="preserve"> of concentration were venue security, food sanitation, crowd control, emergency preparedness, and adherence to local regulations. Consistent with the proposal put forth by Zou et.al. (2010), it </w:t>
      </w:r>
      <w:proofErr w:type="gramStart"/>
      <w:r>
        <w:t>is recommended</w:t>
      </w:r>
      <w:proofErr w:type="gramEnd"/>
      <w:r>
        <w:t xml:space="preserve"> to engage stakeholders in the risk identification process to attain a comprehensive understanding of potential risks.</w:t>
      </w:r>
    </w:p>
    <w:p w14:paraId="6CDB195F" w14:textId="77777777" w:rsidR="00AB3B38" w:rsidRDefault="00AB3B38" w:rsidP="00AB3B38">
      <w:r>
        <w:t>2. Assessment and appraisal of risks</w:t>
      </w:r>
    </w:p>
    <w:p w14:paraId="2C69431B" w14:textId="14082B6A" w:rsidR="00AB3B38" w:rsidRDefault="00AB3B38" w:rsidP="00AB3B38">
      <w:r>
        <w:t xml:space="preserve">After identifying the risks, each one </w:t>
      </w:r>
      <w:proofErr w:type="gramStart"/>
      <w:r>
        <w:t>was carefully analysed</w:t>
      </w:r>
      <w:proofErr w:type="gramEnd"/>
      <w:r>
        <w:t xml:space="preserve"> to assess its probability of happening and the potential consequences it could have. This analysis </w:t>
      </w:r>
      <w:proofErr w:type="gramStart"/>
      <w:r>
        <w:t>was done</w:t>
      </w:r>
      <w:proofErr w:type="gramEnd"/>
      <w:r>
        <w:t xml:space="preserve"> using a scoring system ranging from 1 to 5, as recommended by ISO 31000 (International Organisation for Standardisation, 2018). By combining quantitative analysis with qualitative input from stakeholder consultations, we were able to conduct a thorough evaluation of the overall se-verity of each risk. The analysis utilised tools and techniques derived from the </w:t>
      </w:r>
      <w:r>
        <w:t>methodologies</w:t>
      </w:r>
      <w:r>
        <w:t xml:space="preserve"> proposed by Renn (2008) and Aven</w:t>
      </w:r>
      <w:r w:rsidR="00F82F07">
        <w:t xml:space="preserve"> </w:t>
      </w:r>
      <w:r>
        <w:t>(2016</w:t>
      </w:r>
      <w:r w:rsidR="00F82F07">
        <w:t>), with</w:t>
      </w:r>
      <w:r>
        <w:t xml:space="preserve"> a focus on incorporating both </w:t>
      </w:r>
      <w:r>
        <w:t>quantitative</w:t>
      </w:r>
      <w:r>
        <w:t xml:space="preserve"> data and qualitative judgements in a balanced manner.</w:t>
      </w:r>
    </w:p>
    <w:p w14:paraId="00C027E2" w14:textId="77777777" w:rsidR="00AB3B38" w:rsidRDefault="00AB3B38" w:rsidP="00AB3B38">
      <w:r>
        <w:t>3. Strategies to reduce or eliminate potential risks</w:t>
      </w:r>
    </w:p>
    <w:p w14:paraId="66C6B4A2" w14:textId="11E14D41" w:rsidR="00AB3B38" w:rsidRDefault="00AB3B38" w:rsidP="00AB3B38">
      <w:r>
        <w:lastRenderedPageBreak/>
        <w:t xml:space="preserve">Once the risks have </w:t>
      </w:r>
      <w:proofErr w:type="gramStart"/>
      <w:r>
        <w:t>been identified</w:t>
      </w:r>
      <w:proofErr w:type="gramEnd"/>
      <w:r>
        <w:t xml:space="preserve"> and assessed, the subsequent task is to formulate </w:t>
      </w:r>
      <w:r>
        <w:t>strategies</w:t>
      </w:r>
      <w:r>
        <w:t xml:space="preserve"> to mitigate these risks, adhering to the risk treatment principles specified in ISO 31000 (International Organisation for Standardisation, 2018). This entailed formulating precise strategies for risks of utmost importance, integrating safety procedures, and establishing backup plans. The formulation of these strategies was guided by the research of Broder and Tucker (2012) on security risk management, which highlights the significance of </w:t>
      </w:r>
      <w:proofErr w:type="gramStart"/>
      <w:r>
        <w:t>proactive</w:t>
      </w:r>
      <w:proofErr w:type="gramEnd"/>
      <w:r>
        <w:t xml:space="preserve"> planning and response strategies.</w:t>
      </w:r>
    </w:p>
    <w:p w14:paraId="2E5C1422" w14:textId="77777777" w:rsidR="00AB3B38" w:rsidRDefault="00AB3B38" w:rsidP="00AB3B38">
      <w:r>
        <w:t>4. Surveillance and Evaluation</w:t>
      </w:r>
    </w:p>
    <w:p w14:paraId="34B174F6" w14:textId="50EEC008" w:rsidR="00AB3B38" w:rsidRDefault="00F82F07" w:rsidP="00AB3B38">
      <w:r w:rsidRPr="00F82F07">
        <w:t>Continuously monitoring and updating risk management strategies is essential to keep them effective throughout event planning and execution, as emphasized by Bowdin et al. (201</w:t>
      </w:r>
      <w:r w:rsidR="00BF6F09">
        <w:t>2</w:t>
      </w:r>
      <w:r w:rsidRPr="00F82F07">
        <w:t xml:space="preserve">). To streamline this process, meetings with stakeholders and the use of checklists and audits </w:t>
      </w:r>
      <w:proofErr w:type="gramStart"/>
      <w:r w:rsidRPr="00F82F07">
        <w:t>are recommended</w:t>
      </w:r>
      <w:proofErr w:type="gramEnd"/>
      <w:r w:rsidRPr="00F82F07">
        <w:t>, following HSE guidelines (2015). The compliance aspect of risk assessment stresses the critical importance of adhering to legal and industry standards, which not only meets legal obligations but also enhances risk management and ensures a safe environment for attendees while protecting the organizers from legal liabilities.</w:t>
      </w:r>
    </w:p>
    <w:p w14:paraId="16E0D9C9" w14:textId="77777777" w:rsidR="00AB3B38" w:rsidRDefault="00AB3B38" w:rsidP="00AB3B38">
      <w:r>
        <w:t>1. Health and Safety legislation.</w:t>
      </w:r>
    </w:p>
    <w:p w14:paraId="4B0FB462" w14:textId="2E9817FD" w:rsidR="00AB3B38" w:rsidRDefault="00AB3B38" w:rsidP="00AB3B38">
      <w:r>
        <w:t xml:space="preserve">Adhering to health and safety legislation is a crucial factor to consider for any event, </w:t>
      </w:r>
      <w:r>
        <w:t>particularly</w:t>
      </w:r>
      <w:r>
        <w:t xml:space="preserve"> in a hospital setting. The Health and Safety at Work Act </w:t>
      </w:r>
      <w:r w:rsidR="009A5555">
        <w:t>(</w:t>
      </w:r>
      <w:r>
        <w:t>1974</w:t>
      </w:r>
      <w:r w:rsidR="009A5555">
        <w:t>)</w:t>
      </w:r>
      <w:r>
        <w:t xml:space="preserve"> (HSWA) provides the legal framework for ensuring both the security and welfare of workers and the general public at events. Compliance entails performing comprehensive risk assessments, implementing </w:t>
      </w:r>
      <w:r>
        <w:t>sensible</w:t>
      </w:r>
      <w:r>
        <w:t xml:space="preserve"> safety measures, and offering sufficient information and training to both staff and volunteers (Health and Safety Executive, 2015). Furthermore, the Management of Health and Safety at Work Regulations (1999) mandates the implementation of precise protocols for evaluating potential hazards and making necessary preparations for unforeseen events. This underscores the significance of employing a methodical approach to identifying potential dangers and mitigating risks (HSE, 1999).</w:t>
      </w:r>
    </w:p>
    <w:p w14:paraId="5DD7F7C8" w14:textId="77777777" w:rsidR="00AB3B38" w:rsidRDefault="00AB3B38" w:rsidP="00AB3B38">
      <w:r>
        <w:t>2. Food Hygiene and Safety</w:t>
      </w:r>
    </w:p>
    <w:p w14:paraId="3FF0D9D9" w14:textId="22D258F1" w:rsidR="00AB3B38" w:rsidRDefault="00F82F07" w:rsidP="00AB3B38">
      <w:r w:rsidRPr="00F82F07">
        <w:lastRenderedPageBreak/>
        <w:t xml:space="preserve">For the bake sale at the fundraising event, strict adherence to food safety and hygiene regulations is critical, as mandated by the Food Safety Act (1990) and the Food Hygiene (England) Regulations (2006). These regulations require food handlers to ensure the safety, proper </w:t>
      </w:r>
      <w:r w:rsidRPr="00F82F07">
        <w:t>labelling</w:t>
      </w:r>
      <w:r w:rsidRPr="00F82F07">
        <w:t>, and truthfulness of food products. Implementing a Hazard Analysis and Critical Control Points (HACCP) system is essential, as it helps identify potential hazards and establish control points to mitigate these risks to acceptable levels (Food Standards Agency, 2015).</w:t>
      </w:r>
    </w:p>
    <w:p w14:paraId="15E23D7D" w14:textId="77777777" w:rsidR="00AB3B38" w:rsidRDefault="00AB3B38" w:rsidP="00AB3B38">
      <w:r>
        <w:t>3. Laws pertaining to gambling and lotteries</w:t>
      </w:r>
    </w:p>
    <w:p w14:paraId="235DAE37" w14:textId="1BDD067A" w:rsidR="00AB3B38" w:rsidRDefault="00AB3B38" w:rsidP="00AB3B38">
      <w:r>
        <w:t>Raffles are subject to regulation under the Gambling Act 2005, which governs lotteries and gambling activities.</w:t>
      </w:r>
      <w:r w:rsidR="006211A8" w:rsidRPr="006211A8">
        <w:t xml:space="preserve"> </w:t>
      </w:r>
      <w:r w:rsidR="006211A8" w:rsidRPr="006211A8">
        <w:t xml:space="preserve">Safety requires a rigorous commitment to following regulations related to ticket promotion, sales, prize distribution, and fund allocation. This ensures that the raffle </w:t>
      </w:r>
      <w:proofErr w:type="gramStart"/>
      <w:r w:rsidR="006211A8" w:rsidRPr="006211A8">
        <w:t>is conducted</w:t>
      </w:r>
      <w:proofErr w:type="gramEnd"/>
      <w:r w:rsidR="006211A8" w:rsidRPr="006211A8">
        <w:t xml:space="preserve"> fairly and transparently, and that the proceeds are used for a specific charitable purpose</w:t>
      </w:r>
      <w:r>
        <w:t xml:space="preserve"> (Gambling Commission, 2020).</w:t>
      </w:r>
    </w:p>
    <w:p w14:paraId="52C7A885" w14:textId="77777777" w:rsidR="00AB3B38" w:rsidRDefault="00AB3B38" w:rsidP="00AB3B38">
      <w:r>
        <w:t>4. The protection of copyright and intellectual property.</w:t>
      </w:r>
    </w:p>
    <w:p w14:paraId="5098E775" w14:textId="77777777" w:rsidR="00AB3B38" w:rsidRDefault="00AB3B38" w:rsidP="00AB3B38">
      <w:r>
        <w:t>Compliance with copyright laws is necessary in entertainment, especially when it involves musicians or copyrighted material, in order to avoid infringement. This entails acquiring the requisite licences for music performance from copyright holders or organisations like the Performing Right Society (PRS for Music, 2018).</w:t>
      </w:r>
    </w:p>
    <w:p w14:paraId="7CE02846" w14:textId="77777777" w:rsidR="00AB3B38" w:rsidRDefault="00AB3B38" w:rsidP="00AB3B38">
      <w:r>
        <w:t>5. Equity and Inclusivity</w:t>
      </w:r>
    </w:p>
    <w:p w14:paraId="4F3BFB30" w14:textId="37D19DF1" w:rsidR="00AB3B38" w:rsidRDefault="00AB3B38" w:rsidP="00AB3B38">
      <w:r>
        <w:t xml:space="preserve">The Equality Act 2010 requires event organisers to implement reasonable modifications to ensure the full participation of disabled individuals in the event. This entails ensuring that event planning </w:t>
      </w:r>
      <w:r>
        <w:t>considers</w:t>
      </w:r>
      <w:r>
        <w:t xml:space="preserve"> the requirements of individuals with different disabilities and provides facilities that are easily accessible to them (Equality and Human Rights Commission, 2020</w:t>
      </w:r>
      <w:r w:rsidR="00AC34CC">
        <w:t>). The</w:t>
      </w:r>
      <w:r>
        <w:t xml:space="preserve"> Risk Assessment Register is an essential element of the event risk management process, carefully recording identified risks, their probability, impact, calculated risk score, and severity. This systematic approach enhances comprehension of potential hazards and prioritises measures to alleviate them. Presented below is an elaborate outline of the possible hazards linked to the hospital fundraising event, which </w:t>
      </w:r>
      <w:r>
        <w:lastRenderedPageBreak/>
        <w:t>includes scholarly references to enhance the thoroughness and comprehensiveness of the assessment.</w:t>
      </w:r>
    </w:p>
    <w:p w14:paraId="4B2031CF" w14:textId="77777777" w:rsidR="00AB3B38" w:rsidRDefault="00AB3B38" w:rsidP="00AB3B38">
      <w:r>
        <w:t xml:space="preserve"> Risk Assessment Register:</w:t>
      </w:r>
    </w:p>
    <w:p w14:paraId="2D23B615" w14:textId="77777777" w:rsidR="00AB3B38" w:rsidRDefault="00AB3B38" w:rsidP="00AB3B38">
      <w:r>
        <w:t>Hazard: Potential for foodborne illness resulting from the consumption of items sold at a bake sale.</w:t>
      </w:r>
    </w:p>
    <w:p w14:paraId="4E0CFBF9" w14:textId="77777777" w:rsidR="00AB3B38" w:rsidRDefault="00AB3B38" w:rsidP="00AB3B38">
      <w:r>
        <w:t>Probability: 3 (Moderate)</w:t>
      </w:r>
    </w:p>
    <w:p w14:paraId="632B7013" w14:textId="77777777" w:rsidR="00AB3B38" w:rsidRDefault="00AB3B38" w:rsidP="00AB3B38">
      <w:r>
        <w:t>Severity: 4 (Significant)</w:t>
      </w:r>
    </w:p>
    <w:p w14:paraId="147762F8" w14:textId="77777777" w:rsidR="00AB3B38" w:rsidRDefault="00AB3B38" w:rsidP="00AB3B38">
      <w:r>
        <w:t xml:space="preserve">The risk score is </w:t>
      </w:r>
      <w:proofErr w:type="gramStart"/>
      <w:r>
        <w:t>12</w:t>
      </w:r>
      <w:proofErr w:type="gramEnd"/>
      <w:r>
        <w:t>.</w:t>
      </w:r>
    </w:p>
    <w:p w14:paraId="431C844F" w14:textId="77777777" w:rsidR="00AB3B38" w:rsidRDefault="00AB3B38" w:rsidP="00AB3B38">
      <w:r>
        <w:t>Level of seriousness: High</w:t>
      </w:r>
    </w:p>
    <w:p w14:paraId="562589EB" w14:textId="77777777" w:rsidR="00AB3B38" w:rsidRDefault="00AB3B38" w:rsidP="00AB3B38">
      <w:r>
        <w:t xml:space="preserve">Mitigation: Enforce the implementation of a Hazard Analysis and Critical Control Point (HACCP) system, ensure that all individuals </w:t>
      </w:r>
      <w:proofErr w:type="gramStart"/>
      <w:r>
        <w:t>handling</w:t>
      </w:r>
      <w:proofErr w:type="gramEnd"/>
      <w:r>
        <w:t xml:space="preserve"> food receive fundamental food hygiene training, and regularly perform temperature checks (Food Standards Agency, 2015).</w:t>
      </w:r>
    </w:p>
    <w:p w14:paraId="7928E3EB" w14:textId="77777777" w:rsidR="00AB3B38" w:rsidRDefault="00AB3B38" w:rsidP="00AB3B38">
      <w:r>
        <w:t>Hazard: Potential for Tripping and Falling</w:t>
      </w:r>
    </w:p>
    <w:p w14:paraId="30BCAFA0" w14:textId="77777777" w:rsidR="00AB3B38" w:rsidRDefault="00AB3B38" w:rsidP="00AB3B38">
      <w:r>
        <w:t>Probability: 4 (High)</w:t>
      </w:r>
    </w:p>
    <w:p w14:paraId="51AA4D56" w14:textId="77777777" w:rsidR="00AB3B38" w:rsidRDefault="00AB3B38" w:rsidP="00AB3B38">
      <w:r>
        <w:t>Effect: 3 (Moderate)</w:t>
      </w:r>
    </w:p>
    <w:p w14:paraId="0D65CFA3" w14:textId="77777777" w:rsidR="00AB3B38" w:rsidRDefault="00AB3B38" w:rsidP="00AB3B38">
      <w:r>
        <w:t xml:space="preserve">The risk score is </w:t>
      </w:r>
      <w:proofErr w:type="gramStart"/>
      <w:r>
        <w:t>12</w:t>
      </w:r>
      <w:proofErr w:type="gramEnd"/>
      <w:r>
        <w:t>.</w:t>
      </w:r>
    </w:p>
    <w:p w14:paraId="15DB4934" w14:textId="77777777" w:rsidR="00AB3B38" w:rsidRDefault="00AB3B38" w:rsidP="00AB3B38">
      <w:r>
        <w:t>Level of seriousness: High</w:t>
      </w:r>
    </w:p>
    <w:p w14:paraId="03600728" w14:textId="77777777" w:rsidR="00AB3B38" w:rsidRDefault="00AB3B38" w:rsidP="00AB3B38">
      <w:r>
        <w:t xml:space="preserve">Mitigation: Perform a comprehensive inspection of the venue to detect </w:t>
      </w:r>
      <w:proofErr w:type="gramStart"/>
      <w:r>
        <w:t>possible obstacles</w:t>
      </w:r>
      <w:proofErr w:type="gramEnd"/>
      <w:r>
        <w:t xml:space="preserve"> that may cause someone to trip, verify that there is sufficient illumination, and strategically position cautionary signs in areas with issues (Health and Safety Executive, 2015).</w:t>
      </w:r>
    </w:p>
    <w:p w14:paraId="15FF49AC" w14:textId="77777777" w:rsidR="00AB3B38" w:rsidRDefault="00AB3B38" w:rsidP="00AB3B38">
      <w:r>
        <w:t>Hazard: Unauthorised Access Entry to Restricted Areas</w:t>
      </w:r>
    </w:p>
    <w:p w14:paraId="7DBA118A" w14:textId="77777777" w:rsidR="00AB3B38" w:rsidRDefault="00AB3B38" w:rsidP="00AB3B38">
      <w:r>
        <w:t>Probability: 2 (Low)</w:t>
      </w:r>
    </w:p>
    <w:p w14:paraId="663FD4F7" w14:textId="77777777" w:rsidR="00AB3B38" w:rsidRDefault="00AB3B38" w:rsidP="00AB3B38">
      <w:r>
        <w:t>Effect: 5 (Significantly High)</w:t>
      </w:r>
    </w:p>
    <w:p w14:paraId="39D9EF0F" w14:textId="77777777" w:rsidR="00AB3B38" w:rsidRDefault="00AB3B38" w:rsidP="00AB3B38">
      <w:r>
        <w:lastRenderedPageBreak/>
        <w:t xml:space="preserve">The risk score is </w:t>
      </w:r>
      <w:proofErr w:type="gramStart"/>
      <w:r>
        <w:t>10</w:t>
      </w:r>
      <w:proofErr w:type="gramEnd"/>
      <w:r>
        <w:t>.</w:t>
      </w:r>
    </w:p>
    <w:p w14:paraId="78B4D86E" w14:textId="77777777" w:rsidR="00AB3B38" w:rsidRDefault="00AB3B38" w:rsidP="00AB3B38">
      <w:r>
        <w:t>Level of seriousness: Moderate</w:t>
      </w:r>
    </w:p>
    <w:p w14:paraId="44A71806" w14:textId="77777777" w:rsidR="00AB3B38" w:rsidRDefault="00AB3B38" w:rsidP="00AB3B38">
      <w:r>
        <w:t xml:space="preserve">Mitigation: Enforce access control protocols, hire security personnel, and visibly designate </w:t>
      </w:r>
      <w:proofErr w:type="gramStart"/>
      <w:r>
        <w:t>private areas</w:t>
      </w:r>
      <w:proofErr w:type="gramEnd"/>
      <w:r>
        <w:t xml:space="preserve"> (Broder and Tucker,2012).</w:t>
      </w:r>
    </w:p>
    <w:p w14:paraId="5951832F" w14:textId="77777777" w:rsidR="00AB3B38" w:rsidRDefault="00AB3B38" w:rsidP="00AB3B38">
      <w:r>
        <w:t>Fire hazard arising from electrical equipment.</w:t>
      </w:r>
    </w:p>
    <w:p w14:paraId="27227638" w14:textId="77777777" w:rsidR="00AB3B38" w:rsidRDefault="00AB3B38" w:rsidP="00AB3B38">
      <w:r>
        <w:t>Probability: 2 (Low)</w:t>
      </w:r>
    </w:p>
    <w:p w14:paraId="701E1B81" w14:textId="77777777" w:rsidR="00AB3B38" w:rsidRDefault="00AB3B38" w:rsidP="00AB3B38">
      <w:r>
        <w:t>Impact level: 5 (Significantly high)</w:t>
      </w:r>
    </w:p>
    <w:p w14:paraId="4E1229E9" w14:textId="77777777" w:rsidR="00AB3B38" w:rsidRDefault="00AB3B38" w:rsidP="00AB3B38">
      <w:r>
        <w:t xml:space="preserve">The risk score is </w:t>
      </w:r>
      <w:proofErr w:type="gramStart"/>
      <w:r>
        <w:t>10</w:t>
      </w:r>
      <w:proofErr w:type="gramEnd"/>
      <w:r>
        <w:t>.</w:t>
      </w:r>
    </w:p>
    <w:p w14:paraId="29DEA7D6" w14:textId="77777777" w:rsidR="00AB3B38" w:rsidRDefault="00AB3B38" w:rsidP="00AB3B38">
      <w:r>
        <w:t>Level of seriousness: Moderate</w:t>
      </w:r>
    </w:p>
    <w:p w14:paraId="7E3F11A3" w14:textId="21819877" w:rsidR="00AB3B38" w:rsidRDefault="00AB3B38" w:rsidP="00AB3B38">
      <w:r>
        <w:t xml:space="preserve">Mitigation measures include conducting Portable Appliance Testing (PAT) on all electrical equipment, establishing unambiguous escape routes, and providing fire extinguishers, as recommended by the British Standards Institution </w:t>
      </w:r>
      <w:r w:rsidR="00AC34CC">
        <w:t>(2012)</w:t>
      </w:r>
      <w:r>
        <w:t>.</w:t>
      </w:r>
    </w:p>
    <w:p w14:paraId="5494868F" w14:textId="77777777" w:rsidR="00AB3B38" w:rsidRDefault="00AB3B38" w:rsidP="00AB3B38">
      <w:r>
        <w:t xml:space="preserve">Risk: Insufficient Waste Disposal </w:t>
      </w:r>
    </w:p>
    <w:p w14:paraId="60FB0EF6" w14:textId="77777777" w:rsidR="00AB3B38" w:rsidRDefault="00AB3B38" w:rsidP="00AB3B38">
      <w:r>
        <w:t>Probability: 3 (Moderate)</w:t>
      </w:r>
    </w:p>
    <w:p w14:paraId="1A79EC9B" w14:textId="77777777" w:rsidR="00AB3B38" w:rsidRDefault="00AB3B38" w:rsidP="00AB3B38">
      <w:r>
        <w:t>Effect: 2 (Minimal)</w:t>
      </w:r>
    </w:p>
    <w:p w14:paraId="5276A5BD" w14:textId="77777777" w:rsidR="00AB3B38" w:rsidRDefault="00AB3B38" w:rsidP="00AB3B38">
      <w:r>
        <w:t xml:space="preserve">The risk score is </w:t>
      </w:r>
      <w:proofErr w:type="gramStart"/>
      <w:r>
        <w:t>6</w:t>
      </w:r>
      <w:proofErr w:type="gramEnd"/>
      <w:r>
        <w:t>.</w:t>
      </w:r>
    </w:p>
    <w:p w14:paraId="2CC11CAD" w14:textId="77777777" w:rsidR="00AB3B38" w:rsidRDefault="00AB3B38" w:rsidP="00AB3B38">
      <w:r>
        <w:t>Level of severity: Low</w:t>
      </w:r>
    </w:p>
    <w:p w14:paraId="0775EA99" w14:textId="26ACF6B2" w:rsidR="00AB3B38" w:rsidRDefault="00AB3B38" w:rsidP="00AB3B38">
      <w:r>
        <w:t xml:space="preserve">Mitigation: Hire a </w:t>
      </w:r>
      <w:proofErr w:type="gramStart"/>
      <w:r>
        <w:t>reliable</w:t>
      </w:r>
      <w:proofErr w:type="gramEnd"/>
      <w:r>
        <w:t xml:space="preserve"> waste management company and establish sufficient waste disposal locations throughout the venue (Walker et.al., 2014).</w:t>
      </w:r>
    </w:p>
    <w:p w14:paraId="51B5A993" w14:textId="21BE9027" w:rsidR="00AB3B38" w:rsidRDefault="00AB3B38" w:rsidP="00AB3B38">
      <w:r>
        <w:t xml:space="preserve">The thorough risk assessment conducted for the hospital fundraising event, which includes a bake sale, a raffle, and live entertainment, has identified multiple potential risks that could affect the safety, compliance, and overall success of the event. The rigorous process of </w:t>
      </w:r>
      <w:r>
        <w:t>identifying</w:t>
      </w:r>
      <w:r>
        <w:t xml:space="preserve">, analysing, evaluating, and suggesting ways to reduce these risks highlights the </w:t>
      </w:r>
      <w:r>
        <w:t>significance</w:t>
      </w:r>
      <w:r>
        <w:t xml:space="preserve"> of </w:t>
      </w:r>
      <w:proofErr w:type="gramStart"/>
      <w:r>
        <w:t>proactive</w:t>
      </w:r>
      <w:proofErr w:type="gramEnd"/>
      <w:r>
        <w:t xml:space="preserve"> risk management in event planning, particularly in sensitive settings like healthcare facilities.</w:t>
      </w:r>
    </w:p>
    <w:p w14:paraId="41375CDF" w14:textId="77777777" w:rsidR="00AB3B38" w:rsidRDefault="00AB3B38" w:rsidP="00AB3B38">
      <w:r>
        <w:t>Recommendations:</w:t>
      </w:r>
    </w:p>
    <w:p w14:paraId="03F2A325" w14:textId="05797399" w:rsidR="00AB3B38" w:rsidRDefault="00AB3B38" w:rsidP="00AB3B38">
      <w:r>
        <w:lastRenderedPageBreak/>
        <w:t xml:space="preserve">According to the results of the risk assessment, the following suggestions </w:t>
      </w:r>
      <w:proofErr w:type="gramStart"/>
      <w:r>
        <w:t>are made</w:t>
      </w:r>
      <w:proofErr w:type="gramEnd"/>
      <w:r>
        <w:t xml:space="preserve"> to reduce important risks and improve the safety and success of the event:</w:t>
      </w:r>
    </w:p>
    <w:p w14:paraId="0E69648A" w14:textId="2B981C11" w:rsidR="00AB3B38" w:rsidRDefault="00AB3B38" w:rsidP="00AB3B38">
      <w:r>
        <w:t>Enforce Extensive Food Safety Protocols: Ensure the implementation and strict adherence to food safety protocols, specifically Hazard Analysis and Critical Control Points (HACCP), in or-der to minimise the risks associated with the bake sale</w:t>
      </w:r>
      <w:proofErr w:type="gramStart"/>
      <w:r>
        <w:t xml:space="preserve">.  </w:t>
      </w:r>
      <w:proofErr w:type="gramEnd"/>
      <w:r>
        <w:t xml:space="preserve">Mandatory training and certification for food handlers should </w:t>
      </w:r>
      <w:proofErr w:type="gramStart"/>
      <w:r>
        <w:t>be implemented</w:t>
      </w:r>
      <w:proofErr w:type="gramEnd"/>
      <w:r>
        <w:t xml:space="preserve"> to guarantee adherence to food hygiene regulations (Food Standards Agency, 2015).</w:t>
      </w:r>
    </w:p>
    <w:p w14:paraId="2435AAC1" w14:textId="77777777" w:rsidR="00AB3B38" w:rsidRDefault="00AB3B38" w:rsidP="00AB3B38">
      <w:r>
        <w:t xml:space="preserve">Improve Venue Safety: Regularly and comprehensively inspect the venue to identify and fix potential trip and fall hazards, ensure proper electrical safety, and enhance overall venue safety. Effective implementation of signage and precise communication of safety protocols can </w:t>
      </w:r>
      <w:proofErr w:type="gramStart"/>
      <w:r>
        <w:t>substantially diminish</w:t>
      </w:r>
      <w:proofErr w:type="gramEnd"/>
      <w:r>
        <w:t xml:space="preserve"> the likelihood of accidents (Health and Safety Executive, 2015).</w:t>
      </w:r>
    </w:p>
    <w:p w14:paraId="0BFED2D2" w14:textId="44C3EE41" w:rsidR="00AB3B38" w:rsidRDefault="00AB3B38" w:rsidP="00AB3B38">
      <w:r>
        <w:t>Enhance Access Control and Security: Implement robust access control measures to deter unauthorised access to restricted areas. Implementing well-trained security personnel and employing advanced technology like ID scanners can effectively uphold a secure environment for both attendees and staff members (Broder and Tucker,2012).</w:t>
      </w:r>
    </w:p>
    <w:p w14:paraId="4383A890" w14:textId="09CE273C" w:rsidR="00AB3B38" w:rsidRDefault="00AB3B38" w:rsidP="00AB3B38">
      <w:r>
        <w:t xml:space="preserve">Fire Safety Planning: Verify that all electrical equipment undergoes inspection and obtains certification to ensure safety. Establish thorough fire evacuation protocols, prominently la-belling exit points and conducting training sessions for employees and volunteers on </w:t>
      </w:r>
      <w:r>
        <w:t>emergency</w:t>
      </w:r>
      <w:r>
        <w:t xml:space="preserve"> protocols (British Standards Institution, 2012).</w:t>
      </w:r>
    </w:p>
    <w:p w14:paraId="21C53708" w14:textId="01D4D98D" w:rsidR="00AB3B38" w:rsidRDefault="00AB3B38" w:rsidP="00AB3B38">
      <w:r>
        <w:t xml:space="preserve">Waste Management Strategy: Enact an ecologically conscientious waste management plan to effectively </w:t>
      </w:r>
      <w:proofErr w:type="gramStart"/>
      <w:r>
        <w:t>handle</w:t>
      </w:r>
      <w:proofErr w:type="gramEnd"/>
      <w:r>
        <w:t xml:space="preserve"> waste produced during the event. The plan should give priority to recycling and reducing waste sent to landfills, in line with the event's dedication to sustainability (Walker et.al., 2014).</w:t>
      </w:r>
    </w:p>
    <w:p w14:paraId="25DCE248" w14:textId="3BEBFA6B" w:rsidR="00AB3B38" w:rsidRDefault="00AB3B38" w:rsidP="00AB3B38">
      <w:r>
        <w:t xml:space="preserve">Implement a mechanism to consistently monitor and evaluate risks, enabling prompt </w:t>
      </w:r>
      <w:r>
        <w:t>detection</w:t>
      </w:r>
      <w:r>
        <w:t xml:space="preserve"> and reduction of newly emerging risks. </w:t>
      </w:r>
      <w:r w:rsidR="006211A8" w:rsidRPr="006211A8">
        <w:t>In order to consistently enhance all facets of the event's risk management, it is crucial to integrate regular stakeholder meetings and feedback mechanisms into the system</w:t>
      </w:r>
      <w:r w:rsidR="006211A8">
        <w:t xml:space="preserve"> </w:t>
      </w:r>
      <w:r>
        <w:t>(Aven, 2016).</w:t>
      </w:r>
    </w:p>
    <w:p w14:paraId="01F25FE9" w14:textId="428D3C85" w:rsidR="005F07D9" w:rsidRDefault="00AB3B38" w:rsidP="00AB3B38">
      <w:r>
        <w:lastRenderedPageBreak/>
        <w:t xml:space="preserve">In conclusion, this assessment has clarified the complex nature of event risk management, demonstrating that risks such as food poisoning and unauthorised access can have </w:t>
      </w:r>
      <w:proofErr w:type="gramStart"/>
      <w:r>
        <w:t>different levels</w:t>
      </w:r>
      <w:proofErr w:type="gramEnd"/>
      <w:r>
        <w:t xml:space="preserve"> of probability and consequences.</w:t>
      </w:r>
      <w:r w:rsidR="006211A8" w:rsidRPr="006211A8">
        <w:t xml:space="preserve"> </w:t>
      </w:r>
      <w:r w:rsidR="006211A8" w:rsidRPr="006211A8">
        <w:t>The application of established frameworks and guidelines, such as ISO 31000 (International Organisation for Standardisation, 2018) and the principles outlined by the Health and Safety Executive (2015), has facilitated a thorough and structured approach to managing risks.</w:t>
      </w:r>
      <w:r>
        <w:t xml:space="preserve"> The involvement of stakeholders and </w:t>
      </w:r>
      <w:r>
        <w:t>compliance</w:t>
      </w:r>
      <w:r>
        <w:t xml:space="preserve"> with legislative and best practice guidelines have enhanced the assessment, guaranteeing that all </w:t>
      </w:r>
      <w:proofErr w:type="gramStart"/>
      <w:r>
        <w:t>possible risks</w:t>
      </w:r>
      <w:proofErr w:type="gramEnd"/>
      <w:r>
        <w:t xml:space="preserve"> are considered and dealt with appropriately (Zou et.al., 2010).</w:t>
      </w:r>
    </w:p>
    <w:p w14:paraId="3F5789BE" w14:textId="77777777" w:rsidR="005F07D9" w:rsidRDefault="005F07D9">
      <w:pPr>
        <w:autoSpaceDN/>
      </w:pPr>
      <w:r>
        <w:br w:type="page"/>
      </w:r>
    </w:p>
    <w:p w14:paraId="0FD9F329" w14:textId="77777777" w:rsidR="007319E7" w:rsidRPr="007319E7" w:rsidRDefault="007319E7" w:rsidP="007319E7">
      <w:pPr>
        <w:rPr>
          <w:b/>
          <w:bCs/>
        </w:rPr>
      </w:pPr>
      <w:r w:rsidRPr="007319E7">
        <w:rPr>
          <w:b/>
          <w:bCs/>
        </w:rPr>
        <w:lastRenderedPageBreak/>
        <w:t>Reference list</w:t>
      </w:r>
    </w:p>
    <w:p w14:paraId="37522777" w14:textId="4AE519A7" w:rsidR="007319E7" w:rsidRPr="007319E7" w:rsidRDefault="007319E7" w:rsidP="007319E7">
      <w:r w:rsidRPr="007319E7">
        <w:t xml:space="preserve">Aven, T. (2016). Risk Assessment and Risk management: Review of Recent Advances on Their Foundation. </w:t>
      </w:r>
      <w:r w:rsidRPr="007319E7">
        <w:rPr>
          <w:i/>
          <w:iCs/>
        </w:rPr>
        <w:t>European Journal of Operational Research</w:t>
      </w:r>
      <w:r w:rsidRPr="007319E7">
        <w:t>, 253(1), pp.1–13. Available at: https://doi.org/10.1016/j.ejor.2015.12.023.</w:t>
      </w:r>
    </w:p>
    <w:p w14:paraId="65C0C337" w14:textId="77777777" w:rsidR="007319E7" w:rsidRPr="007319E7" w:rsidRDefault="007319E7" w:rsidP="007319E7">
      <w:r w:rsidRPr="007319E7">
        <w:t xml:space="preserve">Bowdin, G., Allen, J., Harris, R., McDonnell, I. and O’Toole, W. (2012). </w:t>
      </w:r>
      <w:r w:rsidRPr="007319E7">
        <w:rPr>
          <w:i/>
          <w:iCs/>
        </w:rPr>
        <w:t>Events Management</w:t>
      </w:r>
      <w:r w:rsidRPr="007319E7">
        <w:t>. Routledge.</w:t>
      </w:r>
    </w:p>
    <w:p w14:paraId="2F0DFDA8" w14:textId="27B3B2D8" w:rsidR="007319E7" w:rsidRPr="007319E7" w:rsidRDefault="007319E7" w:rsidP="007319E7">
      <w:r w:rsidRPr="007319E7">
        <w:t>British Standards Institution (2012)</w:t>
      </w:r>
      <w:r w:rsidR="009A5555" w:rsidRPr="007319E7">
        <w:t>.</w:t>
      </w:r>
      <w:r w:rsidRPr="007319E7">
        <w:rPr>
          <w:i/>
          <w:iCs/>
        </w:rPr>
        <w:t xml:space="preserve"> Code of Practice for Fire Safety in the Design, Management, and Use of </w:t>
      </w:r>
      <w:r w:rsidR="009A5555" w:rsidRPr="007319E7">
        <w:rPr>
          <w:i/>
          <w:iCs/>
        </w:rPr>
        <w:t>Buildings.</w:t>
      </w:r>
    </w:p>
    <w:p w14:paraId="46C8E65B" w14:textId="5053E49C" w:rsidR="007319E7" w:rsidRPr="007319E7" w:rsidRDefault="007319E7" w:rsidP="007319E7">
      <w:r w:rsidRPr="007319E7">
        <w:t xml:space="preserve">Broder, J.F. and Tucker, E. (2012). </w:t>
      </w:r>
      <w:r w:rsidRPr="007319E7">
        <w:rPr>
          <w:i/>
          <w:iCs/>
        </w:rPr>
        <w:t>Risk analysis and the security survey</w:t>
      </w:r>
      <w:r w:rsidRPr="007319E7">
        <w:t xml:space="preserve">. </w:t>
      </w:r>
      <w:r w:rsidR="009A5555" w:rsidRPr="007319E7">
        <w:t>Amsterdam;</w:t>
      </w:r>
      <w:r w:rsidRPr="007319E7">
        <w:t xml:space="preserve"> Waltham, Ma: Butterworth-Heinemann.</w:t>
      </w:r>
    </w:p>
    <w:p w14:paraId="243A001C" w14:textId="77777777" w:rsidR="007319E7" w:rsidRPr="007319E7" w:rsidRDefault="007319E7" w:rsidP="007319E7">
      <w:r w:rsidRPr="007319E7">
        <w:t xml:space="preserve">Equality and Human Rights Commission (2020). </w:t>
      </w:r>
      <w:r w:rsidRPr="007319E7">
        <w:rPr>
          <w:i/>
          <w:iCs/>
        </w:rPr>
        <w:t>Planning virtual engagement: are your events inclusive and accessible for disabled people? | EHRC</w:t>
      </w:r>
      <w:r w:rsidRPr="007319E7">
        <w:t>. www.equalityhumanrights.com.</w:t>
      </w:r>
    </w:p>
    <w:p w14:paraId="6022FDD9" w14:textId="3CE178FD" w:rsidR="007319E7" w:rsidRPr="007319E7" w:rsidRDefault="007319E7" w:rsidP="007319E7">
      <w:r w:rsidRPr="007319E7">
        <w:t xml:space="preserve">Food Safety Act 1990 (2023). </w:t>
      </w:r>
      <w:r w:rsidRPr="007319E7">
        <w:rPr>
          <w:i/>
          <w:iCs/>
        </w:rPr>
        <w:t>Food Safety Act 1990</w:t>
      </w:r>
      <w:r w:rsidRPr="007319E7">
        <w:t>. Legislation.gov.uk. Available at: https://www.legislation.gov.uk/ukpga/1990/16/contents.</w:t>
      </w:r>
    </w:p>
    <w:p w14:paraId="39715934" w14:textId="07416687" w:rsidR="007319E7" w:rsidRPr="007319E7" w:rsidRDefault="007319E7" w:rsidP="007319E7">
      <w:r w:rsidRPr="007319E7">
        <w:t xml:space="preserve">Food Standards Agency (2015). </w:t>
      </w:r>
      <w:r w:rsidRPr="007319E7">
        <w:rPr>
          <w:i/>
          <w:iCs/>
        </w:rPr>
        <w:t>Safer food, better business (SFBB)</w:t>
      </w:r>
      <w:r w:rsidRPr="007319E7">
        <w:t>. Food Standards Agency. Available at: https://www.food.gov.uk/business-guidance/safer-food-better-business-sfbb.</w:t>
      </w:r>
    </w:p>
    <w:p w14:paraId="4C7804E5" w14:textId="4BE28DD8" w:rsidR="007319E7" w:rsidRPr="007319E7" w:rsidRDefault="007319E7" w:rsidP="007319E7">
      <w:r w:rsidRPr="007319E7">
        <w:t xml:space="preserve">gamblingcommission.gov.uk (2020). </w:t>
      </w:r>
      <w:r w:rsidRPr="007319E7">
        <w:rPr>
          <w:i/>
          <w:iCs/>
        </w:rPr>
        <w:t xml:space="preserve">Fundraising, </w:t>
      </w:r>
      <w:proofErr w:type="gramStart"/>
      <w:r w:rsidR="009A5555" w:rsidRPr="007319E7">
        <w:rPr>
          <w:i/>
          <w:iCs/>
        </w:rPr>
        <w:t>raffles</w:t>
      </w:r>
      <w:proofErr w:type="gramEnd"/>
      <w:r w:rsidRPr="007319E7">
        <w:rPr>
          <w:i/>
          <w:iCs/>
        </w:rPr>
        <w:t xml:space="preserve"> and lotteries</w:t>
      </w:r>
      <w:r w:rsidRPr="007319E7">
        <w:t>.</w:t>
      </w:r>
      <w:r w:rsidR="009A5555">
        <w:t xml:space="preserve"> </w:t>
      </w:r>
      <w:r w:rsidRPr="007319E7">
        <w:t xml:space="preserve">www.gamblingcommission.gov.uk. Available at: https://www.gamblingcommission.gov.uk/public-and-players/print/fundraising-prize-draws-raffles-and-lotteries#:~:text=You%20need%20a%20registration%20or </w:t>
      </w:r>
    </w:p>
    <w:p w14:paraId="33609956" w14:textId="77777777" w:rsidR="007319E7" w:rsidRPr="007319E7" w:rsidRDefault="007319E7" w:rsidP="007319E7">
      <w:r w:rsidRPr="007319E7">
        <w:t xml:space="preserve">Getz, </w:t>
      </w:r>
      <w:proofErr w:type="gramStart"/>
      <w:r w:rsidRPr="007319E7">
        <w:t>D.</w:t>
      </w:r>
      <w:proofErr w:type="gramEnd"/>
      <w:r w:rsidRPr="007319E7">
        <w:t xml:space="preserve"> and Page, S.J. (2016). </w:t>
      </w:r>
      <w:r w:rsidRPr="007319E7">
        <w:rPr>
          <w:i/>
          <w:iCs/>
        </w:rPr>
        <w:t>Event Studies: Theory, Research, and Policy for Planned Events.</w:t>
      </w:r>
      <w:r w:rsidRPr="007319E7">
        <w:t xml:space="preserve"> Routledge.</w:t>
      </w:r>
    </w:p>
    <w:p w14:paraId="1BE75169" w14:textId="50F9262A" w:rsidR="007319E7" w:rsidRPr="007319E7" w:rsidRDefault="007319E7" w:rsidP="007319E7">
      <w:r w:rsidRPr="007319E7">
        <w:t xml:space="preserve">Goldblatt, J.J. (2014). </w:t>
      </w:r>
      <w:proofErr w:type="gramStart"/>
      <w:r w:rsidRPr="007319E7">
        <w:rPr>
          <w:i/>
          <w:iCs/>
        </w:rPr>
        <w:t xml:space="preserve">Special </w:t>
      </w:r>
      <w:r w:rsidR="009A5555" w:rsidRPr="007319E7">
        <w:rPr>
          <w:i/>
          <w:iCs/>
        </w:rPr>
        <w:t>events</w:t>
      </w:r>
      <w:proofErr w:type="gramEnd"/>
      <w:r w:rsidR="009A5555" w:rsidRPr="007319E7">
        <w:rPr>
          <w:i/>
          <w:iCs/>
        </w:rPr>
        <w:t>:</w:t>
      </w:r>
      <w:r w:rsidRPr="007319E7">
        <w:rPr>
          <w:i/>
          <w:iCs/>
        </w:rPr>
        <w:t xml:space="preserve"> creating and sustaining a new world for celebration</w:t>
      </w:r>
      <w:r w:rsidRPr="007319E7">
        <w:t>. Hoboken, New Jersey: Wiley.</w:t>
      </w:r>
    </w:p>
    <w:p w14:paraId="142AE278" w14:textId="65F57AB9" w:rsidR="007319E7" w:rsidRPr="007319E7" w:rsidRDefault="007319E7" w:rsidP="007319E7">
      <w:r w:rsidRPr="007319E7">
        <w:lastRenderedPageBreak/>
        <w:t xml:space="preserve">Health and Safety at Work </w:t>
      </w:r>
      <w:proofErr w:type="gramStart"/>
      <w:r w:rsidRPr="007319E7">
        <w:t>etc.</w:t>
      </w:r>
      <w:proofErr w:type="gramEnd"/>
      <w:r w:rsidRPr="007319E7">
        <w:t xml:space="preserve"> Act 1974 (1974). </w:t>
      </w:r>
      <w:r w:rsidRPr="007319E7">
        <w:rPr>
          <w:i/>
          <w:iCs/>
        </w:rPr>
        <w:t xml:space="preserve">Health and Safety at Work </w:t>
      </w:r>
      <w:proofErr w:type="gramStart"/>
      <w:r w:rsidRPr="007319E7">
        <w:rPr>
          <w:i/>
          <w:iCs/>
        </w:rPr>
        <w:t>etc.</w:t>
      </w:r>
      <w:proofErr w:type="gramEnd"/>
      <w:r w:rsidRPr="007319E7">
        <w:rPr>
          <w:i/>
          <w:iCs/>
        </w:rPr>
        <w:t xml:space="preserve"> Act 1974</w:t>
      </w:r>
      <w:proofErr w:type="gramStart"/>
      <w:r w:rsidRPr="007319E7">
        <w:t xml:space="preserve">.  </w:t>
      </w:r>
      <w:proofErr w:type="gramEnd"/>
      <w:r w:rsidRPr="007319E7">
        <w:t>Legislation.gov.uk. Available at: https://www.legislation.gov.uk/ukpga/1974/37/contents.</w:t>
      </w:r>
    </w:p>
    <w:p w14:paraId="4C3EC759" w14:textId="0A885805" w:rsidR="007319E7" w:rsidRPr="007319E7" w:rsidRDefault="007319E7" w:rsidP="007319E7">
      <w:r w:rsidRPr="007319E7">
        <w:t xml:space="preserve">Health and Safety Executive (1999). </w:t>
      </w:r>
      <w:r w:rsidRPr="007319E7">
        <w:rPr>
          <w:i/>
          <w:iCs/>
        </w:rPr>
        <w:t>The Management of Health and Safety at Work Regulations 1999</w:t>
      </w:r>
      <w:r w:rsidRPr="007319E7">
        <w:t>. Legislation.gov.uk. Available at: https://www.legislation.gov.uk/uksi/1999/3242/contents/made.</w:t>
      </w:r>
    </w:p>
    <w:p w14:paraId="1F726C30" w14:textId="27AFE8F9" w:rsidR="007319E7" w:rsidRPr="007319E7" w:rsidRDefault="007319E7" w:rsidP="007319E7">
      <w:r w:rsidRPr="007319E7">
        <w:t xml:space="preserve">Health and Safety Executive (2015). </w:t>
      </w:r>
      <w:r w:rsidRPr="007319E7">
        <w:rPr>
          <w:i/>
          <w:iCs/>
        </w:rPr>
        <w:t>Managing health and safety in construction</w:t>
      </w:r>
      <w:r w:rsidRPr="007319E7">
        <w:t>. Available at: https://www.hse.gov.uk/pubns/priced/l153.pdf.</w:t>
      </w:r>
    </w:p>
    <w:p w14:paraId="03AD3287" w14:textId="42CFAAC5" w:rsidR="007319E7" w:rsidRPr="007319E7" w:rsidRDefault="007319E7" w:rsidP="007319E7">
      <w:r w:rsidRPr="007319E7">
        <w:t xml:space="preserve">Hoyle, L.H. (2002). </w:t>
      </w:r>
      <w:r w:rsidRPr="007319E7">
        <w:rPr>
          <w:i/>
          <w:iCs/>
        </w:rPr>
        <w:t xml:space="preserve">Event </w:t>
      </w:r>
      <w:r w:rsidRPr="007319E7">
        <w:rPr>
          <w:i/>
          <w:iCs/>
        </w:rPr>
        <w:t>marketing:</w:t>
      </w:r>
      <w:r w:rsidRPr="007319E7">
        <w:rPr>
          <w:i/>
          <w:iCs/>
        </w:rPr>
        <w:t xml:space="preserve"> how to successfully promote events, festivals, conventions, and expositions</w:t>
      </w:r>
      <w:r w:rsidRPr="007319E7">
        <w:t>. New York: J. Wiley.</w:t>
      </w:r>
    </w:p>
    <w:p w14:paraId="2678044A" w14:textId="3257D949" w:rsidR="007319E7" w:rsidRPr="007319E7" w:rsidRDefault="007319E7" w:rsidP="007319E7">
      <w:r w:rsidRPr="007319E7">
        <w:t xml:space="preserve">HSE (2015). </w:t>
      </w:r>
      <w:r w:rsidRPr="007319E7">
        <w:rPr>
          <w:i/>
          <w:iCs/>
        </w:rPr>
        <w:t>Event Safety Guidance</w:t>
      </w:r>
      <w:r w:rsidRPr="007319E7">
        <w:t>. Hse.gov.uk. Available at: https://www.hse.gov.uk/event-safety/getting-started.htm.</w:t>
      </w:r>
    </w:p>
    <w:p w14:paraId="65495AE7" w14:textId="4A255D1E" w:rsidR="007319E7" w:rsidRPr="007319E7" w:rsidRDefault="007319E7" w:rsidP="007319E7">
      <w:r w:rsidRPr="007319E7">
        <w:t xml:space="preserve">ISO (2018). </w:t>
      </w:r>
      <w:r w:rsidRPr="007319E7">
        <w:rPr>
          <w:i/>
          <w:iCs/>
        </w:rPr>
        <w:t>ISO 31000 Risk management</w:t>
      </w:r>
      <w:r w:rsidRPr="007319E7">
        <w:t>. ISO. Available at: https://www.iso.org/iso-31000-risk-management.html.</w:t>
      </w:r>
    </w:p>
    <w:p w14:paraId="4A314FD2" w14:textId="2EFB3444" w:rsidR="007319E7" w:rsidRPr="007319E7" w:rsidRDefault="007319E7" w:rsidP="007319E7">
      <w:r w:rsidRPr="007319E7">
        <w:t xml:space="preserve">Legislation.gov.uk. (2006). </w:t>
      </w:r>
      <w:r w:rsidRPr="007319E7">
        <w:rPr>
          <w:i/>
          <w:iCs/>
        </w:rPr>
        <w:t>The Food Hygiene (England) Regulations 2006</w:t>
      </w:r>
      <w:r w:rsidRPr="007319E7">
        <w:t>. Available at: https://www.legislation.gov.uk/uksi/2006/14/contents/made.</w:t>
      </w:r>
    </w:p>
    <w:p w14:paraId="60D00773" w14:textId="07710AFD" w:rsidR="007319E7" w:rsidRPr="007319E7" w:rsidRDefault="007319E7" w:rsidP="007319E7">
      <w:r w:rsidRPr="007319E7">
        <w:t xml:space="preserve">prsformusic.com (2018). </w:t>
      </w:r>
      <w:r w:rsidRPr="007319E7">
        <w:rPr>
          <w:i/>
          <w:iCs/>
        </w:rPr>
        <w:t>Licensing music | PRS for Music</w:t>
      </w:r>
      <w:r w:rsidRPr="007319E7">
        <w:t xml:space="preserve">. www.prsformusic.com. Available at: https://www.prsformusic.com/what-we-do/licensing-music#:~:text=PPL%20PRS%20Ltd%20launched%20the </w:t>
      </w:r>
    </w:p>
    <w:p w14:paraId="27BAB0A7" w14:textId="3AFDDF1C" w:rsidR="007319E7" w:rsidRPr="007319E7" w:rsidRDefault="007319E7" w:rsidP="007319E7">
      <w:r w:rsidRPr="007319E7">
        <w:t xml:space="preserve">Renn, O. (2008). </w:t>
      </w:r>
      <w:r w:rsidRPr="007319E7">
        <w:rPr>
          <w:i/>
          <w:iCs/>
        </w:rPr>
        <w:t>Risk Governance: Coping with Uncertainty in a Complex World.</w:t>
      </w:r>
      <w:r w:rsidRPr="007319E7">
        <w:t xml:space="preserve"> Routledge. </w:t>
      </w:r>
      <w:r>
        <w:t xml:space="preserve">Available at: </w:t>
      </w:r>
      <w:r w:rsidRPr="007319E7">
        <w:t>doi: https://doi.org/10.4324/9781849772440</w:t>
      </w:r>
      <w:r w:rsidRPr="007319E7">
        <w:t>.</w:t>
      </w:r>
    </w:p>
    <w:p w14:paraId="4017C365" w14:textId="77777777" w:rsidR="007319E7" w:rsidRPr="007319E7" w:rsidRDefault="007319E7" w:rsidP="007319E7">
      <w:r w:rsidRPr="007319E7">
        <w:t xml:space="preserve">Tarlow, P.E. (2002). </w:t>
      </w:r>
      <w:r w:rsidRPr="007319E7">
        <w:rPr>
          <w:i/>
          <w:iCs/>
        </w:rPr>
        <w:t>Event risk management and safety</w:t>
      </w:r>
      <w:r w:rsidRPr="007319E7">
        <w:t>. New York: John Wiley &amp; Sons.</w:t>
      </w:r>
    </w:p>
    <w:p w14:paraId="6AAFD387" w14:textId="77777777" w:rsidR="007319E7" w:rsidRPr="007319E7" w:rsidRDefault="007319E7" w:rsidP="007319E7">
      <w:r w:rsidRPr="007319E7">
        <w:t>Taylor, E. and Quay, S. (2016). Health and Safety at Events: A Practical Guide.</w:t>
      </w:r>
    </w:p>
    <w:p w14:paraId="7652DA13" w14:textId="77777777" w:rsidR="007319E7" w:rsidRPr="007319E7" w:rsidRDefault="007319E7" w:rsidP="007319E7">
      <w:r w:rsidRPr="007319E7">
        <w:t xml:space="preserve">Walker, T.R., Di Sia, P. and Petrosillo, I. (2014). </w:t>
      </w:r>
      <w:r w:rsidRPr="007319E7">
        <w:rPr>
          <w:i/>
          <w:iCs/>
        </w:rPr>
        <w:t>Waste Management and Sustainable Development in SWM: Strategies, Practices and Challenges in Developing Countries</w:t>
      </w:r>
      <w:r w:rsidRPr="007319E7">
        <w:t>.</w:t>
      </w:r>
    </w:p>
    <w:p w14:paraId="63850AA7" w14:textId="4451F562" w:rsidR="007319E7" w:rsidRPr="007319E7" w:rsidRDefault="007319E7" w:rsidP="007319E7">
      <w:r w:rsidRPr="007319E7">
        <w:t xml:space="preserve">Zou, P.X.W., Chen, Y. and Chan, T.-Y. (2010). Understanding and Improving Your Risk Management Capability: Assessment Model for Construction Organizations. </w:t>
      </w:r>
      <w:r w:rsidRPr="007319E7">
        <w:rPr>
          <w:i/>
          <w:iCs/>
        </w:rPr>
        <w:t xml:space="preserve">Journal of </w:t>
      </w:r>
      <w:r w:rsidRPr="007319E7">
        <w:rPr>
          <w:i/>
          <w:iCs/>
        </w:rPr>
        <w:lastRenderedPageBreak/>
        <w:t>Construction Engineering and Management</w:t>
      </w:r>
      <w:r w:rsidRPr="007319E7">
        <w:t xml:space="preserve">, 136(8), pp.854–863. </w:t>
      </w:r>
      <w:r>
        <w:t xml:space="preserve">Available at: </w:t>
      </w:r>
      <w:r w:rsidRPr="007319E7">
        <w:t>doi: https://doi.org/10.1061/(asce)co.1943-7862.0000175</w:t>
      </w:r>
      <w:r w:rsidRPr="007319E7">
        <w:t>.</w:t>
      </w:r>
    </w:p>
    <w:p w14:paraId="29126A85" w14:textId="77777777" w:rsidR="002523D4" w:rsidRDefault="002523D4" w:rsidP="00AB3B38"/>
    <w:sectPr w:rsidR="002523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B38"/>
    <w:rsid w:val="002523D4"/>
    <w:rsid w:val="005B5877"/>
    <w:rsid w:val="005F07D9"/>
    <w:rsid w:val="006211A8"/>
    <w:rsid w:val="007319E7"/>
    <w:rsid w:val="009A5555"/>
    <w:rsid w:val="00AB3B38"/>
    <w:rsid w:val="00AC34CC"/>
    <w:rsid w:val="00B940E3"/>
    <w:rsid w:val="00BF6F09"/>
    <w:rsid w:val="00F8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BD18B"/>
  <w15:chartTrackingRefBased/>
  <w15:docId w15:val="{B42891D4-0788-41CB-A3E5-B339F482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pPr>
  </w:style>
  <w:style w:type="paragraph" w:styleId="Heading1">
    <w:name w:val="heading 1"/>
    <w:basedOn w:val="Normal"/>
    <w:next w:val="Normal"/>
    <w:link w:val="Heading1Char"/>
    <w:uiPriority w:val="9"/>
    <w:qFormat/>
    <w:rsid w:val="00AB3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3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3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3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3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3B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B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B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B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3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3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3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3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B38"/>
    <w:rPr>
      <w:rFonts w:eastAsiaTheme="majorEastAsia" w:cstheme="majorBidi"/>
      <w:color w:val="272727" w:themeColor="text1" w:themeTint="D8"/>
    </w:rPr>
  </w:style>
  <w:style w:type="paragraph" w:styleId="Title">
    <w:name w:val="Title"/>
    <w:basedOn w:val="Normal"/>
    <w:next w:val="Normal"/>
    <w:link w:val="TitleChar"/>
    <w:uiPriority w:val="10"/>
    <w:qFormat/>
    <w:rsid w:val="00AB3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B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B38"/>
    <w:pPr>
      <w:spacing w:before="160"/>
      <w:jc w:val="center"/>
    </w:pPr>
    <w:rPr>
      <w:i/>
      <w:iCs/>
      <w:color w:val="404040" w:themeColor="text1" w:themeTint="BF"/>
    </w:rPr>
  </w:style>
  <w:style w:type="character" w:customStyle="1" w:styleId="QuoteChar">
    <w:name w:val="Quote Char"/>
    <w:basedOn w:val="DefaultParagraphFont"/>
    <w:link w:val="Quote"/>
    <w:uiPriority w:val="29"/>
    <w:rsid w:val="00AB3B38"/>
    <w:rPr>
      <w:i/>
      <w:iCs/>
      <w:color w:val="404040" w:themeColor="text1" w:themeTint="BF"/>
    </w:rPr>
  </w:style>
  <w:style w:type="paragraph" w:styleId="ListParagraph">
    <w:name w:val="List Paragraph"/>
    <w:basedOn w:val="Normal"/>
    <w:uiPriority w:val="34"/>
    <w:qFormat/>
    <w:rsid w:val="00AB3B38"/>
    <w:pPr>
      <w:ind w:left="720"/>
      <w:contextualSpacing/>
    </w:pPr>
  </w:style>
  <w:style w:type="character" w:styleId="IntenseEmphasis">
    <w:name w:val="Intense Emphasis"/>
    <w:basedOn w:val="DefaultParagraphFont"/>
    <w:uiPriority w:val="21"/>
    <w:qFormat/>
    <w:rsid w:val="00AB3B38"/>
    <w:rPr>
      <w:i/>
      <w:iCs/>
      <w:color w:val="0F4761" w:themeColor="accent1" w:themeShade="BF"/>
    </w:rPr>
  </w:style>
  <w:style w:type="paragraph" w:styleId="IntenseQuote">
    <w:name w:val="Intense Quote"/>
    <w:basedOn w:val="Normal"/>
    <w:next w:val="Normal"/>
    <w:link w:val="IntenseQuoteChar"/>
    <w:uiPriority w:val="30"/>
    <w:qFormat/>
    <w:rsid w:val="00AB3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B38"/>
    <w:rPr>
      <w:i/>
      <w:iCs/>
      <w:color w:val="0F4761" w:themeColor="accent1" w:themeShade="BF"/>
    </w:rPr>
  </w:style>
  <w:style w:type="character" w:styleId="IntenseReference">
    <w:name w:val="Intense Reference"/>
    <w:basedOn w:val="DefaultParagraphFont"/>
    <w:uiPriority w:val="32"/>
    <w:qFormat/>
    <w:rsid w:val="00AB3B3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15492">
      <w:bodyDiv w:val="1"/>
      <w:marLeft w:val="0"/>
      <w:marRight w:val="0"/>
      <w:marTop w:val="0"/>
      <w:marBottom w:val="0"/>
      <w:divBdr>
        <w:top w:val="none" w:sz="0" w:space="0" w:color="auto"/>
        <w:left w:val="none" w:sz="0" w:space="0" w:color="auto"/>
        <w:bottom w:val="none" w:sz="0" w:space="0" w:color="auto"/>
        <w:right w:val="none" w:sz="0" w:space="0" w:color="auto"/>
      </w:divBdr>
      <w:divsChild>
        <w:div w:id="10648705">
          <w:marLeft w:val="0"/>
          <w:marRight w:val="0"/>
          <w:marTop w:val="0"/>
          <w:marBottom w:val="0"/>
          <w:divBdr>
            <w:top w:val="none" w:sz="0" w:space="0" w:color="auto"/>
            <w:left w:val="none" w:sz="0" w:space="0" w:color="auto"/>
            <w:bottom w:val="none" w:sz="0" w:space="0" w:color="auto"/>
            <w:right w:val="none" w:sz="0" w:space="0" w:color="auto"/>
          </w:divBdr>
        </w:div>
      </w:divsChild>
    </w:div>
    <w:div w:id="1077895695">
      <w:bodyDiv w:val="1"/>
      <w:marLeft w:val="0"/>
      <w:marRight w:val="0"/>
      <w:marTop w:val="0"/>
      <w:marBottom w:val="0"/>
      <w:divBdr>
        <w:top w:val="none" w:sz="0" w:space="0" w:color="auto"/>
        <w:left w:val="none" w:sz="0" w:space="0" w:color="auto"/>
        <w:bottom w:val="none" w:sz="0" w:space="0" w:color="auto"/>
        <w:right w:val="none" w:sz="0" w:space="0" w:color="auto"/>
      </w:divBdr>
      <w:divsChild>
        <w:div w:id="82533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136</TotalTime>
  <Pages>11</Pages>
  <Words>2634</Words>
  <Characters>15015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lacramioara burlacu</dc:creator>
  <cp:keywords/>
  <dc:description/>
  <cp:lastModifiedBy>lacramioara burlacu</cp:lastModifiedBy>
  <cp:revision>2</cp:revision>
  <dcterms:created xsi:type="dcterms:W3CDTF">2024-04-16T14:21:00Z</dcterms:created>
  <dcterms:modified xsi:type="dcterms:W3CDTF">2024-04-16T16:43:00Z</dcterms:modified>
</cp:coreProperties>
</file>