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923955387"/>
        <w:docPartObj>
          <w:docPartGallery w:val="Cover Pages"/>
          <w:docPartUnique/>
        </w:docPartObj>
      </w:sdtPr>
      <w:sdtEndPr>
        <w:rPr>
          <w:rFonts w:ascii="Arial" w:eastAsiaTheme="minorHAnsi" w:hAnsi="Arial"/>
          <w:color w:val="auto"/>
          <w:kern w:val="2"/>
          <w:sz w:val="24"/>
          <w:lang w:eastAsia="en-US"/>
          <w14:ligatures w14:val="standardContextual"/>
        </w:rPr>
      </w:sdtEndPr>
      <w:sdtContent>
        <w:p w14:paraId="6BB0CD85" w14:textId="6FD1F37E" w:rsidR="00D26055" w:rsidRDefault="00D26055">
          <w:pPr>
            <w:pStyle w:val="NoSpacing"/>
            <w:spacing w:before="1540" w:after="240"/>
            <w:jc w:val="center"/>
            <w:rPr>
              <w:color w:val="156082" w:themeColor="accent1"/>
            </w:rPr>
          </w:pPr>
          <w:r>
            <w:rPr>
              <w:noProof/>
              <w:color w:val="156082" w:themeColor="accent1"/>
            </w:rPr>
            <w:drawing>
              <wp:inline distT="0" distB="0" distL="0" distR="0" wp14:anchorId="38B88360" wp14:editId="1994BAB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8C95F80" w14:textId="57B7EF24" w:rsidR="00D26055" w:rsidRDefault="00D26055" w:rsidP="00F52B7F">
          <w:pPr>
            <w:pStyle w:val="NoSpacing"/>
            <w:pBdr>
              <w:top w:val="single" w:sz="6" w:space="6" w:color="156082" w:themeColor="accent1"/>
              <w:bottom w:val="single" w:sz="6" w:space="6" w:color="156082" w:themeColor="accent1"/>
            </w:pBdr>
            <w:spacing w:after="240"/>
            <w:jc w:val="center"/>
            <w:rPr>
              <w:rFonts w:ascii="Arial" w:eastAsiaTheme="majorEastAsia" w:hAnsi="Arial" w:cs="Arial"/>
              <w:sz w:val="28"/>
              <w:szCs w:val="28"/>
            </w:rPr>
          </w:pPr>
          <w:r w:rsidRPr="00D26055">
            <w:rPr>
              <w:rFonts w:ascii="Arial" w:eastAsiaTheme="majorEastAsia" w:hAnsi="Arial" w:cs="Arial"/>
              <w:b/>
              <w:bCs/>
              <w:caps/>
              <w:sz w:val="28"/>
              <w:szCs w:val="28"/>
            </w:rPr>
            <w:t>A</w:t>
          </w:r>
          <w:r w:rsidRPr="00D26055">
            <w:rPr>
              <w:rFonts w:ascii="Arial" w:eastAsiaTheme="majorEastAsia" w:hAnsi="Arial" w:cs="Arial"/>
              <w:b/>
              <w:bCs/>
              <w:sz w:val="28"/>
              <w:szCs w:val="28"/>
            </w:rPr>
            <w:t>ssignment title:</w:t>
          </w:r>
          <w:r>
            <w:rPr>
              <w:rFonts w:ascii="Arial" w:eastAsiaTheme="majorEastAsia" w:hAnsi="Arial" w:cs="Arial"/>
              <w:caps/>
              <w:sz w:val="28"/>
              <w:szCs w:val="28"/>
            </w:rPr>
            <w:t xml:space="preserve"> </w:t>
          </w:r>
          <w:r>
            <w:rPr>
              <w:rFonts w:ascii="Arial" w:eastAsiaTheme="majorEastAsia" w:hAnsi="Arial" w:cs="Arial"/>
              <w:sz w:val="28"/>
              <w:szCs w:val="28"/>
            </w:rPr>
            <w:t>U</w:t>
          </w:r>
          <w:r w:rsidRPr="00D26055">
            <w:rPr>
              <w:rFonts w:ascii="Arial" w:eastAsiaTheme="majorEastAsia" w:hAnsi="Arial" w:cs="Arial"/>
              <w:sz w:val="28"/>
              <w:szCs w:val="28"/>
            </w:rPr>
            <w:t xml:space="preserve">nderstanding the </w:t>
          </w:r>
          <w:r w:rsidR="00F52B7F">
            <w:rPr>
              <w:rFonts w:ascii="Arial" w:eastAsiaTheme="majorEastAsia" w:hAnsi="Arial" w:cs="Arial"/>
              <w:sz w:val="28"/>
              <w:szCs w:val="28"/>
            </w:rPr>
            <w:t>B</w:t>
          </w:r>
          <w:r w:rsidRPr="00D26055">
            <w:rPr>
              <w:rFonts w:ascii="Arial" w:eastAsiaTheme="majorEastAsia" w:hAnsi="Arial" w:cs="Arial"/>
              <w:sz w:val="28"/>
              <w:szCs w:val="28"/>
            </w:rPr>
            <w:t xml:space="preserve">usiness </w:t>
          </w:r>
          <w:r w:rsidR="00F52B7F">
            <w:rPr>
              <w:rFonts w:ascii="Arial" w:eastAsiaTheme="majorEastAsia" w:hAnsi="Arial" w:cs="Arial"/>
              <w:sz w:val="28"/>
              <w:szCs w:val="28"/>
            </w:rPr>
            <w:t>E</w:t>
          </w:r>
          <w:r w:rsidRPr="00D26055">
            <w:rPr>
              <w:rFonts w:ascii="Arial" w:eastAsiaTheme="majorEastAsia" w:hAnsi="Arial" w:cs="Arial"/>
              <w:sz w:val="28"/>
              <w:szCs w:val="28"/>
            </w:rPr>
            <w:t xml:space="preserve">nvironment of the </w:t>
          </w:r>
          <w:r>
            <w:rPr>
              <w:rFonts w:ascii="Arial" w:eastAsiaTheme="majorEastAsia" w:hAnsi="Arial" w:cs="Arial"/>
              <w:sz w:val="28"/>
              <w:szCs w:val="28"/>
            </w:rPr>
            <w:t>UK</w:t>
          </w:r>
          <w:r w:rsidRPr="00D26055">
            <w:rPr>
              <w:rFonts w:ascii="Arial" w:eastAsiaTheme="majorEastAsia" w:hAnsi="Arial" w:cs="Arial"/>
              <w:sz w:val="28"/>
              <w:szCs w:val="28"/>
            </w:rPr>
            <w:t xml:space="preserve"> </w:t>
          </w:r>
          <w:r>
            <w:rPr>
              <w:rFonts w:ascii="Arial" w:eastAsiaTheme="majorEastAsia" w:hAnsi="Arial" w:cs="Arial"/>
              <w:sz w:val="28"/>
              <w:szCs w:val="28"/>
            </w:rPr>
            <w:t>EV</w:t>
          </w:r>
          <w:r w:rsidRPr="00D26055">
            <w:rPr>
              <w:rFonts w:ascii="Arial" w:eastAsiaTheme="majorEastAsia" w:hAnsi="Arial" w:cs="Arial"/>
              <w:sz w:val="28"/>
              <w:szCs w:val="28"/>
            </w:rPr>
            <w:t xml:space="preserve"> industry</w:t>
          </w:r>
        </w:p>
        <w:p w14:paraId="3CB5F834" w14:textId="1EF064B0" w:rsidR="00D26055" w:rsidRDefault="00D26055" w:rsidP="00F52B7F">
          <w:pPr>
            <w:pStyle w:val="NoSpacing"/>
            <w:pBdr>
              <w:top w:val="single" w:sz="6" w:space="6" w:color="156082" w:themeColor="accent1"/>
              <w:bottom w:val="single" w:sz="6" w:space="6" w:color="156082" w:themeColor="accent1"/>
            </w:pBdr>
            <w:spacing w:after="240"/>
            <w:jc w:val="center"/>
            <w:rPr>
              <w:rFonts w:ascii="Arial" w:eastAsiaTheme="majorEastAsia" w:hAnsi="Arial" w:cs="Arial"/>
              <w:sz w:val="28"/>
              <w:szCs w:val="28"/>
            </w:rPr>
          </w:pPr>
          <w:r>
            <w:rPr>
              <w:rFonts w:ascii="Arial" w:eastAsiaTheme="majorEastAsia" w:hAnsi="Arial" w:cs="Arial"/>
              <w:sz w:val="28"/>
              <w:szCs w:val="28"/>
            </w:rPr>
            <w:t xml:space="preserve">Student name: </w:t>
          </w:r>
          <w:r w:rsidR="00F52B7F" w:rsidRPr="00F52B7F">
            <w:rPr>
              <w:rFonts w:ascii="Arial" w:eastAsiaTheme="majorEastAsia" w:hAnsi="Arial" w:cs="Arial"/>
              <w:sz w:val="28"/>
              <w:szCs w:val="28"/>
            </w:rPr>
            <w:t>Alina Florentina Calin</w:t>
          </w:r>
        </w:p>
        <w:p w14:paraId="1562462D" w14:textId="1F37EFA1" w:rsidR="00D26055" w:rsidRPr="00D26055" w:rsidRDefault="00D26055" w:rsidP="00F52B7F">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sz w:val="28"/>
              <w:szCs w:val="28"/>
            </w:rPr>
          </w:pPr>
          <w:r>
            <w:rPr>
              <w:rFonts w:ascii="Arial" w:eastAsiaTheme="majorEastAsia" w:hAnsi="Arial" w:cs="Arial"/>
              <w:sz w:val="28"/>
              <w:szCs w:val="28"/>
            </w:rPr>
            <w:t xml:space="preserve">Student ID: </w:t>
          </w:r>
          <w:r w:rsidR="00F52B7F" w:rsidRPr="00F52B7F">
            <w:rPr>
              <w:rFonts w:ascii="Arial" w:eastAsiaTheme="majorEastAsia" w:hAnsi="Arial" w:cs="Arial"/>
              <w:sz w:val="28"/>
              <w:szCs w:val="28"/>
            </w:rPr>
            <w:t>2438720</w:t>
          </w:r>
        </w:p>
        <w:p w14:paraId="606198D3" w14:textId="669BA343" w:rsidR="00D26055" w:rsidRDefault="00D26055" w:rsidP="00D26055">
          <w:pPr>
            <w:pStyle w:val="NoSpacing"/>
            <w:rPr>
              <w:color w:val="156082" w:themeColor="accent1"/>
              <w:sz w:val="28"/>
              <w:szCs w:val="28"/>
            </w:rPr>
          </w:pPr>
        </w:p>
        <w:p w14:paraId="1B30C313" w14:textId="194D9716" w:rsidR="00D26055" w:rsidRDefault="00D26055">
          <w:pPr>
            <w:pStyle w:val="NoSpacing"/>
            <w:spacing w:before="480"/>
            <w:jc w:val="center"/>
            <w:rPr>
              <w:color w:val="156082" w:themeColor="accent1"/>
            </w:rPr>
          </w:pPr>
          <w:r>
            <w:rPr>
              <w:noProof/>
              <w:color w:val="156082" w:themeColor="accent1"/>
            </w:rPr>
            <w:drawing>
              <wp:inline distT="0" distB="0" distL="0" distR="0" wp14:anchorId="61C0B286" wp14:editId="50A9F1FF">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B91EB5" w14:textId="42277D92" w:rsidR="00D26055" w:rsidRDefault="00D26055">
          <w:r>
            <w:br w:type="page"/>
          </w:r>
        </w:p>
      </w:sdtContent>
    </w:sdt>
    <w:sdt>
      <w:sdtPr>
        <w:rPr>
          <w:rFonts w:ascii="Arial" w:hAnsi="Arial" w:cs="Arial"/>
          <w:b/>
          <w:bCs/>
          <w:color w:val="auto"/>
          <w:sz w:val="28"/>
          <w:szCs w:val="28"/>
        </w:rPr>
        <w:id w:val="465085878"/>
        <w:docPartObj>
          <w:docPartGallery w:val="Table of Contents"/>
          <w:docPartUnique/>
        </w:docPartObj>
      </w:sdtPr>
      <w:sdtEndPr>
        <w:rPr>
          <w:rFonts w:eastAsiaTheme="minorHAnsi" w:cstheme="minorBidi"/>
          <w:kern w:val="2"/>
          <w:sz w:val="24"/>
          <w:szCs w:val="22"/>
          <w:lang w:eastAsia="en-US"/>
          <w14:ligatures w14:val="standardContextual"/>
        </w:rPr>
      </w:sdtEndPr>
      <w:sdtContent>
        <w:p w14:paraId="20D18585" w14:textId="5FEA3326" w:rsidR="00D26055" w:rsidRPr="00D26055" w:rsidRDefault="00D26055">
          <w:pPr>
            <w:pStyle w:val="TOCHeading"/>
            <w:rPr>
              <w:rFonts w:ascii="Arial" w:hAnsi="Arial" w:cs="Arial"/>
              <w:b/>
              <w:bCs/>
              <w:color w:val="auto"/>
              <w:sz w:val="28"/>
              <w:szCs w:val="28"/>
            </w:rPr>
          </w:pPr>
          <w:r w:rsidRPr="00D26055">
            <w:rPr>
              <w:rFonts w:ascii="Arial" w:hAnsi="Arial" w:cs="Arial"/>
              <w:b/>
              <w:bCs/>
              <w:color w:val="auto"/>
              <w:sz w:val="28"/>
              <w:szCs w:val="28"/>
            </w:rPr>
            <w:t>Table of Contents</w:t>
          </w:r>
        </w:p>
        <w:p w14:paraId="052F86CD" w14:textId="205B8BFE" w:rsidR="00D26055" w:rsidRDefault="00D26055">
          <w:pPr>
            <w:pStyle w:val="TOC1"/>
            <w:tabs>
              <w:tab w:val="left" w:pos="440"/>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15862194" w:history="1">
            <w:r w:rsidRPr="002C5307">
              <w:rPr>
                <w:rStyle w:val="Hyperlink"/>
                <w:noProof/>
              </w:rPr>
              <w:t>1.</w:t>
            </w:r>
            <w:r>
              <w:rPr>
                <w:rFonts w:cstheme="minorBidi"/>
                <w:noProof/>
                <w:kern w:val="2"/>
                <w:sz w:val="24"/>
                <w:szCs w:val="24"/>
                <w14:ligatures w14:val="standardContextual"/>
              </w:rPr>
              <w:tab/>
            </w:r>
            <w:r w:rsidRPr="002C5307">
              <w:rPr>
                <w:rStyle w:val="Hyperlink"/>
                <w:noProof/>
              </w:rPr>
              <w:t>Introduction</w:t>
            </w:r>
            <w:r>
              <w:rPr>
                <w:noProof/>
                <w:webHidden/>
              </w:rPr>
              <w:tab/>
            </w:r>
            <w:r>
              <w:rPr>
                <w:noProof/>
                <w:webHidden/>
              </w:rPr>
              <w:fldChar w:fldCharType="begin"/>
            </w:r>
            <w:r>
              <w:rPr>
                <w:noProof/>
                <w:webHidden/>
              </w:rPr>
              <w:instrText xml:space="preserve"> PAGEREF _Toc215862194 \h </w:instrText>
            </w:r>
            <w:r>
              <w:rPr>
                <w:noProof/>
                <w:webHidden/>
              </w:rPr>
            </w:r>
            <w:r>
              <w:rPr>
                <w:noProof/>
                <w:webHidden/>
              </w:rPr>
              <w:fldChar w:fldCharType="separate"/>
            </w:r>
            <w:r>
              <w:rPr>
                <w:noProof/>
                <w:webHidden/>
              </w:rPr>
              <w:t>2</w:t>
            </w:r>
            <w:r>
              <w:rPr>
                <w:noProof/>
                <w:webHidden/>
              </w:rPr>
              <w:fldChar w:fldCharType="end"/>
            </w:r>
          </w:hyperlink>
        </w:p>
        <w:p w14:paraId="0B5312AF" w14:textId="379E5656" w:rsidR="00D26055" w:rsidRDefault="00D26055">
          <w:pPr>
            <w:pStyle w:val="TOC1"/>
            <w:tabs>
              <w:tab w:val="left" w:pos="440"/>
              <w:tab w:val="right" w:leader="dot" w:pos="9016"/>
            </w:tabs>
            <w:rPr>
              <w:rFonts w:cstheme="minorBidi"/>
              <w:noProof/>
              <w:kern w:val="2"/>
              <w:sz w:val="24"/>
              <w:szCs w:val="24"/>
              <w14:ligatures w14:val="standardContextual"/>
            </w:rPr>
          </w:pPr>
          <w:hyperlink w:anchor="_Toc215862195" w:history="1">
            <w:r w:rsidRPr="002C5307">
              <w:rPr>
                <w:rStyle w:val="Hyperlink"/>
                <w:noProof/>
              </w:rPr>
              <w:t>2.</w:t>
            </w:r>
            <w:r>
              <w:rPr>
                <w:rFonts w:cstheme="minorBidi"/>
                <w:noProof/>
                <w:kern w:val="2"/>
                <w:sz w:val="24"/>
                <w:szCs w:val="24"/>
                <w14:ligatures w14:val="standardContextual"/>
              </w:rPr>
              <w:tab/>
            </w:r>
            <w:r w:rsidRPr="002C5307">
              <w:rPr>
                <w:rStyle w:val="Hyperlink"/>
                <w:noProof/>
              </w:rPr>
              <w:t>Overview of the UK EV Industry</w:t>
            </w:r>
            <w:r>
              <w:rPr>
                <w:noProof/>
                <w:webHidden/>
              </w:rPr>
              <w:tab/>
            </w:r>
            <w:r>
              <w:rPr>
                <w:noProof/>
                <w:webHidden/>
              </w:rPr>
              <w:fldChar w:fldCharType="begin"/>
            </w:r>
            <w:r>
              <w:rPr>
                <w:noProof/>
                <w:webHidden/>
              </w:rPr>
              <w:instrText xml:space="preserve"> PAGEREF _Toc215862195 \h </w:instrText>
            </w:r>
            <w:r>
              <w:rPr>
                <w:noProof/>
                <w:webHidden/>
              </w:rPr>
            </w:r>
            <w:r>
              <w:rPr>
                <w:noProof/>
                <w:webHidden/>
              </w:rPr>
              <w:fldChar w:fldCharType="separate"/>
            </w:r>
            <w:r>
              <w:rPr>
                <w:noProof/>
                <w:webHidden/>
              </w:rPr>
              <w:t>3</w:t>
            </w:r>
            <w:r>
              <w:rPr>
                <w:noProof/>
                <w:webHidden/>
              </w:rPr>
              <w:fldChar w:fldCharType="end"/>
            </w:r>
          </w:hyperlink>
        </w:p>
        <w:p w14:paraId="0D007D7F" w14:textId="00AEA1A6" w:rsidR="00D26055" w:rsidRDefault="00D26055">
          <w:pPr>
            <w:pStyle w:val="TOC1"/>
            <w:tabs>
              <w:tab w:val="left" w:pos="440"/>
              <w:tab w:val="right" w:leader="dot" w:pos="9016"/>
            </w:tabs>
            <w:rPr>
              <w:rFonts w:cstheme="minorBidi"/>
              <w:noProof/>
              <w:kern w:val="2"/>
              <w:sz w:val="24"/>
              <w:szCs w:val="24"/>
              <w14:ligatures w14:val="standardContextual"/>
            </w:rPr>
          </w:pPr>
          <w:hyperlink w:anchor="_Toc215862196" w:history="1">
            <w:r w:rsidRPr="002C5307">
              <w:rPr>
                <w:rStyle w:val="Hyperlink"/>
                <w:noProof/>
              </w:rPr>
              <w:t>3.</w:t>
            </w:r>
            <w:r>
              <w:rPr>
                <w:rFonts w:cstheme="minorBidi"/>
                <w:noProof/>
                <w:kern w:val="2"/>
                <w:sz w:val="24"/>
                <w:szCs w:val="24"/>
                <w14:ligatures w14:val="standardContextual"/>
              </w:rPr>
              <w:tab/>
            </w:r>
            <w:r w:rsidRPr="002C5307">
              <w:rPr>
                <w:rStyle w:val="Hyperlink"/>
                <w:noProof/>
              </w:rPr>
              <w:t>PESTLE Analysis</w:t>
            </w:r>
            <w:r>
              <w:rPr>
                <w:noProof/>
                <w:webHidden/>
              </w:rPr>
              <w:tab/>
            </w:r>
            <w:r>
              <w:rPr>
                <w:noProof/>
                <w:webHidden/>
              </w:rPr>
              <w:fldChar w:fldCharType="begin"/>
            </w:r>
            <w:r>
              <w:rPr>
                <w:noProof/>
                <w:webHidden/>
              </w:rPr>
              <w:instrText xml:space="preserve"> PAGEREF _Toc215862196 \h </w:instrText>
            </w:r>
            <w:r>
              <w:rPr>
                <w:noProof/>
                <w:webHidden/>
              </w:rPr>
            </w:r>
            <w:r>
              <w:rPr>
                <w:noProof/>
                <w:webHidden/>
              </w:rPr>
              <w:fldChar w:fldCharType="separate"/>
            </w:r>
            <w:r>
              <w:rPr>
                <w:noProof/>
                <w:webHidden/>
              </w:rPr>
              <w:t>5</w:t>
            </w:r>
            <w:r>
              <w:rPr>
                <w:noProof/>
                <w:webHidden/>
              </w:rPr>
              <w:fldChar w:fldCharType="end"/>
            </w:r>
          </w:hyperlink>
        </w:p>
        <w:p w14:paraId="66DB3445" w14:textId="214ED250" w:rsidR="00D26055" w:rsidRDefault="00D26055">
          <w:pPr>
            <w:pStyle w:val="TOC2"/>
            <w:tabs>
              <w:tab w:val="left" w:pos="960"/>
              <w:tab w:val="right" w:leader="dot" w:pos="9016"/>
            </w:tabs>
            <w:rPr>
              <w:rFonts w:cstheme="minorBidi"/>
              <w:noProof/>
              <w:kern w:val="2"/>
              <w:sz w:val="24"/>
              <w:szCs w:val="24"/>
              <w14:ligatures w14:val="standardContextual"/>
            </w:rPr>
          </w:pPr>
          <w:hyperlink w:anchor="_Toc215862197" w:history="1">
            <w:r w:rsidRPr="002C5307">
              <w:rPr>
                <w:rStyle w:val="Hyperlink"/>
                <w:noProof/>
              </w:rPr>
              <w:t>3.1</w:t>
            </w:r>
            <w:r>
              <w:rPr>
                <w:rFonts w:cstheme="minorBidi"/>
                <w:noProof/>
                <w:kern w:val="2"/>
                <w:sz w:val="24"/>
                <w:szCs w:val="24"/>
                <w14:ligatures w14:val="standardContextual"/>
              </w:rPr>
              <w:tab/>
            </w:r>
            <w:r w:rsidRPr="002C5307">
              <w:rPr>
                <w:rStyle w:val="Hyperlink"/>
                <w:noProof/>
              </w:rPr>
              <w:t>Political Factors</w:t>
            </w:r>
            <w:r>
              <w:rPr>
                <w:noProof/>
                <w:webHidden/>
              </w:rPr>
              <w:tab/>
            </w:r>
            <w:r>
              <w:rPr>
                <w:noProof/>
                <w:webHidden/>
              </w:rPr>
              <w:fldChar w:fldCharType="begin"/>
            </w:r>
            <w:r>
              <w:rPr>
                <w:noProof/>
                <w:webHidden/>
              </w:rPr>
              <w:instrText xml:space="preserve"> PAGEREF _Toc215862197 \h </w:instrText>
            </w:r>
            <w:r>
              <w:rPr>
                <w:noProof/>
                <w:webHidden/>
              </w:rPr>
            </w:r>
            <w:r>
              <w:rPr>
                <w:noProof/>
                <w:webHidden/>
              </w:rPr>
              <w:fldChar w:fldCharType="separate"/>
            </w:r>
            <w:r>
              <w:rPr>
                <w:noProof/>
                <w:webHidden/>
              </w:rPr>
              <w:t>5</w:t>
            </w:r>
            <w:r>
              <w:rPr>
                <w:noProof/>
                <w:webHidden/>
              </w:rPr>
              <w:fldChar w:fldCharType="end"/>
            </w:r>
          </w:hyperlink>
        </w:p>
        <w:p w14:paraId="027131AF" w14:textId="26C1084B" w:rsidR="00D26055" w:rsidRDefault="00D26055">
          <w:pPr>
            <w:pStyle w:val="TOC2"/>
            <w:tabs>
              <w:tab w:val="left" w:pos="960"/>
              <w:tab w:val="right" w:leader="dot" w:pos="9016"/>
            </w:tabs>
            <w:rPr>
              <w:rFonts w:cstheme="minorBidi"/>
              <w:noProof/>
              <w:kern w:val="2"/>
              <w:sz w:val="24"/>
              <w:szCs w:val="24"/>
              <w14:ligatures w14:val="standardContextual"/>
            </w:rPr>
          </w:pPr>
          <w:hyperlink w:anchor="_Toc215862198" w:history="1">
            <w:r w:rsidRPr="002C5307">
              <w:rPr>
                <w:rStyle w:val="Hyperlink"/>
                <w:noProof/>
              </w:rPr>
              <w:t>3.2</w:t>
            </w:r>
            <w:r>
              <w:rPr>
                <w:rFonts w:cstheme="minorBidi"/>
                <w:noProof/>
                <w:kern w:val="2"/>
                <w:sz w:val="24"/>
                <w:szCs w:val="24"/>
                <w14:ligatures w14:val="standardContextual"/>
              </w:rPr>
              <w:tab/>
            </w:r>
            <w:r w:rsidRPr="002C5307">
              <w:rPr>
                <w:rStyle w:val="Hyperlink"/>
                <w:noProof/>
              </w:rPr>
              <w:t>Economic Factors</w:t>
            </w:r>
            <w:r>
              <w:rPr>
                <w:noProof/>
                <w:webHidden/>
              </w:rPr>
              <w:tab/>
            </w:r>
            <w:r>
              <w:rPr>
                <w:noProof/>
                <w:webHidden/>
              </w:rPr>
              <w:fldChar w:fldCharType="begin"/>
            </w:r>
            <w:r>
              <w:rPr>
                <w:noProof/>
                <w:webHidden/>
              </w:rPr>
              <w:instrText xml:space="preserve"> PAGEREF _Toc215862198 \h </w:instrText>
            </w:r>
            <w:r>
              <w:rPr>
                <w:noProof/>
                <w:webHidden/>
              </w:rPr>
            </w:r>
            <w:r>
              <w:rPr>
                <w:noProof/>
                <w:webHidden/>
              </w:rPr>
              <w:fldChar w:fldCharType="separate"/>
            </w:r>
            <w:r>
              <w:rPr>
                <w:noProof/>
                <w:webHidden/>
              </w:rPr>
              <w:t>5</w:t>
            </w:r>
            <w:r>
              <w:rPr>
                <w:noProof/>
                <w:webHidden/>
              </w:rPr>
              <w:fldChar w:fldCharType="end"/>
            </w:r>
          </w:hyperlink>
        </w:p>
        <w:p w14:paraId="4B8BA84B" w14:textId="6BDA8162" w:rsidR="00D26055" w:rsidRDefault="00D26055">
          <w:pPr>
            <w:pStyle w:val="TOC2"/>
            <w:tabs>
              <w:tab w:val="left" w:pos="960"/>
              <w:tab w:val="right" w:leader="dot" w:pos="9016"/>
            </w:tabs>
            <w:rPr>
              <w:rFonts w:cstheme="minorBidi"/>
              <w:noProof/>
              <w:kern w:val="2"/>
              <w:sz w:val="24"/>
              <w:szCs w:val="24"/>
              <w14:ligatures w14:val="standardContextual"/>
            </w:rPr>
          </w:pPr>
          <w:hyperlink w:anchor="_Toc215862199" w:history="1">
            <w:r w:rsidRPr="002C5307">
              <w:rPr>
                <w:rStyle w:val="Hyperlink"/>
                <w:noProof/>
              </w:rPr>
              <w:t>3.3</w:t>
            </w:r>
            <w:r>
              <w:rPr>
                <w:rFonts w:cstheme="minorBidi"/>
                <w:noProof/>
                <w:kern w:val="2"/>
                <w:sz w:val="24"/>
                <w:szCs w:val="24"/>
                <w14:ligatures w14:val="standardContextual"/>
              </w:rPr>
              <w:tab/>
            </w:r>
            <w:r w:rsidRPr="002C5307">
              <w:rPr>
                <w:rStyle w:val="Hyperlink"/>
                <w:noProof/>
              </w:rPr>
              <w:t>Social Factors</w:t>
            </w:r>
            <w:r>
              <w:rPr>
                <w:noProof/>
                <w:webHidden/>
              </w:rPr>
              <w:tab/>
            </w:r>
            <w:r>
              <w:rPr>
                <w:noProof/>
                <w:webHidden/>
              </w:rPr>
              <w:fldChar w:fldCharType="begin"/>
            </w:r>
            <w:r>
              <w:rPr>
                <w:noProof/>
                <w:webHidden/>
              </w:rPr>
              <w:instrText xml:space="preserve"> PAGEREF _Toc215862199 \h </w:instrText>
            </w:r>
            <w:r>
              <w:rPr>
                <w:noProof/>
                <w:webHidden/>
              </w:rPr>
            </w:r>
            <w:r>
              <w:rPr>
                <w:noProof/>
                <w:webHidden/>
              </w:rPr>
              <w:fldChar w:fldCharType="separate"/>
            </w:r>
            <w:r>
              <w:rPr>
                <w:noProof/>
                <w:webHidden/>
              </w:rPr>
              <w:t>6</w:t>
            </w:r>
            <w:r>
              <w:rPr>
                <w:noProof/>
                <w:webHidden/>
              </w:rPr>
              <w:fldChar w:fldCharType="end"/>
            </w:r>
          </w:hyperlink>
        </w:p>
        <w:p w14:paraId="47C4150C" w14:textId="4A3523BB" w:rsidR="00D26055" w:rsidRDefault="00D26055">
          <w:pPr>
            <w:pStyle w:val="TOC2"/>
            <w:tabs>
              <w:tab w:val="left" w:pos="960"/>
              <w:tab w:val="right" w:leader="dot" w:pos="9016"/>
            </w:tabs>
            <w:rPr>
              <w:rFonts w:cstheme="minorBidi"/>
              <w:noProof/>
              <w:kern w:val="2"/>
              <w:sz w:val="24"/>
              <w:szCs w:val="24"/>
              <w14:ligatures w14:val="standardContextual"/>
            </w:rPr>
          </w:pPr>
          <w:hyperlink w:anchor="_Toc215862200" w:history="1">
            <w:r w:rsidRPr="002C5307">
              <w:rPr>
                <w:rStyle w:val="Hyperlink"/>
                <w:noProof/>
              </w:rPr>
              <w:t>3.4</w:t>
            </w:r>
            <w:r>
              <w:rPr>
                <w:rFonts w:cstheme="minorBidi"/>
                <w:noProof/>
                <w:kern w:val="2"/>
                <w:sz w:val="24"/>
                <w:szCs w:val="24"/>
                <w14:ligatures w14:val="standardContextual"/>
              </w:rPr>
              <w:tab/>
            </w:r>
            <w:r w:rsidRPr="002C5307">
              <w:rPr>
                <w:rStyle w:val="Hyperlink"/>
                <w:noProof/>
              </w:rPr>
              <w:t>Technological Factors</w:t>
            </w:r>
            <w:r>
              <w:rPr>
                <w:noProof/>
                <w:webHidden/>
              </w:rPr>
              <w:tab/>
            </w:r>
            <w:r>
              <w:rPr>
                <w:noProof/>
                <w:webHidden/>
              </w:rPr>
              <w:fldChar w:fldCharType="begin"/>
            </w:r>
            <w:r>
              <w:rPr>
                <w:noProof/>
                <w:webHidden/>
              </w:rPr>
              <w:instrText xml:space="preserve"> PAGEREF _Toc215862200 \h </w:instrText>
            </w:r>
            <w:r>
              <w:rPr>
                <w:noProof/>
                <w:webHidden/>
              </w:rPr>
            </w:r>
            <w:r>
              <w:rPr>
                <w:noProof/>
                <w:webHidden/>
              </w:rPr>
              <w:fldChar w:fldCharType="separate"/>
            </w:r>
            <w:r>
              <w:rPr>
                <w:noProof/>
                <w:webHidden/>
              </w:rPr>
              <w:t>6</w:t>
            </w:r>
            <w:r>
              <w:rPr>
                <w:noProof/>
                <w:webHidden/>
              </w:rPr>
              <w:fldChar w:fldCharType="end"/>
            </w:r>
          </w:hyperlink>
        </w:p>
        <w:p w14:paraId="486848FF" w14:textId="24DB250B" w:rsidR="00D26055" w:rsidRDefault="00D26055">
          <w:pPr>
            <w:pStyle w:val="TOC2"/>
            <w:tabs>
              <w:tab w:val="left" w:pos="960"/>
              <w:tab w:val="right" w:leader="dot" w:pos="9016"/>
            </w:tabs>
            <w:rPr>
              <w:rFonts w:cstheme="minorBidi"/>
              <w:noProof/>
              <w:kern w:val="2"/>
              <w:sz w:val="24"/>
              <w:szCs w:val="24"/>
              <w14:ligatures w14:val="standardContextual"/>
            </w:rPr>
          </w:pPr>
          <w:hyperlink w:anchor="_Toc215862201" w:history="1">
            <w:r w:rsidRPr="002C5307">
              <w:rPr>
                <w:rStyle w:val="Hyperlink"/>
                <w:noProof/>
              </w:rPr>
              <w:t>3.5</w:t>
            </w:r>
            <w:r>
              <w:rPr>
                <w:rFonts w:cstheme="minorBidi"/>
                <w:noProof/>
                <w:kern w:val="2"/>
                <w:sz w:val="24"/>
                <w:szCs w:val="24"/>
                <w14:ligatures w14:val="standardContextual"/>
              </w:rPr>
              <w:tab/>
            </w:r>
            <w:r w:rsidRPr="002C5307">
              <w:rPr>
                <w:rStyle w:val="Hyperlink"/>
                <w:noProof/>
              </w:rPr>
              <w:t>Legal Factors</w:t>
            </w:r>
            <w:r>
              <w:rPr>
                <w:noProof/>
                <w:webHidden/>
              </w:rPr>
              <w:tab/>
            </w:r>
            <w:r>
              <w:rPr>
                <w:noProof/>
                <w:webHidden/>
              </w:rPr>
              <w:fldChar w:fldCharType="begin"/>
            </w:r>
            <w:r>
              <w:rPr>
                <w:noProof/>
                <w:webHidden/>
              </w:rPr>
              <w:instrText xml:space="preserve"> PAGEREF _Toc215862201 \h </w:instrText>
            </w:r>
            <w:r>
              <w:rPr>
                <w:noProof/>
                <w:webHidden/>
              </w:rPr>
            </w:r>
            <w:r>
              <w:rPr>
                <w:noProof/>
                <w:webHidden/>
              </w:rPr>
              <w:fldChar w:fldCharType="separate"/>
            </w:r>
            <w:r>
              <w:rPr>
                <w:noProof/>
                <w:webHidden/>
              </w:rPr>
              <w:t>7</w:t>
            </w:r>
            <w:r>
              <w:rPr>
                <w:noProof/>
                <w:webHidden/>
              </w:rPr>
              <w:fldChar w:fldCharType="end"/>
            </w:r>
          </w:hyperlink>
        </w:p>
        <w:p w14:paraId="63C53E18" w14:textId="6AB4DE89" w:rsidR="00D26055" w:rsidRDefault="00D26055">
          <w:pPr>
            <w:pStyle w:val="TOC2"/>
            <w:tabs>
              <w:tab w:val="left" w:pos="960"/>
              <w:tab w:val="right" w:leader="dot" w:pos="9016"/>
            </w:tabs>
            <w:rPr>
              <w:rFonts w:cstheme="minorBidi"/>
              <w:noProof/>
              <w:kern w:val="2"/>
              <w:sz w:val="24"/>
              <w:szCs w:val="24"/>
              <w14:ligatures w14:val="standardContextual"/>
            </w:rPr>
          </w:pPr>
          <w:hyperlink w:anchor="_Toc215862202" w:history="1">
            <w:r w:rsidRPr="002C5307">
              <w:rPr>
                <w:rStyle w:val="Hyperlink"/>
                <w:noProof/>
              </w:rPr>
              <w:t>3.6</w:t>
            </w:r>
            <w:r>
              <w:rPr>
                <w:rFonts w:cstheme="minorBidi"/>
                <w:noProof/>
                <w:kern w:val="2"/>
                <w:sz w:val="24"/>
                <w:szCs w:val="24"/>
                <w14:ligatures w14:val="standardContextual"/>
              </w:rPr>
              <w:tab/>
            </w:r>
            <w:r w:rsidRPr="002C5307">
              <w:rPr>
                <w:rStyle w:val="Hyperlink"/>
                <w:noProof/>
              </w:rPr>
              <w:t>Environmental Factors</w:t>
            </w:r>
            <w:r>
              <w:rPr>
                <w:noProof/>
                <w:webHidden/>
              </w:rPr>
              <w:tab/>
            </w:r>
            <w:r>
              <w:rPr>
                <w:noProof/>
                <w:webHidden/>
              </w:rPr>
              <w:fldChar w:fldCharType="begin"/>
            </w:r>
            <w:r>
              <w:rPr>
                <w:noProof/>
                <w:webHidden/>
              </w:rPr>
              <w:instrText xml:space="preserve"> PAGEREF _Toc215862202 \h </w:instrText>
            </w:r>
            <w:r>
              <w:rPr>
                <w:noProof/>
                <w:webHidden/>
              </w:rPr>
            </w:r>
            <w:r>
              <w:rPr>
                <w:noProof/>
                <w:webHidden/>
              </w:rPr>
              <w:fldChar w:fldCharType="separate"/>
            </w:r>
            <w:r>
              <w:rPr>
                <w:noProof/>
                <w:webHidden/>
              </w:rPr>
              <w:t>7</w:t>
            </w:r>
            <w:r>
              <w:rPr>
                <w:noProof/>
                <w:webHidden/>
              </w:rPr>
              <w:fldChar w:fldCharType="end"/>
            </w:r>
          </w:hyperlink>
        </w:p>
        <w:p w14:paraId="20EC084C" w14:textId="5DE02E57" w:rsidR="00D26055" w:rsidRDefault="00D26055">
          <w:pPr>
            <w:pStyle w:val="TOC1"/>
            <w:tabs>
              <w:tab w:val="left" w:pos="440"/>
              <w:tab w:val="right" w:leader="dot" w:pos="9016"/>
            </w:tabs>
            <w:rPr>
              <w:rFonts w:cstheme="minorBidi"/>
              <w:noProof/>
              <w:kern w:val="2"/>
              <w:sz w:val="24"/>
              <w:szCs w:val="24"/>
              <w14:ligatures w14:val="standardContextual"/>
            </w:rPr>
          </w:pPr>
          <w:hyperlink w:anchor="_Toc215862203" w:history="1">
            <w:r w:rsidRPr="002C5307">
              <w:rPr>
                <w:rStyle w:val="Hyperlink"/>
                <w:noProof/>
              </w:rPr>
              <w:t>4.</w:t>
            </w:r>
            <w:r>
              <w:rPr>
                <w:rFonts w:cstheme="minorBidi"/>
                <w:noProof/>
                <w:kern w:val="2"/>
                <w:sz w:val="24"/>
                <w:szCs w:val="24"/>
                <w14:ligatures w14:val="standardContextual"/>
              </w:rPr>
              <w:tab/>
            </w:r>
            <w:r w:rsidRPr="002C5307">
              <w:rPr>
                <w:rStyle w:val="Hyperlink"/>
                <w:noProof/>
              </w:rPr>
              <w:t>SWOT Analysis</w:t>
            </w:r>
            <w:r>
              <w:rPr>
                <w:noProof/>
                <w:webHidden/>
              </w:rPr>
              <w:tab/>
            </w:r>
            <w:r>
              <w:rPr>
                <w:noProof/>
                <w:webHidden/>
              </w:rPr>
              <w:fldChar w:fldCharType="begin"/>
            </w:r>
            <w:r>
              <w:rPr>
                <w:noProof/>
                <w:webHidden/>
              </w:rPr>
              <w:instrText xml:space="preserve"> PAGEREF _Toc215862203 \h </w:instrText>
            </w:r>
            <w:r>
              <w:rPr>
                <w:noProof/>
                <w:webHidden/>
              </w:rPr>
            </w:r>
            <w:r>
              <w:rPr>
                <w:noProof/>
                <w:webHidden/>
              </w:rPr>
              <w:fldChar w:fldCharType="separate"/>
            </w:r>
            <w:r>
              <w:rPr>
                <w:noProof/>
                <w:webHidden/>
              </w:rPr>
              <w:t>8</w:t>
            </w:r>
            <w:r>
              <w:rPr>
                <w:noProof/>
                <w:webHidden/>
              </w:rPr>
              <w:fldChar w:fldCharType="end"/>
            </w:r>
          </w:hyperlink>
        </w:p>
        <w:p w14:paraId="1A06FC77" w14:textId="5739992B" w:rsidR="00D26055" w:rsidRDefault="00D26055">
          <w:pPr>
            <w:pStyle w:val="TOC1"/>
            <w:tabs>
              <w:tab w:val="left" w:pos="440"/>
              <w:tab w:val="right" w:leader="dot" w:pos="9016"/>
            </w:tabs>
            <w:rPr>
              <w:rFonts w:cstheme="minorBidi"/>
              <w:noProof/>
              <w:kern w:val="2"/>
              <w:sz w:val="24"/>
              <w:szCs w:val="24"/>
              <w14:ligatures w14:val="standardContextual"/>
            </w:rPr>
          </w:pPr>
          <w:hyperlink w:anchor="_Toc215862204" w:history="1">
            <w:r w:rsidRPr="002C5307">
              <w:rPr>
                <w:rStyle w:val="Hyperlink"/>
                <w:noProof/>
              </w:rPr>
              <w:t>5.</w:t>
            </w:r>
            <w:r>
              <w:rPr>
                <w:rFonts w:cstheme="minorBidi"/>
                <w:noProof/>
                <w:kern w:val="2"/>
                <w:sz w:val="24"/>
                <w:szCs w:val="24"/>
                <w14:ligatures w14:val="standardContextual"/>
              </w:rPr>
              <w:tab/>
            </w:r>
            <w:r w:rsidRPr="002C5307">
              <w:rPr>
                <w:rStyle w:val="Hyperlink"/>
                <w:noProof/>
              </w:rPr>
              <w:t>Conclusion</w:t>
            </w:r>
            <w:r>
              <w:rPr>
                <w:noProof/>
                <w:webHidden/>
              </w:rPr>
              <w:tab/>
            </w:r>
            <w:r>
              <w:rPr>
                <w:noProof/>
                <w:webHidden/>
              </w:rPr>
              <w:fldChar w:fldCharType="begin"/>
            </w:r>
            <w:r>
              <w:rPr>
                <w:noProof/>
                <w:webHidden/>
              </w:rPr>
              <w:instrText xml:space="preserve"> PAGEREF _Toc215862204 \h </w:instrText>
            </w:r>
            <w:r>
              <w:rPr>
                <w:noProof/>
                <w:webHidden/>
              </w:rPr>
            </w:r>
            <w:r>
              <w:rPr>
                <w:noProof/>
                <w:webHidden/>
              </w:rPr>
              <w:fldChar w:fldCharType="separate"/>
            </w:r>
            <w:r>
              <w:rPr>
                <w:noProof/>
                <w:webHidden/>
              </w:rPr>
              <w:t>9</w:t>
            </w:r>
            <w:r>
              <w:rPr>
                <w:noProof/>
                <w:webHidden/>
              </w:rPr>
              <w:fldChar w:fldCharType="end"/>
            </w:r>
          </w:hyperlink>
        </w:p>
        <w:p w14:paraId="19102531" w14:textId="7759E192" w:rsidR="00D26055" w:rsidRDefault="00D26055">
          <w:pPr>
            <w:pStyle w:val="TOC1"/>
            <w:tabs>
              <w:tab w:val="right" w:leader="dot" w:pos="9016"/>
            </w:tabs>
            <w:rPr>
              <w:rFonts w:cstheme="minorBidi"/>
              <w:noProof/>
              <w:kern w:val="2"/>
              <w:sz w:val="24"/>
              <w:szCs w:val="24"/>
              <w14:ligatures w14:val="standardContextual"/>
            </w:rPr>
          </w:pPr>
          <w:hyperlink w:anchor="_Toc215862205" w:history="1">
            <w:r w:rsidRPr="002C5307">
              <w:rPr>
                <w:rStyle w:val="Hyperlink"/>
                <w:noProof/>
              </w:rPr>
              <w:t>References</w:t>
            </w:r>
            <w:r>
              <w:rPr>
                <w:noProof/>
                <w:webHidden/>
              </w:rPr>
              <w:tab/>
            </w:r>
            <w:r>
              <w:rPr>
                <w:noProof/>
                <w:webHidden/>
              </w:rPr>
              <w:fldChar w:fldCharType="begin"/>
            </w:r>
            <w:r>
              <w:rPr>
                <w:noProof/>
                <w:webHidden/>
              </w:rPr>
              <w:instrText xml:space="preserve"> PAGEREF _Toc215862205 \h </w:instrText>
            </w:r>
            <w:r>
              <w:rPr>
                <w:noProof/>
                <w:webHidden/>
              </w:rPr>
            </w:r>
            <w:r>
              <w:rPr>
                <w:noProof/>
                <w:webHidden/>
              </w:rPr>
              <w:fldChar w:fldCharType="separate"/>
            </w:r>
            <w:r>
              <w:rPr>
                <w:noProof/>
                <w:webHidden/>
              </w:rPr>
              <w:t>10</w:t>
            </w:r>
            <w:r>
              <w:rPr>
                <w:noProof/>
                <w:webHidden/>
              </w:rPr>
              <w:fldChar w:fldCharType="end"/>
            </w:r>
          </w:hyperlink>
        </w:p>
        <w:p w14:paraId="20FC144A" w14:textId="4E2F9865" w:rsidR="00D26055" w:rsidRDefault="00D26055">
          <w:r>
            <w:rPr>
              <w:b/>
              <w:bCs/>
            </w:rPr>
            <w:fldChar w:fldCharType="end"/>
          </w:r>
        </w:p>
      </w:sdtContent>
    </w:sdt>
    <w:p w14:paraId="039BA134" w14:textId="77777777" w:rsidR="00D26055" w:rsidRDefault="00D26055">
      <w:pPr>
        <w:rPr>
          <w:rFonts w:eastAsiaTheme="majorEastAsia" w:cstheme="majorBidi"/>
          <w:b/>
          <w:sz w:val="28"/>
          <w:szCs w:val="40"/>
        </w:rPr>
      </w:pPr>
      <w:r>
        <w:br w:type="page"/>
      </w:r>
    </w:p>
    <w:p w14:paraId="603CDE20" w14:textId="0E26DA91" w:rsidR="00920E65" w:rsidRDefault="00920E65" w:rsidP="00345357">
      <w:pPr>
        <w:pStyle w:val="Heading1"/>
        <w:numPr>
          <w:ilvl w:val="0"/>
          <w:numId w:val="1"/>
        </w:numPr>
        <w:spacing w:line="360" w:lineRule="auto"/>
      </w:pPr>
      <w:bookmarkStart w:id="0" w:name="_Toc215862194"/>
      <w:r w:rsidRPr="00920E65">
        <w:lastRenderedPageBreak/>
        <w:t>Introduction</w:t>
      </w:r>
      <w:bookmarkEnd w:id="0"/>
    </w:p>
    <w:p w14:paraId="1CD5E173" w14:textId="14300246" w:rsidR="00345357" w:rsidRDefault="00FE4892" w:rsidP="00345357">
      <w:pPr>
        <w:spacing w:line="360" w:lineRule="auto"/>
      </w:pPr>
      <w:r w:rsidRPr="00FE4892">
        <w:t>The report focuses on the development of the EV industry in the UK.</w:t>
      </w:r>
      <w:r w:rsidR="00345357" w:rsidRPr="00345357">
        <w:t xml:space="preserve"> This development is examined in the context of decarbonisation targets which are becoming ever more stringent. This change is also witnessed in the automotive sector itself. Due to continuous policy support, technological advancement, and changing patterns of consumer demand, the acceleration of market expansion has taken place in recent years. </w:t>
      </w:r>
      <w:r w:rsidRPr="00FE4892">
        <w:t>However, this trajectory may not be sustainable without structural improvements in grid capacity and the wider charging ecosystem.</w:t>
      </w:r>
      <w:r>
        <w:t xml:space="preserve"> </w:t>
      </w:r>
      <w:r w:rsidR="00345357" w:rsidRPr="00345357">
        <w:t>Nonetheless, data indicates that this expansion is still rather unequal and held back by a shortage of charging infrastructure, capital intensity, and more troubling macroeconomic externalities that affect affordability and investment logic.</w:t>
      </w:r>
    </w:p>
    <w:p w14:paraId="71A5A7C4" w14:textId="07E8DDC7" w:rsidR="001852EB" w:rsidRDefault="00345357" w:rsidP="00345357">
      <w:pPr>
        <w:spacing w:line="360" w:lineRule="auto"/>
      </w:pPr>
      <w:r w:rsidRPr="00345357">
        <w:t xml:space="preserve">The analysis assesses the impact of political, economic, social, technological, legal and environmental drivers on industry performance and strategic decisions, structured by the PESTLE framework. </w:t>
      </w:r>
      <w:r w:rsidR="00FE4892" w:rsidRPr="00FE4892">
        <w:t>A SWOT synthesis will illustrate how external pressures interact with internal capabilities in the industry.</w:t>
      </w:r>
      <w:r w:rsidRPr="00345357">
        <w:t xml:space="preserve"> The report’s conclusion calls on UK EV firms to be evidence-based in their recommendations to meet emerging risks and opportunities. They also ask for increased competitiveness, sustainability and long-term resilience.</w:t>
      </w:r>
      <w:r w:rsidR="001852EB">
        <w:br w:type="page"/>
      </w:r>
    </w:p>
    <w:p w14:paraId="78326C80" w14:textId="6744DD27" w:rsidR="001852EB" w:rsidRDefault="001852EB" w:rsidP="00345357">
      <w:pPr>
        <w:pStyle w:val="Heading1"/>
        <w:numPr>
          <w:ilvl w:val="0"/>
          <w:numId w:val="1"/>
        </w:numPr>
        <w:spacing w:line="360" w:lineRule="auto"/>
      </w:pPr>
      <w:bookmarkStart w:id="1" w:name="_Toc215862195"/>
      <w:r w:rsidRPr="001852EB">
        <w:lastRenderedPageBreak/>
        <w:t>Overview of the UK EV Industry</w:t>
      </w:r>
      <w:bookmarkEnd w:id="1"/>
    </w:p>
    <w:p w14:paraId="3E560263" w14:textId="19C9C767" w:rsidR="00345357" w:rsidRDefault="00345357" w:rsidP="00345357">
      <w:pPr>
        <w:spacing w:line="360" w:lineRule="auto"/>
      </w:pPr>
      <w:r>
        <w:t>Statistics recently show that the United Kingdom’s electric-vehicle market is continuing to grow. Beginning in 2024 the share of the EVs mainly battery electric vehicles accounted to 19.6 % of total new pay passenger car registrations compared to 16.5 % a year earlier, sold which totalled 381970 units (SMMT 2025).  Preliminary data for October 2025 suggests BEVs recorded a market share of 25.4 % during the month with a total of 36,830 BEV registrations</w:t>
      </w:r>
      <w:r w:rsidR="00FE4892">
        <w:t xml:space="preserve">, </w:t>
      </w:r>
      <w:r>
        <w:t>backing up a continuing upward trend. According to the statistics, it is evident that the UK is still among the leading European markets for EV adoption.</w:t>
      </w:r>
    </w:p>
    <w:p w14:paraId="6742BE52" w14:textId="77777777" w:rsidR="00345357" w:rsidRDefault="00345357" w:rsidP="00345357">
      <w:pPr>
        <w:spacing w:line="360" w:lineRule="auto"/>
      </w:pPr>
      <w:r>
        <w:t>The structure of electric vehicle industry in the UK has also varied. Automakers today face tough competition from start-ups and a fast-growing ecosystem of new charging infrastructure providers and mobility services. Intervention by state is a vital enabler of market development: as the case of the Zero Emission Vehicle mandate, which obliges manufacturers to raise the proportion of zero-emission new sales and has shaped supply-side strategies by forcing firms to prioritise EV portfolios.</w:t>
      </w:r>
    </w:p>
    <w:p w14:paraId="72EC87AC" w14:textId="4A928642" w:rsidR="00FE4892" w:rsidRDefault="00FE4892" w:rsidP="00FE4892">
      <w:pPr>
        <w:spacing w:line="360" w:lineRule="auto"/>
      </w:pPr>
      <w:r>
        <w:t>The public charging infrastructure has grown just as fast as the vehicle market. In the UK in April 2025, there were 76,507 publicly available EV charging devices. By October 2025, this number had increased to 86,021 devices which also include growing shares of rapid- and ultra-rapid chargers (≥ 50 kW), which are key to enabling long-distance travel and bolstering consumer confidence in EV adoption. The growth of infrastructure significantly lessens the lack of charging access for EVs, which in turn results in more business possibilities.</w:t>
      </w:r>
    </w:p>
    <w:p w14:paraId="54F4967C" w14:textId="115D5677" w:rsidR="00FE4892" w:rsidRDefault="00FE4892" w:rsidP="00345357">
      <w:pPr>
        <w:spacing w:line="360" w:lineRule="auto"/>
      </w:pPr>
      <w:r>
        <w:t>Structural</w:t>
      </w:r>
      <w:r>
        <w:t xml:space="preserve"> issues still exist despite positive trends. The adoption of the market continues to be heterogeneous: private buyers appear to be materially less likely to purchase EVs compared to fleet and corporate buyers, pointing to the importance of incentives and economies of scale in purchase decisions. Fleet operators continue to drive a significant share of EV uptake.  In addition, there are differences in geography and socio-economy. The density of charging points is not uniform across regions. This undermines access to charging points. The lack of access limits the adoption potential in such areas. Consequently, the headline numbers may be impressive but the structural and distributional issues seem much larger to hinder a thorough and equitable EV transition.</w:t>
      </w:r>
    </w:p>
    <w:p w14:paraId="44CAC4D5" w14:textId="77777777" w:rsidR="00FE4892" w:rsidRDefault="00FE4892">
      <w:r>
        <w:lastRenderedPageBreak/>
        <w:br w:type="page"/>
      </w:r>
    </w:p>
    <w:p w14:paraId="7A9DF2CC" w14:textId="0EE4F9EB" w:rsidR="00FE4892" w:rsidRPr="00FE4892" w:rsidRDefault="00FE4892" w:rsidP="00FE4892">
      <w:pPr>
        <w:pStyle w:val="Heading1"/>
        <w:numPr>
          <w:ilvl w:val="0"/>
          <w:numId w:val="1"/>
        </w:numPr>
      </w:pPr>
      <w:bookmarkStart w:id="2" w:name="_Toc215862196"/>
      <w:r w:rsidRPr="00FE4892">
        <w:lastRenderedPageBreak/>
        <w:t>PESTLE Analysis</w:t>
      </w:r>
      <w:bookmarkEnd w:id="2"/>
    </w:p>
    <w:p w14:paraId="21CA6E53" w14:textId="32F36C9E" w:rsidR="00FE4892" w:rsidRDefault="00FE4892" w:rsidP="00FE4892">
      <w:pPr>
        <w:pStyle w:val="Heading2"/>
        <w:numPr>
          <w:ilvl w:val="1"/>
          <w:numId w:val="1"/>
        </w:numPr>
      </w:pPr>
      <w:bookmarkStart w:id="3" w:name="_Toc215862197"/>
      <w:r w:rsidRPr="00FE4892">
        <w:t>Political Factors</w:t>
      </w:r>
      <w:bookmarkEnd w:id="3"/>
    </w:p>
    <w:p w14:paraId="1F7A53F4" w14:textId="480FA6C0" w:rsidR="00FE4892" w:rsidRDefault="00FE4892" w:rsidP="00FE4892">
      <w:pPr>
        <w:spacing w:line="360" w:lineRule="auto"/>
      </w:pPr>
      <w:r w:rsidRPr="00FE4892">
        <w:t>Political factors play a vital role in the development of the electric vehicle industry in the UK. Government policy is strongly aligned with the legal obligation to achieve a net-zero target by 2050. Thus, the transport sector is under pressure. According to UK Government (2025a), the Zero Emission Vehicle (ZEV) mandate necessitates manufacturers to enhance the share of zero-emission car sales. Besides, the political intention of reducing the barriers related to technology and infrastructure cost can be seen in public support instruments, tax reliefs as well as funding for charging networks. Nonetheless, variance in government priorities industrial strategy and budget allocation creates uncertainty for investors. If the financial assistance becomes illusive, corporates may cut battery R&amp;D and local manufacturing. Because of this, political action can accelerate EV adoption while also being a source of regulatory risk.</w:t>
      </w:r>
    </w:p>
    <w:p w14:paraId="3336ED1F" w14:textId="77777777" w:rsidR="00FE4892" w:rsidRDefault="00FE4892" w:rsidP="00FE4892">
      <w:pPr>
        <w:spacing w:line="360" w:lineRule="auto"/>
      </w:pPr>
    </w:p>
    <w:p w14:paraId="633CD2A9" w14:textId="3C7AE8DE" w:rsidR="00FE4892" w:rsidRDefault="00FE4892" w:rsidP="00FE4892">
      <w:pPr>
        <w:pStyle w:val="Heading2"/>
        <w:numPr>
          <w:ilvl w:val="1"/>
          <w:numId w:val="1"/>
        </w:numPr>
      </w:pPr>
      <w:bookmarkStart w:id="4" w:name="_Toc215862198"/>
      <w:r w:rsidRPr="00FE4892">
        <w:t>Economic Factors</w:t>
      </w:r>
      <w:bookmarkEnd w:id="4"/>
    </w:p>
    <w:p w14:paraId="2010B84B" w14:textId="41BFFD02" w:rsidR="005D31EA" w:rsidRDefault="00FE4892" w:rsidP="00FE4892">
      <w:pPr>
        <w:spacing w:line="360" w:lineRule="auto"/>
      </w:pPr>
      <w:r w:rsidRPr="00FE4892">
        <w:t>Economic conditions affect both demand and supply in an industry. The decisions of households have been affected by high inflation, increased borrowing costs and the general cost-of-living pressure making new technologies less affordable. While incentives lower purchase prices, many private consumers still face determining total cost of ownership which remains high. Another major factor is energy prices since the cost to charge can eliminate the economic advantage of EVs under certain market conditions. The electric vehicle industry depends on stable access to materials and global supply chains, especially for batteries, at the supply side. The varying prices of lithium or rare earth elements can affect profit. As per the latest EV trends, EV adoption is now being led by fleet operators, rather than individuals. This is primarily because it’s more advantageous for companies; they receive tax benefits and also achieve scale (RAC Foundation 2025). As a result, it restrains private adoption and keeps the dependency on state support.</w:t>
      </w:r>
    </w:p>
    <w:p w14:paraId="7D5A1B53" w14:textId="77777777" w:rsidR="005D31EA" w:rsidRDefault="005D31EA">
      <w:r>
        <w:br w:type="page"/>
      </w:r>
    </w:p>
    <w:p w14:paraId="65F66304" w14:textId="1B6810E7" w:rsidR="005D31EA" w:rsidRDefault="005D31EA" w:rsidP="005D31EA">
      <w:pPr>
        <w:pStyle w:val="Heading2"/>
        <w:numPr>
          <w:ilvl w:val="1"/>
          <w:numId w:val="1"/>
        </w:numPr>
      </w:pPr>
      <w:bookmarkStart w:id="5" w:name="_Toc215862199"/>
      <w:r w:rsidRPr="005D31EA">
        <w:lastRenderedPageBreak/>
        <w:t>Social Factors</w:t>
      </w:r>
      <w:bookmarkEnd w:id="5"/>
    </w:p>
    <w:p w14:paraId="0D83FC05" w14:textId="67EDDB89" w:rsidR="005D31EA" w:rsidRDefault="005D31EA" w:rsidP="005D31EA">
      <w:pPr>
        <w:spacing w:line="360" w:lineRule="auto"/>
      </w:pPr>
      <w:r w:rsidRPr="005D31EA">
        <w:t>The adoption of electric vehicles is impacted through consumer trust and social attitudes. With time, people are becoming more aware of environmental issues and transportation carbon emissions. Those looking to purchase might be concerned with charging infrastructure, battery life and long-distance travel. EV adoption is not equal across regions or social groups. Public charging networks are often out of reach for consumers in remote or low-income areas, making them feel left out of technology change. Early adopters are typically high-income individuals or businesses who can bear these costs. The growth of rapid-charging devices together with improved communication about savings over time is likely to alter social attitudes and reduce uncertainty (OZEV, 2025). Consumer perceptions can also get influenced by the conversations revolving around battery mining impacts and recycling. Thus social acceptance is both a driver and constraint, depending on accessibility and trust.</w:t>
      </w:r>
    </w:p>
    <w:p w14:paraId="7F1AFD6E" w14:textId="77777777" w:rsidR="005D31EA" w:rsidRDefault="005D31EA" w:rsidP="005D31EA">
      <w:pPr>
        <w:spacing w:line="360" w:lineRule="auto"/>
      </w:pPr>
    </w:p>
    <w:p w14:paraId="4D9A33A3" w14:textId="0231715F" w:rsidR="005D31EA" w:rsidRDefault="005D31EA" w:rsidP="005D31EA">
      <w:pPr>
        <w:pStyle w:val="Heading2"/>
        <w:numPr>
          <w:ilvl w:val="1"/>
          <w:numId w:val="1"/>
        </w:numPr>
      </w:pPr>
      <w:bookmarkStart w:id="6" w:name="_Toc215862200"/>
      <w:r w:rsidRPr="005D31EA">
        <w:t>Technological Factors</w:t>
      </w:r>
      <w:bookmarkEnd w:id="6"/>
    </w:p>
    <w:p w14:paraId="6F4D43DD" w14:textId="3CAD3C48" w:rsidR="005D31EA" w:rsidRPr="005D31EA" w:rsidRDefault="005D31EA" w:rsidP="005D31EA">
      <w:pPr>
        <w:spacing w:line="360" w:lineRule="auto"/>
      </w:pPr>
      <w:r w:rsidRPr="005D31EA">
        <w:t>Technological development is an important aspect of the EV business. More efficient battery costs and performance are making EVs more attractive to consumers. Innovating digital devices, route planning and V2G technology show how EVs interact with the energy system. These advancements reduce operational expenses and encourage acceptance in commercial fleets. New innovations are taking place at such a rapid pace, hence, it is difficult to standardise. Certain charging systems, connecters, and software are not compatible with all brands. For the early users, a risk of obsolescence also exists in technology. The growth of ultra-fast chargers (≥ 50 kW) is key to building confidence in long-distance use (OZEV, 2025). But, limited grid capacity may hamper infrastructure development. Technological factors are important, not only because they improve vehicle performance, but also because they alter the economic logic in transport and how firms design mobility services.</w:t>
      </w:r>
    </w:p>
    <w:p w14:paraId="532D56EE" w14:textId="19C8CE9D" w:rsidR="005D31EA" w:rsidRDefault="005D31EA">
      <w:r>
        <w:br w:type="page"/>
      </w:r>
    </w:p>
    <w:p w14:paraId="2913594B" w14:textId="325EED6B" w:rsidR="005D31EA" w:rsidRDefault="005D31EA" w:rsidP="005D31EA">
      <w:pPr>
        <w:pStyle w:val="Heading2"/>
        <w:numPr>
          <w:ilvl w:val="1"/>
          <w:numId w:val="1"/>
        </w:numPr>
      </w:pPr>
      <w:bookmarkStart w:id="7" w:name="_Toc215862201"/>
      <w:r w:rsidRPr="005D31EA">
        <w:lastRenderedPageBreak/>
        <w:t>Legal Factors</w:t>
      </w:r>
      <w:bookmarkEnd w:id="7"/>
    </w:p>
    <w:p w14:paraId="6FE153F6" w14:textId="3A2B6D27" w:rsidR="005D31EA" w:rsidRDefault="005D31EA" w:rsidP="005D31EA">
      <w:pPr>
        <w:spacing w:line="360" w:lineRule="auto"/>
      </w:pPr>
      <w:r w:rsidRPr="005D31EA">
        <w:t>The legal and regulatory requirements have a direct impact on strategic behaviour in the EV market. Safety criteria, data protective needs for connected car services and competition norms make companies act. The UK has released safety regulations for battery storage and guidance for recycling materials (UK Government, 2025b). Regulatory compliance often leads to greater costs in the short-term, especially for small firms entering the market. Nevertheless, as it may seem, a clear set of rules will provide investors with stability and predictability. Trade rules really matter now, post-Brexit since the origin of the components can affect tariffs. Laws of intellectual property may encourage innovation, as firms spend on batteries patents and charging devices with competitive edge. As a result, legal frameworks offer constraints. Moreover, it offers long-term strategic clarity too.</w:t>
      </w:r>
    </w:p>
    <w:p w14:paraId="3F07F0F5" w14:textId="77777777" w:rsidR="005D31EA" w:rsidRDefault="005D31EA" w:rsidP="005D31EA">
      <w:pPr>
        <w:spacing w:line="360" w:lineRule="auto"/>
      </w:pPr>
    </w:p>
    <w:p w14:paraId="758BB547" w14:textId="458F23AC" w:rsidR="005D31EA" w:rsidRDefault="005D31EA" w:rsidP="005D31EA">
      <w:pPr>
        <w:pStyle w:val="Heading2"/>
        <w:numPr>
          <w:ilvl w:val="1"/>
          <w:numId w:val="1"/>
        </w:numPr>
      </w:pPr>
      <w:bookmarkStart w:id="8" w:name="_Toc215862202"/>
      <w:r w:rsidRPr="005D31EA">
        <w:t>Environmental Factors</w:t>
      </w:r>
      <w:bookmarkEnd w:id="8"/>
    </w:p>
    <w:p w14:paraId="1A5EE54B" w14:textId="2528F87A" w:rsidR="005D31EA" w:rsidRDefault="005D31EA" w:rsidP="005D31EA">
      <w:pPr>
        <w:spacing w:line="360" w:lineRule="auto"/>
      </w:pPr>
      <w:r w:rsidRPr="005D31EA">
        <w:t>Shifting towards EVs is basically to avoid environmental pressures. In the UK, road transport has a large share of CO</w:t>
      </w:r>
      <w:r w:rsidRPr="005D31EA">
        <w:rPr>
          <w:rFonts w:ascii="Cambria Math" w:hAnsi="Cambria Math" w:cs="Cambria Math"/>
        </w:rPr>
        <w:t>₂</w:t>
      </w:r>
      <w:r w:rsidRPr="005D31EA">
        <w:t xml:space="preserve"> emissions , and electrifying vehicles helps reduce emissions across a vehicle</w:t>
      </w:r>
      <w:r w:rsidRPr="005D31EA">
        <w:rPr>
          <w:rFonts w:cs="Arial"/>
        </w:rPr>
        <w:t>’</w:t>
      </w:r>
      <w:r w:rsidRPr="005D31EA">
        <w:t>s life cycle (Committee on Climate Change, 2025). Along with climate change, the policies on air quality and urban mobility can help in pollution reduction. Nonetheless, electric vehicles (EVs) cause environmental damage beyond the point of use. The mining and processing of materials needed for battery production has its own footprint. Currently, battery component recycling systems are under development. Parts of the UK might have limits due to the grid capacity, if charging demand exceeds renewable energy capacity. For long term sustainable development, circular processes and clean energy sources must be developed. In all Environmental factors exert a pressure which creates an innovation and Continued justification of policy support.</w:t>
      </w:r>
    </w:p>
    <w:p w14:paraId="2FD12F12" w14:textId="77777777" w:rsidR="005D31EA" w:rsidRDefault="005D31EA">
      <w:r>
        <w:br w:type="page"/>
      </w:r>
    </w:p>
    <w:p w14:paraId="5E3B5496" w14:textId="518748FD" w:rsidR="005D31EA" w:rsidRDefault="009268FA" w:rsidP="009268FA">
      <w:pPr>
        <w:pStyle w:val="Heading1"/>
        <w:numPr>
          <w:ilvl w:val="0"/>
          <w:numId w:val="1"/>
        </w:numPr>
      </w:pPr>
      <w:bookmarkStart w:id="9" w:name="_Toc215862203"/>
      <w:r w:rsidRPr="009268FA">
        <w:lastRenderedPageBreak/>
        <w:t>SWOT Analysis</w:t>
      </w:r>
      <w:bookmarkEnd w:id="9"/>
    </w:p>
    <w:p w14:paraId="18476916" w14:textId="6F33C334" w:rsidR="009268FA" w:rsidRDefault="009268FA" w:rsidP="009268FA">
      <w:pPr>
        <w:spacing w:line="360" w:lineRule="auto"/>
      </w:pPr>
      <w:r>
        <w:t>The UK government's binding decarbonisation targets create policy stability and the country’s significantly advanced charging infrastructure. Incentives offered in public and the Zero Emission Vehicle mandate offer unambiguous market direction while strong fleet adoption offers scale and early learning effects.</w:t>
      </w:r>
    </w:p>
    <w:p w14:paraId="52E90C3C" w14:textId="06972359" w:rsidR="009268FA" w:rsidRDefault="009268FA" w:rsidP="009268FA">
      <w:pPr>
        <w:spacing w:line="360" w:lineRule="auto"/>
      </w:pPr>
      <w:r>
        <w:t>Some weaknesses are uneven private adoption; high capital intensity; continued dependence on subsidies to sustain demand. The ability of the grid facility, regional variations in charging access and expensive battery costs limits affordability and reduces the total potential for equitable consumer adoption.</w:t>
      </w:r>
    </w:p>
    <w:p w14:paraId="71C2689A" w14:textId="3E6F9F25" w:rsidR="009268FA" w:rsidRDefault="009268FA" w:rsidP="009268FA">
      <w:pPr>
        <w:spacing w:line="360" w:lineRule="auto"/>
      </w:pPr>
      <w:r>
        <w:t>New opportunities are opening due to rapid battery innovation and new supply-chain developments. Fleet electrification, environmental social governance (ESG) strategies, and vehicle-to-grid services can aid in growth, while circular-economy systems boost sustainability along with economic resilience in the sector.</w:t>
      </w:r>
    </w:p>
    <w:p w14:paraId="3E8F3A3D" w14:textId="36150C22" w:rsidR="009268FA" w:rsidRDefault="009268FA" w:rsidP="009268FA">
      <w:pPr>
        <w:spacing w:line="360" w:lineRule="auto"/>
      </w:pPr>
      <w:r>
        <w:t>The risks include international competition from cheaper producers, fluctuations in metal prices and geopolitical problems as political governments change. Slower economic growth, along with trade rules and supply-chain risk, will decrease investment and affordability significantly.</w:t>
      </w:r>
    </w:p>
    <w:p w14:paraId="607F55FB" w14:textId="77777777" w:rsidR="009268FA" w:rsidRDefault="009268FA">
      <w:r>
        <w:br w:type="page"/>
      </w:r>
    </w:p>
    <w:p w14:paraId="2E26E053" w14:textId="16FEDCC8" w:rsidR="009268FA" w:rsidRPr="009268FA" w:rsidRDefault="009268FA" w:rsidP="009268FA">
      <w:pPr>
        <w:pStyle w:val="Heading1"/>
        <w:numPr>
          <w:ilvl w:val="0"/>
          <w:numId w:val="1"/>
        </w:numPr>
      </w:pPr>
      <w:bookmarkStart w:id="10" w:name="_Toc215862204"/>
      <w:r>
        <w:lastRenderedPageBreak/>
        <w:t>Conclusion</w:t>
      </w:r>
      <w:bookmarkEnd w:id="10"/>
    </w:p>
    <w:p w14:paraId="40EB90CA" w14:textId="13BF68FF" w:rsidR="005D31EA" w:rsidRPr="005D31EA" w:rsidRDefault="009268FA" w:rsidP="005D31EA">
      <w:pPr>
        <w:spacing w:line="360" w:lineRule="auto"/>
      </w:pPr>
      <w:r>
        <w:t>In conclusion</w:t>
      </w:r>
      <w:r w:rsidRPr="009268FA">
        <w:t>, the UK electric vehicles (EV) industry has a strong strategic potential given the country’s clear decarbonisation targets of the country, rapid technological development and expanding public infrastructure. Nonetheless, lack of availability and cost impediments and government dependence continue to hamper private adoption. The PESTLE assessment indicates that stable policy, grid investment, and long-term supply chain innovation will determine the competitiveness of the industry in the future. A more equal and resilient transition to electric vehicles will be supported by better regional infrastructure as well as an industrial strategy.</w:t>
      </w:r>
    </w:p>
    <w:p w14:paraId="47AB18C1" w14:textId="5C825306" w:rsidR="00D26055" w:rsidRDefault="00D26055">
      <w:r>
        <w:br w:type="page"/>
      </w:r>
    </w:p>
    <w:p w14:paraId="2C7CFF38" w14:textId="5257DD23" w:rsidR="00D26055" w:rsidRPr="00D26055" w:rsidRDefault="00D26055" w:rsidP="00D26055">
      <w:pPr>
        <w:pStyle w:val="Heading1"/>
      </w:pPr>
      <w:bookmarkStart w:id="11" w:name="_Toc215862205"/>
      <w:r>
        <w:lastRenderedPageBreak/>
        <w:t>References</w:t>
      </w:r>
      <w:bookmarkEnd w:id="11"/>
    </w:p>
    <w:p w14:paraId="7BF00517" w14:textId="7837BB74" w:rsidR="00D26055" w:rsidRDefault="00D26055" w:rsidP="00D26055">
      <w:pPr>
        <w:spacing w:line="360" w:lineRule="auto"/>
      </w:pPr>
      <w:r>
        <w:t xml:space="preserve">Committee on Climate Change (2025) Progress in reducing emissions: 2025 Report to Parliament. London: CCC. Available at: </w:t>
      </w:r>
      <w:hyperlink r:id="rId10" w:history="1">
        <w:r w:rsidRPr="006E5F91">
          <w:rPr>
            <w:rStyle w:val="Hyperlink"/>
          </w:rPr>
          <w:t>https://www.theccc.org.uk/publication/progress-in-reducing-emissions-2025-report-to-parliament/</w:t>
        </w:r>
      </w:hyperlink>
      <w:r>
        <w:t xml:space="preserve">  </w:t>
      </w:r>
      <w:r>
        <w:t>(Accessed 1 December 2025).</w:t>
      </w:r>
    </w:p>
    <w:p w14:paraId="0E46B4E0" w14:textId="4B1422F7" w:rsidR="00D26055" w:rsidRDefault="00D26055" w:rsidP="00D26055">
      <w:pPr>
        <w:spacing w:line="360" w:lineRule="auto"/>
      </w:pPr>
      <w:r>
        <w:t xml:space="preserve">Office for Zero Emission Vehicles (OZEV) (2025) Electric vehicle public charging infrastructure statistics: October 2025. London: Department for Transport. Available at: </w:t>
      </w:r>
      <w:hyperlink r:id="rId11" w:history="1">
        <w:r w:rsidRPr="006E5F91">
          <w:rPr>
            <w:rStyle w:val="Hyperlink"/>
          </w:rPr>
          <w:t>https://www.gov.uk/government/statistics/electric-vehicle-public-charging-infrastructure-statistics-october-2025</w:t>
        </w:r>
      </w:hyperlink>
      <w:r>
        <w:t xml:space="preserve">  </w:t>
      </w:r>
      <w:r>
        <w:t>(Accessed 1 December 2025).</w:t>
      </w:r>
    </w:p>
    <w:p w14:paraId="5C59BE3A" w14:textId="1A7AFABF" w:rsidR="00D26055" w:rsidRDefault="00D26055" w:rsidP="00D26055">
      <w:pPr>
        <w:spacing w:line="360" w:lineRule="auto"/>
      </w:pPr>
      <w:r>
        <w:t xml:space="preserve">RAC Foundation (2025) The UK’s adoption of electric vehicles. RAC Foundation Data Insights. Available at: </w:t>
      </w:r>
      <w:hyperlink r:id="rId12" w:history="1">
        <w:r w:rsidRPr="006E5F91">
          <w:rPr>
            <w:rStyle w:val="Hyperlink"/>
          </w:rPr>
          <w:t>https://www.racfoundation.org/data/electric-vehicle-adoption</w:t>
        </w:r>
      </w:hyperlink>
      <w:r>
        <w:t xml:space="preserve"> </w:t>
      </w:r>
      <w:r>
        <w:t xml:space="preserve"> (Accessed 2 December 2025).</w:t>
      </w:r>
    </w:p>
    <w:p w14:paraId="0E3998CD" w14:textId="62CBB807" w:rsidR="00D26055" w:rsidRDefault="00D26055" w:rsidP="00D26055">
      <w:pPr>
        <w:spacing w:line="360" w:lineRule="auto"/>
      </w:pPr>
      <w:r>
        <w:t xml:space="preserve">Society of Motor Manufacturers and Traders (SMMT) (2025) New car registrations 2024: Annual market data. London: SMMT. Available at: </w:t>
      </w:r>
      <w:hyperlink r:id="rId13" w:history="1">
        <w:r w:rsidRPr="006E5F91">
          <w:rPr>
            <w:rStyle w:val="Hyperlink"/>
          </w:rPr>
          <w:t>https://www.smmt.co.uk/vehicle-data/car-registrations/</w:t>
        </w:r>
      </w:hyperlink>
      <w:r>
        <w:t xml:space="preserve"> </w:t>
      </w:r>
      <w:r>
        <w:t xml:space="preserve"> (Accessed 3 December 2025).</w:t>
      </w:r>
    </w:p>
    <w:p w14:paraId="5FE927E4" w14:textId="2136687A" w:rsidR="00D26055" w:rsidRDefault="00D26055" w:rsidP="00D26055">
      <w:pPr>
        <w:spacing w:line="360" w:lineRule="auto"/>
      </w:pPr>
      <w:r>
        <w:t xml:space="preserve">UK Government (2025a) Zero emission vehicle (ZEV) mandate: Regulatory framework. Department for Transport. Available at: </w:t>
      </w:r>
      <w:hyperlink r:id="rId14" w:history="1">
        <w:r w:rsidRPr="006E5F91">
          <w:rPr>
            <w:rStyle w:val="Hyperlink"/>
          </w:rPr>
          <w:t>https://www.gov.uk/government/publications/zero-emission-vehicle-zev-mandate</w:t>
        </w:r>
      </w:hyperlink>
      <w:r>
        <w:t xml:space="preserve"> </w:t>
      </w:r>
      <w:r>
        <w:t>(Accessed 2 December 2025).</w:t>
      </w:r>
    </w:p>
    <w:p w14:paraId="122C1F78" w14:textId="7A1837F0" w:rsidR="00FE4892" w:rsidRPr="00FE4892" w:rsidRDefault="00D26055" w:rsidP="00D26055">
      <w:pPr>
        <w:spacing w:line="360" w:lineRule="auto"/>
      </w:pPr>
      <w:r>
        <w:t xml:space="preserve">UK Government (2025b) Battery waste, safety and recycling guidance for electric vehicles. Department for Business &amp; Trade. Available at: </w:t>
      </w:r>
      <w:hyperlink r:id="rId15" w:history="1">
        <w:r w:rsidRPr="006E5F91">
          <w:rPr>
            <w:rStyle w:val="Hyperlink"/>
          </w:rPr>
          <w:t>https://www.gov.uk/government/publications/electric-vehicle-battery-recycling-and-safety-guidance</w:t>
        </w:r>
      </w:hyperlink>
      <w:r>
        <w:t xml:space="preserve"> </w:t>
      </w:r>
      <w:r>
        <w:t xml:space="preserve"> (Accessed 4 December 2025).</w:t>
      </w:r>
    </w:p>
    <w:p w14:paraId="1F5C0F40" w14:textId="77777777" w:rsidR="00FE4892" w:rsidRPr="00FE4892" w:rsidRDefault="00FE4892" w:rsidP="00FE4892">
      <w:pPr>
        <w:spacing w:line="360" w:lineRule="auto"/>
      </w:pPr>
    </w:p>
    <w:p w14:paraId="551E9595" w14:textId="77777777" w:rsidR="00920E65" w:rsidRDefault="00920E65" w:rsidP="00345357">
      <w:pPr>
        <w:spacing w:line="360" w:lineRule="auto"/>
      </w:pPr>
    </w:p>
    <w:sectPr w:rsidR="00920E65" w:rsidSect="00D260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FB6427" w14:textId="77777777" w:rsidR="00AD7A81" w:rsidRDefault="00AD7A81" w:rsidP="00B947A6">
      <w:pPr>
        <w:spacing w:after="0" w:line="240" w:lineRule="auto"/>
      </w:pPr>
      <w:r>
        <w:separator/>
      </w:r>
    </w:p>
  </w:endnote>
  <w:endnote w:type="continuationSeparator" w:id="0">
    <w:p w14:paraId="71196B9A" w14:textId="77777777" w:rsidR="00AD7A81" w:rsidRDefault="00AD7A81" w:rsidP="00B947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52500D" w14:textId="77777777" w:rsidR="00AD7A81" w:rsidRDefault="00AD7A81" w:rsidP="00B947A6">
      <w:pPr>
        <w:spacing w:after="0" w:line="240" w:lineRule="auto"/>
      </w:pPr>
      <w:r>
        <w:separator/>
      </w:r>
    </w:p>
  </w:footnote>
  <w:footnote w:type="continuationSeparator" w:id="0">
    <w:p w14:paraId="5B21B389" w14:textId="77777777" w:rsidR="00AD7A81" w:rsidRDefault="00AD7A81" w:rsidP="00B947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7960F2"/>
    <w:multiLevelType w:val="multilevel"/>
    <w:tmpl w:val="E89AE0EE"/>
    <w:lvl w:ilvl="0">
      <w:start w:val="1"/>
      <w:numFmt w:val="decimal"/>
      <w:lvlText w:val="%1."/>
      <w:lvlJc w:val="left"/>
      <w:pPr>
        <w:ind w:left="720" w:hanging="36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9778836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E65"/>
    <w:rsid w:val="001852EB"/>
    <w:rsid w:val="00345357"/>
    <w:rsid w:val="004A0E42"/>
    <w:rsid w:val="005D31EA"/>
    <w:rsid w:val="0075413F"/>
    <w:rsid w:val="00920E65"/>
    <w:rsid w:val="009268FA"/>
    <w:rsid w:val="00AD7A81"/>
    <w:rsid w:val="00B947A6"/>
    <w:rsid w:val="00D26055"/>
    <w:rsid w:val="00F52B7F"/>
    <w:rsid w:val="00F71671"/>
    <w:rsid w:val="00FE4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1CE2E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0E65"/>
    <w:rPr>
      <w:rFonts w:ascii="Arial" w:hAnsi="Arial"/>
      <w:sz w:val="24"/>
    </w:rPr>
  </w:style>
  <w:style w:type="paragraph" w:styleId="Heading1">
    <w:name w:val="heading 1"/>
    <w:basedOn w:val="Normal"/>
    <w:next w:val="Normal"/>
    <w:link w:val="Heading1Char"/>
    <w:uiPriority w:val="9"/>
    <w:qFormat/>
    <w:rsid w:val="00920E65"/>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920E65"/>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920E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0E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0E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0E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0E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0E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0E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E65"/>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920E65"/>
    <w:rPr>
      <w:rFonts w:ascii="Arial" w:eastAsiaTheme="majorEastAsia" w:hAnsi="Arial" w:cstheme="majorBidi"/>
      <w:b/>
      <w:sz w:val="26"/>
      <w:szCs w:val="32"/>
    </w:rPr>
  </w:style>
  <w:style w:type="character" w:customStyle="1" w:styleId="Heading3Char">
    <w:name w:val="Heading 3 Char"/>
    <w:basedOn w:val="DefaultParagraphFont"/>
    <w:link w:val="Heading3"/>
    <w:uiPriority w:val="9"/>
    <w:semiHidden/>
    <w:rsid w:val="00920E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0E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0E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0E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0E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0E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0E65"/>
    <w:rPr>
      <w:rFonts w:eastAsiaTheme="majorEastAsia" w:cstheme="majorBidi"/>
      <w:color w:val="272727" w:themeColor="text1" w:themeTint="D8"/>
    </w:rPr>
  </w:style>
  <w:style w:type="paragraph" w:styleId="Title">
    <w:name w:val="Title"/>
    <w:basedOn w:val="Normal"/>
    <w:next w:val="Normal"/>
    <w:link w:val="TitleChar"/>
    <w:uiPriority w:val="10"/>
    <w:qFormat/>
    <w:rsid w:val="00920E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0E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0E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0E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0E65"/>
    <w:pPr>
      <w:spacing w:before="160"/>
      <w:jc w:val="center"/>
    </w:pPr>
    <w:rPr>
      <w:i/>
      <w:iCs/>
      <w:color w:val="404040" w:themeColor="text1" w:themeTint="BF"/>
    </w:rPr>
  </w:style>
  <w:style w:type="character" w:customStyle="1" w:styleId="QuoteChar">
    <w:name w:val="Quote Char"/>
    <w:basedOn w:val="DefaultParagraphFont"/>
    <w:link w:val="Quote"/>
    <w:uiPriority w:val="29"/>
    <w:rsid w:val="00920E65"/>
    <w:rPr>
      <w:i/>
      <w:iCs/>
      <w:color w:val="404040" w:themeColor="text1" w:themeTint="BF"/>
    </w:rPr>
  </w:style>
  <w:style w:type="paragraph" w:styleId="ListParagraph">
    <w:name w:val="List Paragraph"/>
    <w:basedOn w:val="Normal"/>
    <w:uiPriority w:val="34"/>
    <w:qFormat/>
    <w:rsid w:val="00920E65"/>
    <w:pPr>
      <w:ind w:left="720"/>
      <w:contextualSpacing/>
    </w:pPr>
  </w:style>
  <w:style w:type="character" w:styleId="IntenseEmphasis">
    <w:name w:val="Intense Emphasis"/>
    <w:basedOn w:val="DefaultParagraphFont"/>
    <w:uiPriority w:val="21"/>
    <w:qFormat/>
    <w:rsid w:val="00920E65"/>
    <w:rPr>
      <w:i/>
      <w:iCs/>
      <w:color w:val="0F4761" w:themeColor="accent1" w:themeShade="BF"/>
    </w:rPr>
  </w:style>
  <w:style w:type="paragraph" w:styleId="IntenseQuote">
    <w:name w:val="Intense Quote"/>
    <w:basedOn w:val="Normal"/>
    <w:next w:val="Normal"/>
    <w:link w:val="IntenseQuoteChar"/>
    <w:uiPriority w:val="30"/>
    <w:qFormat/>
    <w:rsid w:val="00920E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0E65"/>
    <w:rPr>
      <w:i/>
      <w:iCs/>
      <w:color w:val="0F4761" w:themeColor="accent1" w:themeShade="BF"/>
    </w:rPr>
  </w:style>
  <w:style w:type="character" w:styleId="IntenseReference">
    <w:name w:val="Intense Reference"/>
    <w:basedOn w:val="DefaultParagraphFont"/>
    <w:uiPriority w:val="32"/>
    <w:qFormat/>
    <w:rsid w:val="00920E65"/>
    <w:rPr>
      <w:b/>
      <w:bCs/>
      <w:smallCaps/>
      <w:color w:val="0F4761" w:themeColor="accent1" w:themeShade="BF"/>
      <w:spacing w:val="5"/>
    </w:rPr>
  </w:style>
  <w:style w:type="character" w:styleId="Hyperlink">
    <w:name w:val="Hyperlink"/>
    <w:basedOn w:val="DefaultParagraphFont"/>
    <w:uiPriority w:val="99"/>
    <w:unhideWhenUsed/>
    <w:rsid w:val="00D26055"/>
    <w:rPr>
      <w:color w:val="467886" w:themeColor="hyperlink"/>
      <w:u w:val="single"/>
    </w:rPr>
  </w:style>
  <w:style w:type="character" w:styleId="UnresolvedMention">
    <w:name w:val="Unresolved Mention"/>
    <w:basedOn w:val="DefaultParagraphFont"/>
    <w:uiPriority w:val="99"/>
    <w:semiHidden/>
    <w:unhideWhenUsed/>
    <w:rsid w:val="00D26055"/>
    <w:rPr>
      <w:color w:val="605E5C"/>
      <w:shd w:val="clear" w:color="auto" w:fill="E1DFDD"/>
    </w:rPr>
  </w:style>
  <w:style w:type="paragraph" w:styleId="TOCHeading">
    <w:name w:val="TOC Heading"/>
    <w:basedOn w:val="Heading1"/>
    <w:next w:val="Normal"/>
    <w:uiPriority w:val="39"/>
    <w:unhideWhenUsed/>
    <w:qFormat/>
    <w:rsid w:val="00D26055"/>
    <w:pPr>
      <w:spacing w:before="240" w:after="0"/>
      <w:outlineLvl w:val="9"/>
    </w:pPr>
    <w:rPr>
      <w:rFonts w:asciiTheme="majorHAnsi" w:hAnsiTheme="majorHAnsi"/>
      <w:b w:val="0"/>
      <w:color w:val="0F4761" w:themeColor="accent1" w:themeShade="BF"/>
      <w:kern w:val="0"/>
      <w:sz w:val="32"/>
      <w:szCs w:val="32"/>
      <w:lang w:eastAsia="en-GB"/>
      <w14:ligatures w14:val="none"/>
    </w:rPr>
  </w:style>
  <w:style w:type="paragraph" w:styleId="TOC2">
    <w:name w:val="toc 2"/>
    <w:basedOn w:val="Normal"/>
    <w:next w:val="Normal"/>
    <w:autoRedefine/>
    <w:uiPriority w:val="39"/>
    <w:unhideWhenUsed/>
    <w:rsid w:val="00D26055"/>
    <w:pPr>
      <w:spacing w:after="100"/>
      <w:ind w:left="220"/>
    </w:pPr>
    <w:rPr>
      <w:rFonts w:asciiTheme="minorHAnsi" w:eastAsiaTheme="minorEastAsia" w:hAnsiTheme="minorHAnsi" w:cs="Times New Roman"/>
      <w:kern w:val="0"/>
      <w:sz w:val="22"/>
      <w:lang w:eastAsia="en-GB"/>
      <w14:ligatures w14:val="none"/>
    </w:rPr>
  </w:style>
  <w:style w:type="paragraph" w:styleId="TOC1">
    <w:name w:val="toc 1"/>
    <w:basedOn w:val="Normal"/>
    <w:next w:val="Normal"/>
    <w:autoRedefine/>
    <w:uiPriority w:val="39"/>
    <w:unhideWhenUsed/>
    <w:rsid w:val="00D26055"/>
    <w:pPr>
      <w:spacing w:after="100"/>
    </w:pPr>
    <w:rPr>
      <w:rFonts w:asciiTheme="minorHAnsi" w:eastAsiaTheme="minorEastAsia" w:hAnsiTheme="minorHAnsi" w:cs="Times New Roman"/>
      <w:kern w:val="0"/>
      <w:sz w:val="22"/>
      <w:lang w:eastAsia="en-GB"/>
      <w14:ligatures w14:val="none"/>
    </w:rPr>
  </w:style>
  <w:style w:type="paragraph" w:styleId="TOC3">
    <w:name w:val="toc 3"/>
    <w:basedOn w:val="Normal"/>
    <w:next w:val="Normal"/>
    <w:autoRedefine/>
    <w:uiPriority w:val="39"/>
    <w:unhideWhenUsed/>
    <w:rsid w:val="00D26055"/>
    <w:pPr>
      <w:spacing w:after="100"/>
      <w:ind w:left="440"/>
    </w:pPr>
    <w:rPr>
      <w:rFonts w:asciiTheme="minorHAnsi" w:eastAsiaTheme="minorEastAsia" w:hAnsiTheme="minorHAnsi" w:cs="Times New Roman"/>
      <w:kern w:val="0"/>
      <w:sz w:val="22"/>
      <w:lang w:eastAsia="en-GB"/>
      <w14:ligatures w14:val="none"/>
    </w:rPr>
  </w:style>
  <w:style w:type="paragraph" w:styleId="NoSpacing">
    <w:name w:val="No Spacing"/>
    <w:link w:val="NoSpacingChar"/>
    <w:uiPriority w:val="1"/>
    <w:qFormat/>
    <w:rsid w:val="00D26055"/>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D26055"/>
    <w:rPr>
      <w:rFonts w:eastAsiaTheme="minorEastAsia"/>
      <w:kern w:val="0"/>
      <w:lang w:eastAsia="en-GB"/>
      <w14:ligatures w14:val="none"/>
    </w:rPr>
  </w:style>
  <w:style w:type="paragraph" w:styleId="Header">
    <w:name w:val="header"/>
    <w:basedOn w:val="Normal"/>
    <w:link w:val="HeaderChar"/>
    <w:uiPriority w:val="99"/>
    <w:unhideWhenUsed/>
    <w:rsid w:val="00B947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47A6"/>
    <w:rPr>
      <w:rFonts w:ascii="Arial" w:hAnsi="Arial"/>
      <w:sz w:val="24"/>
    </w:rPr>
  </w:style>
  <w:style w:type="paragraph" w:styleId="Footer">
    <w:name w:val="footer"/>
    <w:basedOn w:val="Normal"/>
    <w:link w:val="FooterChar"/>
    <w:uiPriority w:val="99"/>
    <w:unhideWhenUsed/>
    <w:rsid w:val="00B947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7A6"/>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mmt.co.uk/vehicle-data/car-registration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acfoundation.org/data/electric-vehicle-adoptio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statistics/electric-vehicle-public-charging-infrastructure-statistics-october-2025" TargetMode="External"/><Relationship Id="rId5" Type="http://schemas.openxmlformats.org/officeDocument/2006/relationships/webSettings" Target="webSettings.xml"/><Relationship Id="rId15" Type="http://schemas.openxmlformats.org/officeDocument/2006/relationships/hyperlink" Target="https://www.gov.uk/government/publications/electric-vehicle-battery-recycling-and-safety-guidance" TargetMode="External"/><Relationship Id="rId10" Type="http://schemas.openxmlformats.org/officeDocument/2006/relationships/hyperlink" Target="https://www.theccc.org.uk/publication/progress-in-reducing-emissions-2025-report-to-parlia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zero-emission-vehicle-zev-mand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7855BD-3389-4C63-9A09-D59E8D3252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2222</Words>
  <Characters>12672</Characters>
  <Application>Microsoft Office Word</Application>
  <DocSecurity>0</DocSecurity>
  <Lines>105</Lines>
  <Paragraphs>29</Paragraphs>
  <ScaleCrop>false</ScaleCrop>
  <Company/>
  <LinksUpToDate>false</LinksUpToDate>
  <CharactersWithSpaces>14865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2025-12-05T21:29:00Z</dcterms:created>
  <dcterms:modified xsi:type="dcterms:W3CDTF">2025-12-05T21:29:00Z</dcterms:modified>
</cp:coreProperties>
</file>