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9B3D89" w:rsidRDefault="000B4498">
      <w:pPr>
        <w:ind w:left="-180" w:right="-334"/>
      </w:pPr>
      <w:r>
        <w:rPr>
          <w:noProof/>
        </w:rPr>
        <w:drawing>
          <wp:inline distT="0" distB="0" distL="114300" distR="114300">
            <wp:extent cx="1908175" cy="635635"/>
            <wp:effectExtent l="0" t="0" r="0" b="0"/>
            <wp:docPr id="1" name="image01.png"/>
            <wp:cNvGraphicFramePr/>
            <a:graphic xmlns:a="http://schemas.openxmlformats.org/drawingml/2006/main">
              <a:graphicData uri="http://schemas.openxmlformats.org/drawingml/2006/picture">
                <pic:pic xmlns:pic="http://schemas.openxmlformats.org/drawingml/2006/picture">
                  <pic:nvPicPr>
                    <pic:cNvPr id="0" name="image01.png"/>
                    <pic:cNvPicPr preferRelativeResize="0"/>
                  </pic:nvPicPr>
                  <pic:blipFill>
                    <a:blip r:embed="rId7"/>
                    <a:srcRect/>
                    <a:stretch>
                      <a:fillRect/>
                    </a:stretch>
                  </pic:blipFill>
                  <pic:spPr>
                    <a:xfrm>
                      <a:off x="0" y="0"/>
                      <a:ext cx="1908175" cy="635635"/>
                    </a:xfrm>
                    <a:prstGeom prst="rect">
                      <a:avLst/>
                    </a:prstGeom>
                    <a:ln/>
                  </pic:spPr>
                </pic:pic>
              </a:graphicData>
            </a:graphic>
          </wp:inline>
        </w:drawing>
      </w:r>
    </w:p>
    <w:p w:rsidR="009B3D89" w:rsidRDefault="009B3D89">
      <w:pPr>
        <w:ind w:left="-180" w:right="-334"/>
      </w:pPr>
    </w:p>
    <w:p w:rsidR="009B3D89" w:rsidRDefault="009B3D89">
      <w:pPr>
        <w:ind w:left="-180" w:right="-334"/>
      </w:pPr>
    </w:p>
    <w:p w:rsidR="009B3D89" w:rsidRDefault="000B4498">
      <w:pPr>
        <w:ind w:left="-180" w:right="-334"/>
        <w:jc w:val="center"/>
      </w:pPr>
      <w:r>
        <w:rPr>
          <w:rFonts w:ascii="Arial" w:eastAsia="Arial" w:hAnsi="Arial" w:cs="Arial"/>
          <w:b/>
          <w:sz w:val="28"/>
          <w:szCs w:val="28"/>
        </w:rPr>
        <w:t xml:space="preserve">Postgraduate/Distance Learning </w:t>
      </w:r>
    </w:p>
    <w:p w:rsidR="009B3D89" w:rsidRDefault="000B4498">
      <w:pPr>
        <w:ind w:left="-180" w:right="-334"/>
        <w:jc w:val="center"/>
      </w:pPr>
      <w:r>
        <w:rPr>
          <w:rFonts w:ascii="Arial" w:eastAsia="Arial" w:hAnsi="Arial" w:cs="Arial"/>
          <w:b/>
          <w:sz w:val="28"/>
          <w:szCs w:val="28"/>
        </w:rPr>
        <w:t>Assignment coversheet &amp; feedback form</w:t>
      </w:r>
    </w:p>
    <w:p w:rsidR="009B3D89" w:rsidRDefault="009B3D89"/>
    <w:p w:rsidR="009B3D89" w:rsidRDefault="000B4498">
      <w:pPr>
        <w:pStyle w:val="Heading3"/>
        <w:jc w:val="center"/>
      </w:pPr>
      <w:r>
        <w:t>THIS SHEET MUST BE THE FIRST PAGE OF THE ASSIGNMENT YOU ARE SUBMITTING  (DO NOT SEND AS A SEPARATE FILE)</w:t>
      </w:r>
    </w:p>
    <w:p w:rsidR="009B3D89" w:rsidRDefault="009B3D89">
      <w:pPr>
        <w:pStyle w:val="Heading3"/>
        <w:jc w:val="center"/>
      </w:pPr>
    </w:p>
    <w:tbl>
      <w:tblPr>
        <w:tblStyle w:val="a0"/>
        <w:tblW w:w="885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88"/>
        <w:gridCol w:w="423"/>
        <w:gridCol w:w="1557"/>
        <w:gridCol w:w="286"/>
        <w:gridCol w:w="1802"/>
      </w:tblGrid>
      <w:tr w:rsidR="009B3D89">
        <w:trPr>
          <w:trHeight w:val="600"/>
        </w:trPr>
        <w:tc>
          <w:tcPr>
            <w:tcW w:w="8856" w:type="dxa"/>
            <w:gridSpan w:val="5"/>
          </w:tcPr>
          <w:p w:rsidR="009B3D89" w:rsidRDefault="000B4498">
            <w:pPr>
              <w:ind w:right="34"/>
            </w:pPr>
            <w:r>
              <w:rPr>
                <w:rFonts w:ascii="Arial" w:eastAsia="Arial" w:hAnsi="Arial" w:cs="Arial"/>
                <w:b/>
                <w:sz w:val="22"/>
                <w:szCs w:val="22"/>
              </w:rPr>
              <w:t>For completion by the student</w:t>
            </w:r>
            <w:r>
              <w:rPr>
                <w:rFonts w:ascii="Arial" w:eastAsia="Arial" w:hAnsi="Arial" w:cs="Arial"/>
                <w:sz w:val="22"/>
                <w:szCs w:val="22"/>
              </w:rPr>
              <w:t>:</w:t>
            </w:r>
          </w:p>
        </w:tc>
      </w:tr>
      <w:tr w:rsidR="009B3D89">
        <w:trPr>
          <w:trHeight w:val="700"/>
        </w:trPr>
        <w:tc>
          <w:tcPr>
            <w:tcW w:w="8856" w:type="dxa"/>
            <w:gridSpan w:val="5"/>
          </w:tcPr>
          <w:p w:rsidR="009B3D89" w:rsidRDefault="000B4498">
            <w:pPr>
              <w:ind w:right="34"/>
            </w:pPr>
            <w:r>
              <w:rPr>
                <w:rFonts w:ascii="Arial" w:eastAsia="Arial" w:hAnsi="Arial" w:cs="Arial"/>
                <w:sz w:val="22"/>
                <w:szCs w:val="22"/>
              </w:rPr>
              <w:t xml:space="preserve">Student Name: </w:t>
            </w:r>
            <w:proofErr w:type="spellStart"/>
            <w:r>
              <w:rPr>
                <w:rFonts w:ascii="Arial" w:eastAsia="Arial" w:hAnsi="Arial" w:cs="Arial"/>
                <w:sz w:val="22"/>
                <w:szCs w:val="22"/>
              </w:rPr>
              <w:t>Maayan</w:t>
            </w:r>
            <w:proofErr w:type="spellEnd"/>
            <w:r>
              <w:rPr>
                <w:rFonts w:ascii="Arial" w:eastAsia="Arial" w:hAnsi="Arial" w:cs="Arial"/>
                <w:sz w:val="22"/>
                <w:szCs w:val="22"/>
              </w:rPr>
              <w:t xml:space="preserve"> </w:t>
            </w:r>
            <w:proofErr w:type="spellStart"/>
            <w:r>
              <w:rPr>
                <w:rFonts w:ascii="Arial" w:eastAsia="Arial" w:hAnsi="Arial" w:cs="Arial"/>
                <w:sz w:val="22"/>
                <w:szCs w:val="22"/>
              </w:rPr>
              <w:t>Medzini</w:t>
            </w:r>
            <w:proofErr w:type="spellEnd"/>
          </w:p>
          <w:p w:rsidR="009B3D89" w:rsidRDefault="009B3D89">
            <w:pPr>
              <w:ind w:right="34"/>
            </w:pPr>
          </w:p>
          <w:p w:rsidR="009B3D89" w:rsidRDefault="000B4498">
            <w:pPr>
              <w:ind w:right="34"/>
            </w:pPr>
            <w:r>
              <w:rPr>
                <w:rFonts w:ascii="Arial" w:eastAsia="Arial" w:hAnsi="Arial" w:cs="Arial"/>
                <w:sz w:val="22"/>
                <w:szCs w:val="22"/>
              </w:rPr>
              <w:t xml:space="preserve">Student </w:t>
            </w:r>
            <w:r>
              <w:rPr>
                <w:rFonts w:ascii="Arial" w:eastAsia="Arial" w:hAnsi="Arial" w:cs="Arial"/>
                <w:b/>
                <w:sz w:val="22"/>
                <w:szCs w:val="22"/>
                <w:u w:val="single"/>
              </w:rPr>
              <w:t>University</w:t>
            </w:r>
            <w:r>
              <w:rPr>
                <w:rFonts w:ascii="Arial" w:eastAsia="Arial" w:hAnsi="Arial" w:cs="Arial"/>
                <w:sz w:val="22"/>
                <w:szCs w:val="22"/>
                <w:u w:val="single"/>
              </w:rPr>
              <w:t xml:space="preserve"> </w:t>
            </w:r>
            <w:r>
              <w:rPr>
                <w:rFonts w:ascii="Arial" w:eastAsia="Arial" w:hAnsi="Arial" w:cs="Arial"/>
                <w:sz w:val="22"/>
                <w:szCs w:val="22"/>
              </w:rPr>
              <w:t xml:space="preserve">Email: </w:t>
            </w:r>
            <w:hyperlink r:id="rId8">
              <w:r>
                <w:rPr>
                  <w:rFonts w:ascii="Tahoma" w:eastAsia="Tahoma" w:hAnsi="Tahoma" w:cs="Tahoma"/>
                  <w:color w:val="1155CC"/>
                  <w:sz w:val="21"/>
                  <w:szCs w:val="21"/>
                  <w:highlight w:val="white"/>
                  <w:u w:val="single"/>
                </w:rPr>
                <w:t>1601934@student.uwtsd.ac.uk</w:t>
              </w:r>
            </w:hyperlink>
            <w:hyperlink r:id="rId9"/>
          </w:p>
        </w:tc>
      </w:tr>
      <w:tr w:rsidR="009B3D89">
        <w:trPr>
          <w:trHeight w:val="840"/>
        </w:trPr>
        <w:tc>
          <w:tcPr>
            <w:tcW w:w="4788" w:type="dxa"/>
          </w:tcPr>
          <w:p w:rsidR="009B3D89" w:rsidRDefault="000B4498">
            <w:pPr>
              <w:ind w:right="34"/>
            </w:pPr>
            <w:r>
              <w:rPr>
                <w:rFonts w:ascii="Arial" w:eastAsia="Arial" w:hAnsi="Arial" w:cs="Arial"/>
                <w:sz w:val="22"/>
                <w:szCs w:val="22"/>
              </w:rPr>
              <w:t>Module code:</w:t>
            </w:r>
            <w:r>
              <w:rPr>
                <w:rFonts w:ascii="inherit" w:eastAsia="inherit" w:hAnsi="inherit" w:cs="inherit"/>
                <w:sz w:val="21"/>
                <w:szCs w:val="21"/>
              </w:rPr>
              <w:t xml:space="preserve"> </w:t>
            </w:r>
            <w:r w:rsidR="00F34D58">
              <w:rPr>
                <w:rFonts w:ascii="Arial" w:eastAsia="Arial" w:hAnsi="Arial" w:cs="Arial"/>
                <w:sz w:val="22"/>
                <w:szCs w:val="22"/>
              </w:rPr>
              <w:t>AHAN70</w:t>
            </w:r>
            <w:r w:rsidR="007D34F4">
              <w:rPr>
                <w:rFonts w:ascii="Arial" w:eastAsia="Arial" w:hAnsi="Arial" w:cs="Arial"/>
                <w:sz w:val="22"/>
                <w:szCs w:val="22"/>
              </w:rPr>
              <w:t>43</w:t>
            </w:r>
          </w:p>
          <w:p w:rsidR="009B3D89" w:rsidRDefault="009B3D89">
            <w:pPr>
              <w:ind w:right="34"/>
            </w:pPr>
          </w:p>
          <w:p w:rsidR="009B3D89" w:rsidRDefault="000B4498">
            <w:pPr>
              <w:ind w:right="34"/>
            </w:pPr>
            <w:r>
              <w:rPr>
                <w:rFonts w:ascii="Arial" w:eastAsia="Arial" w:hAnsi="Arial" w:cs="Arial"/>
                <w:sz w:val="22"/>
                <w:szCs w:val="22"/>
              </w:rPr>
              <w:t>Module title:</w:t>
            </w:r>
            <w:r>
              <w:rPr>
                <w:rFonts w:ascii="inherit" w:eastAsia="inherit" w:hAnsi="inherit" w:cs="inherit"/>
                <w:sz w:val="21"/>
                <w:szCs w:val="21"/>
              </w:rPr>
              <w:t xml:space="preserve"> </w:t>
            </w:r>
            <w:r w:rsidR="007D34F4">
              <w:rPr>
                <w:rFonts w:ascii="Arial" w:eastAsia="Arial" w:hAnsi="Arial" w:cs="Arial"/>
                <w:sz w:val="22"/>
                <w:szCs w:val="22"/>
              </w:rPr>
              <w:t>Skyscapes, Cosmology and Archeology</w:t>
            </w:r>
          </w:p>
          <w:p w:rsidR="009B3D89" w:rsidRDefault="009B3D89">
            <w:pPr>
              <w:ind w:right="34"/>
            </w:pPr>
          </w:p>
        </w:tc>
        <w:tc>
          <w:tcPr>
            <w:tcW w:w="2266" w:type="dxa"/>
            <w:gridSpan w:val="3"/>
          </w:tcPr>
          <w:p w:rsidR="009B3D89" w:rsidRDefault="000B4498">
            <w:pPr>
              <w:ind w:right="34"/>
            </w:pPr>
            <w:r>
              <w:rPr>
                <w:rFonts w:ascii="Arial" w:eastAsia="Arial" w:hAnsi="Arial" w:cs="Arial"/>
                <w:sz w:val="22"/>
                <w:szCs w:val="22"/>
              </w:rPr>
              <w:t>Student ID number:</w:t>
            </w:r>
          </w:p>
          <w:p w:rsidR="009B3D89" w:rsidRDefault="000B4498">
            <w:pPr>
              <w:ind w:right="34"/>
            </w:pPr>
            <w:r>
              <w:rPr>
                <w:rFonts w:ascii="Arial" w:eastAsia="Arial" w:hAnsi="Arial" w:cs="Arial"/>
                <w:sz w:val="22"/>
                <w:szCs w:val="22"/>
              </w:rPr>
              <w:t>1601934</w:t>
            </w:r>
          </w:p>
        </w:tc>
        <w:tc>
          <w:tcPr>
            <w:tcW w:w="1802" w:type="dxa"/>
          </w:tcPr>
          <w:p w:rsidR="009B3D89" w:rsidRDefault="000B4498">
            <w:pPr>
              <w:ind w:right="34"/>
            </w:pPr>
            <w:r>
              <w:rPr>
                <w:rFonts w:ascii="Arial" w:eastAsia="Arial" w:hAnsi="Arial" w:cs="Arial"/>
                <w:sz w:val="22"/>
                <w:szCs w:val="22"/>
              </w:rPr>
              <w:t>Educational support needs:</w:t>
            </w:r>
          </w:p>
          <w:p w:rsidR="009B3D89" w:rsidRDefault="000B4498">
            <w:pPr>
              <w:ind w:right="34"/>
            </w:pPr>
            <w:r>
              <w:rPr>
                <w:rFonts w:ascii="Arial" w:eastAsia="Arial" w:hAnsi="Arial" w:cs="Arial"/>
                <w:sz w:val="22"/>
                <w:szCs w:val="22"/>
              </w:rPr>
              <w:t>No</w:t>
            </w:r>
          </w:p>
        </w:tc>
      </w:tr>
      <w:tr w:rsidR="009B3D89">
        <w:trPr>
          <w:trHeight w:val="1120"/>
        </w:trPr>
        <w:tc>
          <w:tcPr>
            <w:tcW w:w="8856" w:type="dxa"/>
            <w:gridSpan w:val="5"/>
          </w:tcPr>
          <w:p w:rsidR="009B3D89" w:rsidRDefault="000B4498">
            <w:r>
              <w:rPr>
                <w:rFonts w:ascii="Arial" w:eastAsia="Arial" w:hAnsi="Arial" w:cs="Arial"/>
                <w:sz w:val="22"/>
                <w:szCs w:val="22"/>
              </w:rPr>
              <w:t xml:space="preserve">Assignment title: </w:t>
            </w:r>
            <w:r w:rsidR="007D34F4">
              <w:rPr>
                <w:b/>
                <w:bCs/>
              </w:rPr>
              <w:t>Compare and Contrast</w:t>
            </w:r>
          </w:p>
          <w:p w:rsidR="009B3D89" w:rsidRDefault="009B3D89">
            <w:pPr>
              <w:ind w:right="34"/>
            </w:pPr>
          </w:p>
          <w:p w:rsidR="009B3D89" w:rsidRDefault="009B3D89">
            <w:pPr>
              <w:ind w:right="34"/>
            </w:pPr>
          </w:p>
          <w:p w:rsidR="009B3D89" w:rsidRDefault="000B4498">
            <w:pPr>
              <w:ind w:right="34"/>
            </w:pPr>
            <w:r>
              <w:rPr>
                <w:rFonts w:ascii="Arial" w:eastAsia="Arial" w:hAnsi="Arial" w:cs="Arial"/>
                <w:sz w:val="22"/>
                <w:szCs w:val="22"/>
              </w:rPr>
              <w:t xml:space="preserve">Assignment due date: </w:t>
            </w:r>
            <w:r w:rsidR="007D34F4">
              <w:rPr>
                <w:rFonts w:ascii="Arial" w:eastAsia="Arial" w:hAnsi="Arial" w:cs="Arial"/>
                <w:sz w:val="22"/>
                <w:szCs w:val="22"/>
              </w:rPr>
              <w:t>Mar</w:t>
            </w:r>
            <w:r>
              <w:rPr>
                <w:rFonts w:ascii="Arial" w:eastAsia="Arial" w:hAnsi="Arial" w:cs="Arial"/>
                <w:sz w:val="22"/>
                <w:szCs w:val="22"/>
              </w:rPr>
              <w:t xml:space="preserve">. </w:t>
            </w:r>
            <w:r w:rsidR="007D34F4">
              <w:rPr>
                <w:rFonts w:ascii="Arial" w:eastAsia="Arial" w:hAnsi="Arial" w:cs="Arial"/>
                <w:sz w:val="22"/>
                <w:szCs w:val="22"/>
              </w:rPr>
              <w:t>5</w:t>
            </w:r>
            <w:r w:rsidR="00CA69A9">
              <w:rPr>
                <w:rFonts w:ascii="Arial" w:eastAsia="Arial" w:hAnsi="Arial" w:cs="Arial"/>
                <w:sz w:val="22"/>
                <w:szCs w:val="22"/>
              </w:rPr>
              <w:t xml:space="preserve"> 201</w:t>
            </w:r>
            <w:r w:rsidR="007D34F4">
              <w:rPr>
                <w:rFonts w:ascii="Arial" w:eastAsia="Arial" w:hAnsi="Arial" w:cs="Arial"/>
                <w:sz w:val="22"/>
                <w:szCs w:val="22"/>
              </w:rPr>
              <w:t>8</w:t>
            </w:r>
          </w:p>
        </w:tc>
      </w:tr>
      <w:tr w:rsidR="009B3D89">
        <w:trPr>
          <w:trHeight w:val="960"/>
        </w:trPr>
        <w:tc>
          <w:tcPr>
            <w:tcW w:w="8856" w:type="dxa"/>
            <w:gridSpan w:val="5"/>
            <w:tcBorders>
              <w:bottom w:val="single" w:sz="4" w:space="0" w:color="000000"/>
            </w:tcBorders>
          </w:tcPr>
          <w:p w:rsidR="009B3D89" w:rsidRDefault="000B4498">
            <w:r>
              <w:rPr>
                <w:rFonts w:ascii="Arial" w:eastAsia="Arial" w:hAnsi="Arial" w:cs="Arial"/>
                <w:sz w:val="22"/>
                <w:szCs w:val="22"/>
              </w:rPr>
              <w:t>This assignment is for the       1</w:t>
            </w:r>
            <w:proofErr w:type="gramStart"/>
            <w:r>
              <w:rPr>
                <w:rFonts w:ascii="Arial" w:eastAsia="Arial" w:hAnsi="Arial" w:cs="Arial"/>
                <w:sz w:val="22"/>
                <w:szCs w:val="22"/>
                <w:vertAlign w:val="superscript"/>
              </w:rPr>
              <w:t xml:space="preserve">st </w:t>
            </w:r>
            <w:bookmarkStart w:id="0" w:name="gjdgxs" w:colFirst="0" w:colLast="0"/>
            <w:bookmarkEnd w:id="0"/>
            <w:r>
              <w:rPr>
                <w:rFonts w:ascii="Arial" w:eastAsia="Arial" w:hAnsi="Arial" w:cs="Arial"/>
                <w:sz w:val="22"/>
                <w:szCs w:val="22"/>
              </w:rPr>
              <w:t xml:space="preserve"> </w:t>
            </w:r>
            <w:r w:rsidR="007D34F4">
              <w:rPr>
                <w:rFonts w:ascii="Arial" w:eastAsia="Arial" w:hAnsi="Arial" w:cs="Arial"/>
                <w:sz w:val="22"/>
                <w:szCs w:val="22"/>
              </w:rPr>
              <w:t>☒</w:t>
            </w:r>
            <w:proofErr w:type="gramEnd"/>
            <w:r>
              <w:rPr>
                <w:rFonts w:ascii="Arial" w:eastAsia="Arial" w:hAnsi="Arial" w:cs="Arial"/>
                <w:sz w:val="22"/>
                <w:szCs w:val="22"/>
              </w:rPr>
              <w:t xml:space="preserve">   2</w:t>
            </w:r>
            <w:r>
              <w:rPr>
                <w:rFonts w:ascii="Arial" w:eastAsia="Arial" w:hAnsi="Arial" w:cs="Arial"/>
                <w:sz w:val="22"/>
                <w:szCs w:val="22"/>
                <w:vertAlign w:val="superscript"/>
              </w:rPr>
              <w:t>nd</w:t>
            </w:r>
            <w:bookmarkStart w:id="1" w:name="30j0zll" w:colFirst="0" w:colLast="0"/>
            <w:bookmarkEnd w:id="1"/>
            <w:r>
              <w:rPr>
                <w:rFonts w:ascii="Arial" w:eastAsia="Arial" w:hAnsi="Arial" w:cs="Arial"/>
                <w:sz w:val="22"/>
                <w:szCs w:val="22"/>
              </w:rPr>
              <w:t xml:space="preserve">    </w:t>
            </w:r>
            <w:r w:rsidR="007D34F4">
              <w:rPr>
                <w:rFonts w:ascii="Arial" w:eastAsia="Arial" w:hAnsi="Arial" w:cs="Arial"/>
                <w:sz w:val="22"/>
                <w:szCs w:val="22"/>
              </w:rPr>
              <w:t>☐</w:t>
            </w:r>
            <w:r>
              <w:rPr>
                <w:rFonts w:ascii="Arial" w:eastAsia="Arial" w:hAnsi="Arial" w:cs="Arial"/>
                <w:sz w:val="22"/>
                <w:szCs w:val="22"/>
              </w:rPr>
              <w:t xml:space="preserve">   3</w:t>
            </w:r>
            <w:r>
              <w:rPr>
                <w:rFonts w:ascii="Arial" w:eastAsia="Arial" w:hAnsi="Arial" w:cs="Arial"/>
                <w:sz w:val="22"/>
                <w:szCs w:val="22"/>
                <w:vertAlign w:val="superscript"/>
              </w:rPr>
              <w:t>rd</w:t>
            </w:r>
            <w:bookmarkStart w:id="2" w:name="1fob9te" w:colFirst="0" w:colLast="0"/>
            <w:bookmarkEnd w:id="2"/>
            <w:r>
              <w:rPr>
                <w:rFonts w:ascii="Arial" w:eastAsia="Arial" w:hAnsi="Arial" w:cs="Arial"/>
                <w:sz w:val="22"/>
                <w:szCs w:val="22"/>
              </w:rPr>
              <w:t xml:space="preserve">        4</w:t>
            </w:r>
            <w:r>
              <w:rPr>
                <w:rFonts w:ascii="Arial" w:eastAsia="Arial" w:hAnsi="Arial" w:cs="Arial"/>
                <w:sz w:val="22"/>
                <w:szCs w:val="22"/>
                <w:vertAlign w:val="superscript"/>
              </w:rPr>
              <w:t>th</w:t>
            </w:r>
            <w:bookmarkStart w:id="3" w:name="3znysh7" w:colFirst="0" w:colLast="0"/>
            <w:bookmarkEnd w:id="3"/>
            <w:r>
              <w:rPr>
                <w:rFonts w:ascii="Arial" w:eastAsia="Arial" w:hAnsi="Arial" w:cs="Arial"/>
                <w:sz w:val="22"/>
                <w:szCs w:val="22"/>
              </w:rPr>
              <w:t xml:space="preserve"> ☐      5</w:t>
            </w:r>
            <w:r>
              <w:rPr>
                <w:rFonts w:ascii="Arial" w:eastAsia="Arial" w:hAnsi="Arial" w:cs="Arial"/>
                <w:sz w:val="22"/>
                <w:szCs w:val="22"/>
                <w:vertAlign w:val="superscript"/>
              </w:rPr>
              <w:t>th</w:t>
            </w:r>
            <w:bookmarkStart w:id="4" w:name="2et92p0" w:colFirst="0" w:colLast="0"/>
            <w:bookmarkEnd w:id="4"/>
            <w:r>
              <w:rPr>
                <w:rFonts w:ascii="Arial" w:eastAsia="Arial" w:hAnsi="Arial" w:cs="Arial"/>
                <w:sz w:val="22"/>
                <w:szCs w:val="22"/>
              </w:rPr>
              <w:t xml:space="preserve"> ☐      6</w:t>
            </w:r>
            <w:r>
              <w:rPr>
                <w:rFonts w:ascii="Arial" w:eastAsia="Arial" w:hAnsi="Arial" w:cs="Arial"/>
                <w:sz w:val="22"/>
                <w:szCs w:val="22"/>
                <w:vertAlign w:val="superscript"/>
              </w:rPr>
              <w:t>th</w:t>
            </w:r>
            <w:bookmarkStart w:id="5" w:name="tyjcwt" w:colFirst="0" w:colLast="0"/>
            <w:bookmarkEnd w:id="5"/>
            <w:r>
              <w:rPr>
                <w:rFonts w:ascii="Arial" w:eastAsia="Arial" w:hAnsi="Arial" w:cs="Arial"/>
                <w:sz w:val="22"/>
                <w:szCs w:val="22"/>
              </w:rPr>
              <w:t xml:space="preserve"> ☐</w:t>
            </w:r>
            <w:r>
              <w:rPr>
                <w:rFonts w:ascii="Arial" w:eastAsia="Arial" w:hAnsi="Arial" w:cs="Arial"/>
                <w:b/>
                <w:sz w:val="22"/>
                <w:szCs w:val="22"/>
              </w:rPr>
              <w:t xml:space="preserve">   </w:t>
            </w:r>
            <w:r>
              <w:rPr>
                <w:rFonts w:ascii="Arial" w:eastAsia="Arial" w:hAnsi="Arial" w:cs="Arial"/>
                <w:sz w:val="22"/>
                <w:szCs w:val="22"/>
              </w:rPr>
              <w:t>module of the degree</w:t>
            </w:r>
          </w:p>
        </w:tc>
      </w:tr>
      <w:tr w:rsidR="009B3D89">
        <w:trPr>
          <w:trHeight w:val="960"/>
        </w:trPr>
        <w:tc>
          <w:tcPr>
            <w:tcW w:w="8856" w:type="dxa"/>
            <w:gridSpan w:val="5"/>
            <w:shd w:val="clear" w:color="auto" w:fill="D9D9D9"/>
          </w:tcPr>
          <w:p w:rsidR="009B3D89" w:rsidRDefault="000B4498">
            <w:pPr>
              <w:ind w:right="34"/>
            </w:pPr>
            <w:r>
              <w:rPr>
                <w:rFonts w:ascii="Arial" w:eastAsia="Arial" w:hAnsi="Arial" w:cs="Arial"/>
                <w:sz w:val="22"/>
                <w:szCs w:val="22"/>
              </w:rPr>
              <w:t>I confirm that this is my original work and that I have adhered to the University policy on plagiarism.</w:t>
            </w:r>
          </w:p>
          <w:p w:rsidR="009B3D89" w:rsidRDefault="000B4498">
            <w:pPr>
              <w:ind w:right="34"/>
            </w:pPr>
            <w:r>
              <w:rPr>
                <w:rFonts w:ascii="Arial" w:eastAsia="Arial" w:hAnsi="Arial" w:cs="Arial"/>
                <w:sz w:val="22"/>
                <w:szCs w:val="22"/>
              </w:rPr>
              <w:t xml:space="preserve">Signed …Mayan </w:t>
            </w:r>
            <w:proofErr w:type="spellStart"/>
            <w:r>
              <w:rPr>
                <w:rFonts w:ascii="Arial" w:eastAsia="Arial" w:hAnsi="Arial" w:cs="Arial"/>
                <w:sz w:val="22"/>
                <w:szCs w:val="22"/>
              </w:rPr>
              <w:t>Medzini</w:t>
            </w:r>
            <w:proofErr w:type="spellEnd"/>
            <w:r>
              <w:rPr>
                <w:rFonts w:ascii="Arial" w:eastAsia="Arial" w:hAnsi="Arial" w:cs="Arial"/>
                <w:sz w:val="22"/>
                <w:szCs w:val="22"/>
              </w:rPr>
              <w:t xml:space="preserve"> …………………………………</w:t>
            </w:r>
          </w:p>
          <w:p w:rsidR="009B3D89" w:rsidRDefault="000B4498">
            <w:pPr>
              <w:ind w:right="34"/>
            </w:pPr>
            <w:r>
              <w:rPr>
                <w:rFonts w:ascii="Calibri" w:eastAsia="Calibri" w:hAnsi="Calibri" w:cs="Calibri"/>
                <w:b/>
              </w:rPr>
              <w:t xml:space="preserve">Email </w:t>
            </w:r>
            <w:proofErr w:type="spellStart"/>
            <w:r>
              <w:rPr>
                <w:rFonts w:ascii="Calibri" w:eastAsia="Calibri" w:hAnsi="Calibri" w:cs="Calibri"/>
                <w:b/>
              </w:rPr>
              <w:t>submission:if</w:t>
            </w:r>
            <w:proofErr w:type="spellEnd"/>
            <w:r>
              <w:rPr>
                <w:rFonts w:ascii="Calibri" w:eastAsia="Calibri" w:hAnsi="Calibri" w:cs="Calibri"/>
                <w:b/>
              </w:rPr>
              <w:t xml:space="preserve"> you are submitting this form via email, please tick this box </w:t>
            </w:r>
            <w:r>
              <w:rPr>
                <w:rFonts w:ascii="Arial" w:eastAsia="Arial" w:hAnsi="Arial" w:cs="Arial"/>
                <w:sz w:val="22"/>
                <w:szCs w:val="22"/>
              </w:rPr>
              <w:t>☒</w:t>
            </w:r>
          </w:p>
          <w:p w:rsidR="009B3D89" w:rsidRDefault="000B4498">
            <w:pPr>
              <w:ind w:right="34"/>
            </w:pPr>
            <w:r>
              <w:rPr>
                <w:rFonts w:ascii="Calibri" w:eastAsia="Calibri" w:hAnsi="Calibri" w:cs="Calibri"/>
                <w:b/>
              </w:rPr>
              <w:t>(as a substitute for your signature) to confirm that you agree to the above declaration.</w:t>
            </w:r>
          </w:p>
        </w:tc>
      </w:tr>
      <w:tr w:rsidR="009B3D89">
        <w:trPr>
          <w:trHeight w:val="3960"/>
        </w:trPr>
        <w:tc>
          <w:tcPr>
            <w:tcW w:w="8856" w:type="dxa"/>
            <w:gridSpan w:val="5"/>
          </w:tcPr>
          <w:p w:rsidR="009B3D89" w:rsidRDefault="009B3D89"/>
          <w:p w:rsidR="009B3D89" w:rsidRDefault="000B4498">
            <w:r>
              <w:rPr>
                <w:rFonts w:ascii="Arial" w:eastAsia="Arial" w:hAnsi="Arial" w:cs="Arial"/>
                <w:b/>
              </w:rPr>
              <w:t>Assignment Mark</w:t>
            </w:r>
          </w:p>
          <w:tbl>
            <w:tblPr>
              <w:tblStyle w:val="a"/>
              <w:tblW w:w="8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9B3D89">
              <w:tc>
                <w:tcPr>
                  <w:tcW w:w="6970" w:type="dxa"/>
                </w:tcPr>
                <w:p w:rsidR="009B3D89" w:rsidRDefault="009B3D89"/>
                <w:p w:rsidR="009B3D89" w:rsidRDefault="000B4498">
                  <w:r>
                    <w:rPr>
                      <w:rFonts w:ascii="Arial" w:eastAsia="Arial" w:hAnsi="Arial" w:cs="Arial"/>
                      <w:sz w:val="20"/>
                      <w:szCs w:val="20"/>
                    </w:rPr>
                    <w:t>1</w:t>
                  </w:r>
                  <w:r>
                    <w:rPr>
                      <w:rFonts w:ascii="Arial" w:eastAsia="Arial" w:hAnsi="Arial" w:cs="Arial"/>
                      <w:sz w:val="20"/>
                      <w:szCs w:val="20"/>
                      <w:vertAlign w:val="superscript"/>
                    </w:rPr>
                    <w:t>st</w:t>
                  </w:r>
                  <w:r>
                    <w:rPr>
                      <w:rFonts w:ascii="Arial" w:eastAsia="Arial" w:hAnsi="Arial" w:cs="Arial"/>
                      <w:sz w:val="20"/>
                      <w:szCs w:val="20"/>
                    </w:rPr>
                    <w:t xml:space="preserve"> Marker’s Provisional mark</w:t>
                  </w:r>
                </w:p>
              </w:tc>
              <w:tc>
                <w:tcPr>
                  <w:tcW w:w="1660" w:type="dxa"/>
                </w:tcPr>
                <w:p w:rsidR="009B3D89" w:rsidRDefault="009B3D89"/>
              </w:tc>
            </w:tr>
            <w:tr w:rsidR="009B3D89">
              <w:tc>
                <w:tcPr>
                  <w:tcW w:w="6970" w:type="dxa"/>
                </w:tcPr>
                <w:p w:rsidR="009B3D89" w:rsidRDefault="009B3D89"/>
                <w:p w:rsidR="009B3D89" w:rsidRDefault="000B4498">
                  <w:r>
                    <w:rPr>
                      <w:rFonts w:ascii="Arial" w:eastAsia="Arial" w:hAnsi="Arial" w:cs="Arial"/>
                      <w:sz w:val="20"/>
                      <w:szCs w:val="20"/>
                    </w:rPr>
                    <w:t>2</w:t>
                  </w:r>
                  <w:r>
                    <w:rPr>
                      <w:rFonts w:ascii="Arial" w:eastAsia="Arial" w:hAnsi="Arial" w:cs="Arial"/>
                      <w:sz w:val="20"/>
                      <w:szCs w:val="20"/>
                      <w:vertAlign w:val="superscript"/>
                    </w:rPr>
                    <w:t>nd</w:t>
                  </w:r>
                  <w:r>
                    <w:rPr>
                      <w:rFonts w:ascii="Arial" w:eastAsia="Arial" w:hAnsi="Arial" w:cs="Arial"/>
                      <w:sz w:val="20"/>
                      <w:szCs w:val="20"/>
                    </w:rPr>
                    <w:t xml:space="preserve"> Marker’s/Moderator’s provisional mark</w:t>
                  </w:r>
                </w:p>
              </w:tc>
              <w:tc>
                <w:tcPr>
                  <w:tcW w:w="1660" w:type="dxa"/>
                </w:tcPr>
                <w:p w:rsidR="009B3D89" w:rsidRDefault="009B3D89"/>
              </w:tc>
            </w:tr>
            <w:tr w:rsidR="009B3D89">
              <w:tc>
                <w:tcPr>
                  <w:tcW w:w="6970" w:type="dxa"/>
                </w:tcPr>
                <w:p w:rsidR="009B3D89" w:rsidRDefault="009B3D89"/>
                <w:p w:rsidR="009B3D89" w:rsidRDefault="000B4498">
                  <w:r>
                    <w:rPr>
                      <w:rFonts w:ascii="Arial" w:eastAsia="Arial" w:hAnsi="Arial" w:cs="Arial"/>
                      <w:sz w:val="20"/>
                      <w:szCs w:val="20"/>
                    </w:rPr>
                    <w:t>External Examiner’s mark (if relevant)</w:t>
                  </w:r>
                </w:p>
              </w:tc>
              <w:tc>
                <w:tcPr>
                  <w:tcW w:w="1660" w:type="dxa"/>
                </w:tcPr>
                <w:p w:rsidR="009B3D89" w:rsidRDefault="009B3D89"/>
              </w:tc>
            </w:tr>
            <w:tr w:rsidR="009B3D89">
              <w:tc>
                <w:tcPr>
                  <w:tcW w:w="6970" w:type="dxa"/>
                </w:tcPr>
                <w:p w:rsidR="009B3D89" w:rsidRDefault="009B3D89"/>
                <w:p w:rsidR="009B3D89" w:rsidRDefault="000B4498">
                  <w:r>
                    <w:rPr>
                      <w:rFonts w:ascii="Arial" w:eastAsia="Arial" w:hAnsi="Arial" w:cs="Arial"/>
                      <w:b/>
                      <w:sz w:val="20"/>
                      <w:szCs w:val="20"/>
                    </w:rPr>
                    <w:t>Final Mark</w:t>
                  </w:r>
                </w:p>
                <w:p w:rsidR="009B3D89" w:rsidRDefault="009B3D89"/>
              </w:tc>
              <w:tc>
                <w:tcPr>
                  <w:tcW w:w="1660" w:type="dxa"/>
                </w:tcPr>
                <w:p w:rsidR="009B3D89" w:rsidRDefault="009B3D89"/>
              </w:tc>
            </w:tr>
          </w:tbl>
          <w:p w:rsidR="009B3D89" w:rsidRDefault="009B3D89">
            <w:pPr>
              <w:ind w:left="142" w:right="34"/>
            </w:pPr>
          </w:p>
          <w:p w:rsidR="009B3D89" w:rsidRDefault="000B4498">
            <w:pPr>
              <w:ind w:left="142" w:right="34"/>
            </w:pPr>
            <w:r>
              <w:rPr>
                <w:rFonts w:ascii="Arial" w:eastAsia="Arial" w:hAnsi="Arial" w:cs="Arial"/>
                <w:b/>
                <w:sz w:val="22"/>
                <w:szCs w:val="22"/>
              </w:rPr>
              <w:t>NB.</w:t>
            </w:r>
            <w:r>
              <w:rPr>
                <w:rFonts w:ascii="Arial" w:eastAsia="Arial" w:hAnsi="Arial" w:cs="Arial"/>
                <w:sz w:val="22"/>
                <w:szCs w:val="22"/>
              </w:rPr>
              <w:t xml:space="preserve">  All marks are provisional until confirmed by the Final Examination Board.</w:t>
            </w:r>
          </w:p>
          <w:p w:rsidR="009B3D89" w:rsidRDefault="009B3D89"/>
          <w:p w:rsidR="009B3D89" w:rsidRDefault="009B3D89"/>
          <w:p w:rsidR="009B3D89" w:rsidRDefault="009B3D89"/>
          <w:p w:rsidR="009B3D89" w:rsidRDefault="009B3D89"/>
          <w:p w:rsidR="009B3D89" w:rsidRDefault="009B3D89"/>
          <w:p w:rsidR="009B3D89" w:rsidRDefault="000B4498">
            <w:r>
              <w:rPr>
                <w:rFonts w:ascii="Arial" w:eastAsia="Arial" w:hAnsi="Arial" w:cs="Arial"/>
                <w:b/>
                <w:sz w:val="22"/>
                <w:szCs w:val="22"/>
              </w:rPr>
              <w:t>For completion by Marker 1 :</w:t>
            </w:r>
          </w:p>
          <w:p w:rsidR="009B3D89" w:rsidRDefault="000B4498">
            <w:pPr>
              <w:spacing w:before="100" w:after="100"/>
            </w:pPr>
            <w:r>
              <w:rPr>
                <w:rFonts w:ascii="Arial" w:eastAsia="Arial" w:hAnsi="Arial" w:cs="Arial"/>
                <w:sz w:val="22"/>
                <w:szCs w:val="22"/>
              </w:rPr>
              <w:t>Comments:</w:t>
            </w:r>
          </w:p>
          <w:p w:rsidR="009B3D89" w:rsidRDefault="009B3D89">
            <w:pPr>
              <w:spacing w:before="100" w:after="100"/>
            </w:pPr>
          </w:p>
        </w:tc>
      </w:tr>
      <w:tr w:rsidR="009B3D89">
        <w:trPr>
          <w:trHeight w:val="480"/>
        </w:trPr>
        <w:tc>
          <w:tcPr>
            <w:tcW w:w="6768" w:type="dxa"/>
            <w:gridSpan w:val="3"/>
          </w:tcPr>
          <w:p w:rsidR="009B3D89" w:rsidRDefault="000B4498">
            <w:pPr>
              <w:spacing w:before="100" w:after="100"/>
              <w:ind w:left="142" w:right="34"/>
            </w:pPr>
            <w:r>
              <w:rPr>
                <w:rFonts w:ascii="Arial" w:eastAsia="Arial" w:hAnsi="Arial" w:cs="Arial"/>
                <w:sz w:val="22"/>
                <w:szCs w:val="22"/>
              </w:rPr>
              <w:t>Marker’s signature:</w:t>
            </w:r>
          </w:p>
        </w:tc>
        <w:tc>
          <w:tcPr>
            <w:tcW w:w="2088" w:type="dxa"/>
            <w:gridSpan w:val="2"/>
          </w:tcPr>
          <w:p w:rsidR="009B3D89" w:rsidRDefault="000B4498">
            <w:pPr>
              <w:spacing w:before="100"/>
              <w:ind w:left="142" w:right="34"/>
            </w:pPr>
            <w:r>
              <w:rPr>
                <w:rFonts w:ascii="Arial" w:eastAsia="Arial" w:hAnsi="Arial" w:cs="Arial"/>
                <w:sz w:val="22"/>
                <w:szCs w:val="22"/>
              </w:rPr>
              <w:t>Date:</w:t>
            </w:r>
          </w:p>
        </w:tc>
      </w:tr>
      <w:tr w:rsidR="009B3D89">
        <w:tc>
          <w:tcPr>
            <w:tcW w:w="8856" w:type="dxa"/>
            <w:gridSpan w:val="5"/>
          </w:tcPr>
          <w:p w:rsidR="009B3D89" w:rsidRDefault="009B3D89">
            <w:pPr>
              <w:ind w:right="-334"/>
            </w:pPr>
          </w:p>
          <w:p w:rsidR="009B3D89" w:rsidRDefault="000B4498">
            <w:pPr>
              <w:ind w:right="-334"/>
            </w:pPr>
            <w:r>
              <w:rPr>
                <w:rFonts w:ascii="Arial" w:eastAsia="Arial" w:hAnsi="Arial" w:cs="Arial"/>
                <w:b/>
                <w:sz w:val="22"/>
                <w:szCs w:val="22"/>
              </w:rPr>
              <w:t>For completion by Marker 2/Moderator:</w:t>
            </w:r>
          </w:p>
          <w:p w:rsidR="009B3D89" w:rsidRDefault="009B3D89">
            <w:pPr>
              <w:ind w:right="-334"/>
            </w:pPr>
          </w:p>
          <w:p w:rsidR="009B3D89" w:rsidRDefault="000B4498">
            <w:pPr>
              <w:ind w:right="-334"/>
            </w:pPr>
            <w:r>
              <w:rPr>
                <w:rFonts w:ascii="Arial" w:eastAsia="Arial" w:hAnsi="Arial" w:cs="Arial"/>
                <w:sz w:val="22"/>
                <w:szCs w:val="22"/>
              </w:rPr>
              <w:t>Comments:</w:t>
            </w:r>
          </w:p>
          <w:p w:rsidR="009B3D89" w:rsidRDefault="009B3D89">
            <w:pPr>
              <w:ind w:right="-334"/>
            </w:pPr>
          </w:p>
          <w:p w:rsidR="009B3D89" w:rsidRDefault="009B3D89">
            <w:pPr>
              <w:ind w:right="-334"/>
            </w:pPr>
          </w:p>
          <w:p w:rsidR="009B3D89" w:rsidRDefault="009B3D89">
            <w:pPr>
              <w:ind w:right="-334"/>
            </w:pPr>
          </w:p>
          <w:p w:rsidR="009B3D89" w:rsidRDefault="009B3D89">
            <w:pPr>
              <w:ind w:right="-334"/>
            </w:pPr>
          </w:p>
          <w:p w:rsidR="009B3D89" w:rsidRDefault="009B3D89">
            <w:pPr>
              <w:ind w:right="-334"/>
            </w:pPr>
          </w:p>
        </w:tc>
      </w:tr>
      <w:tr w:rsidR="009B3D89">
        <w:trPr>
          <w:trHeight w:val="720"/>
        </w:trPr>
        <w:tc>
          <w:tcPr>
            <w:tcW w:w="5211" w:type="dxa"/>
            <w:gridSpan w:val="2"/>
          </w:tcPr>
          <w:p w:rsidR="009B3D89" w:rsidRDefault="000B4498">
            <w:pPr>
              <w:ind w:right="-334"/>
            </w:pPr>
            <w:r>
              <w:rPr>
                <w:rFonts w:ascii="Arial" w:eastAsia="Arial" w:hAnsi="Arial" w:cs="Arial"/>
                <w:sz w:val="22"/>
                <w:szCs w:val="22"/>
              </w:rPr>
              <w:t>Marker’s Signature:</w:t>
            </w:r>
          </w:p>
        </w:tc>
        <w:tc>
          <w:tcPr>
            <w:tcW w:w="3645" w:type="dxa"/>
            <w:gridSpan w:val="3"/>
          </w:tcPr>
          <w:p w:rsidR="009B3D89" w:rsidRDefault="000B4498">
            <w:pPr>
              <w:ind w:right="-334"/>
            </w:pPr>
            <w:r>
              <w:rPr>
                <w:rFonts w:ascii="Arial" w:eastAsia="Arial" w:hAnsi="Arial" w:cs="Arial"/>
                <w:sz w:val="22"/>
                <w:szCs w:val="22"/>
              </w:rPr>
              <w:t>Date:</w:t>
            </w:r>
          </w:p>
        </w:tc>
      </w:tr>
      <w:tr w:rsidR="009B3D89">
        <w:trPr>
          <w:trHeight w:val="720"/>
        </w:trPr>
        <w:tc>
          <w:tcPr>
            <w:tcW w:w="8856" w:type="dxa"/>
            <w:gridSpan w:val="5"/>
          </w:tcPr>
          <w:p w:rsidR="009B3D89" w:rsidRDefault="000B4498">
            <w:r>
              <w:rPr>
                <w:rFonts w:ascii="Arial" w:eastAsia="Arial" w:hAnsi="Arial" w:cs="Arial"/>
                <w:b/>
                <w:sz w:val="22"/>
                <w:szCs w:val="22"/>
              </w:rPr>
              <w:t>External Examiner’s comments (if relevant)</w:t>
            </w:r>
          </w:p>
          <w:p w:rsidR="009B3D89" w:rsidRDefault="009B3D89">
            <w:pPr>
              <w:ind w:right="-334"/>
            </w:pPr>
          </w:p>
          <w:p w:rsidR="009B3D89" w:rsidRDefault="009B3D89">
            <w:pPr>
              <w:ind w:right="-334"/>
            </w:pPr>
          </w:p>
          <w:p w:rsidR="009B3D89" w:rsidRDefault="009B3D89">
            <w:pPr>
              <w:ind w:right="-334"/>
            </w:pPr>
          </w:p>
          <w:p w:rsidR="009B3D89" w:rsidRDefault="009B3D89">
            <w:pPr>
              <w:ind w:right="-334"/>
            </w:pPr>
          </w:p>
          <w:p w:rsidR="009B3D89" w:rsidRDefault="009B3D89">
            <w:pPr>
              <w:ind w:right="-334"/>
            </w:pPr>
          </w:p>
        </w:tc>
      </w:tr>
      <w:tr w:rsidR="009B3D89">
        <w:trPr>
          <w:trHeight w:val="720"/>
        </w:trPr>
        <w:tc>
          <w:tcPr>
            <w:tcW w:w="5211" w:type="dxa"/>
            <w:gridSpan w:val="2"/>
          </w:tcPr>
          <w:p w:rsidR="009B3D89" w:rsidRDefault="000B4498">
            <w:r>
              <w:rPr>
                <w:rFonts w:ascii="Arial" w:eastAsia="Arial" w:hAnsi="Arial" w:cs="Arial"/>
                <w:sz w:val="22"/>
                <w:szCs w:val="22"/>
              </w:rPr>
              <w:t>External Examiner’s Signature:</w:t>
            </w:r>
          </w:p>
        </w:tc>
        <w:tc>
          <w:tcPr>
            <w:tcW w:w="3645" w:type="dxa"/>
            <w:gridSpan w:val="3"/>
          </w:tcPr>
          <w:p w:rsidR="009B3D89" w:rsidRDefault="000B4498">
            <w:r>
              <w:rPr>
                <w:rFonts w:ascii="Arial" w:eastAsia="Arial" w:hAnsi="Arial" w:cs="Arial"/>
                <w:sz w:val="22"/>
                <w:szCs w:val="22"/>
              </w:rPr>
              <w:t>Date:</w:t>
            </w:r>
          </w:p>
        </w:tc>
      </w:tr>
    </w:tbl>
    <w:p w:rsidR="007D34F4" w:rsidRDefault="007D34F4" w:rsidP="007D34F4">
      <w:pPr>
        <w:pStyle w:val="Default"/>
        <w:rPr>
          <w:b/>
          <w:bCs/>
        </w:rPr>
      </w:pPr>
      <w:r>
        <w:rPr>
          <w:b/>
          <w:bCs/>
        </w:rPr>
        <w:lastRenderedPageBreak/>
        <w:t xml:space="preserve">A contrast and comparison of the research findings presented in M. Hoskin </w:t>
      </w:r>
      <w:r>
        <w:rPr>
          <w:b/>
          <w:bCs/>
          <w:i/>
          <w:iCs/>
        </w:rPr>
        <w:t xml:space="preserve">'Studies in Iberian </w:t>
      </w:r>
      <w:proofErr w:type="spellStart"/>
      <w:r>
        <w:rPr>
          <w:b/>
          <w:bCs/>
          <w:i/>
          <w:iCs/>
        </w:rPr>
        <w:t>Archaeoastronomy</w:t>
      </w:r>
      <w:proofErr w:type="spellEnd"/>
      <w:r>
        <w:rPr>
          <w:b/>
          <w:bCs/>
          <w:i/>
          <w:iCs/>
        </w:rPr>
        <w:t xml:space="preserve"> (5) Orientations of Megalithic Tombs of Northern and Western Iberia</w:t>
      </w:r>
      <w:r>
        <w:rPr>
          <w:b/>
          <w:bCs/>
        </w:rPr>
        <w:t xml:space="preserve">'. In </w:t>
      </w:r>
      <w:proofErr w:type="spellStart"/>
      <w:r>
        <w:rPr>
          <w:b/>
          <w:bCs/>
        </w:rPr>
        <w:t>Archaeoastronomy</w:t>
      </w:r>
      <w:proofErr w:type="spellEnd"/>
      <w:r>
        <w:rPr>
          <w:b/>
          <w:bCs/>
        </w:rPr>
        <w:t xml:space="preserve"> 23 (JHA xxix), 1998 And F. Silva </w:t>
      </w:r>
      <w:r>
        <w:rPr>
          <w:b/>
          <w:bCs/>
          <w:i/>
          <w:iCs/>
        </w:rPr>
        <w:t xml:space="preserve">‘The View from Within: </w:t>
      </w:r>
      <w:r>
        <w:rPr>
          <w:b/>
          <w:bCs/>
        </w:rPr>
        <w:t xml:space="preserve">a ‘time-space-action’ approach to </w:t>
      </w:r>
      <w:proofErr w:type="spellStart"/>
      <w:r>
        <w:rPr>
          <w:b/>
          <w:bCs/>
        </w:rPr>
        <w:t>Megalithism</w:t>
      </w:r>
      <w:proofErr w:type="spellEnd"/>
      <w:r>
        <w:rPr>
          <w:b/>
          <w:bCs/>
        </w:rPr>
        <w:t xml:space="preserve"> in Central Portugal' in</w:t>
      </w:r>
      <w:r>
        <w:rPr>
          <w:b/>
          <w:bCs/>
          <w:i/>
          <w:iCs/>
        </w:rPr>
        <w:t xml:space="preserve"> </w:t>
      </w:r>
      <w:r>
        <w:rPr>
          <w:b/>
          <w:bCs/>
        </w:rPr>
        <w:t>Fabio Silva and Nick Campion</w:t>
      </w:r>
      <w:r>
        <w:rPr>
          <w:b/>
          <w:bCs/>
          <w:i/>
          <w:iCs/>
        </w:rPr>
        <w:t xml:space="preserve"> Skyscapes: The Role and Importance of the Sky in Archaeology. Oxford: Oxbow Books. </w:t>
      </w:r>
      <w:r>
        <w:rPr>
          <w:b/>
          <w:bCs/>
        </w:rPr>
        <w:t>2015</w:t>
      </w:r>
    </w:p>
    <w:p w:rsidR="007D34F4" w:rsidRDefault="007D34F4" w:rsidP="007D34F4">
      <w:pPr>
        <w:pStyle w:val="Default"/>
        <w:rPr>
          <w:b/>
          <w:bCs/>
        </w:rPr>
      </w:pPr>
    </w:p>
    <w:p w:rsidR="007D34F4" w:rsidRDefault="007D34F4" w:rsidP="007D34F4">
      <w:pPr>
        <w:pStyle w:val="Default"/>
        <w:rPr>
          <w:b/>
          <w:bCs/>
        </w:rPr>
      </w:pPr>
      <w:r>
        <w:rPr>
          <w:b/>
          <w:bCs/>
        </w:rPr>
        <w:t>Word Count: 1608</w:t>
      </w:r>
    </w:p>
    <w:p w:rsidR="007D34F4" w:rsidRDefault="007D34F4" w:rsidP="007D34F4">
      <w:pPr>
        <w:pStyle w:val="Default"/>
      </w:pPr>
    </w:p>
    <w:p w:rsidR="00125842" w:rsidRDefault="00125842"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 xml:space="preserve">This paper compares and contrasts two papers that focus on Megalithic structures in the Iberian Peninsula. The first paper is M. Hoskin and colleagues', “Studies in Iberian </w:t>
      </w:r>
      <w:proofErr w:type="spellStart"/>
      <w:r w:rsidRPr="007D34F4">
        <w:rPr>
          <w:rFonts w:asciiTheme="minorHAnsi" w:hAnsiTheme="minorHAnsi" w:cstheme="minorHAnsi"/>
        </w:rPr>
        <w:t>Archaeoastronomy</w:t>
      </w:r>
      <w:proofErr w:type="spellEnd"/>
      <w:r w:rsidRPr="007D34F4">
        <w:rPr>
          <w:rFonts w:asciiTheme="minorHAnsi" w:hAnsiTheme="minorHAnsi" w:cstheme="minorHAnsi"/>
        </w:rPr>
        <w:t xml:space="preserve"> (5) Orientations of Megalithic Tombs of Northern and Western Iberia, published in </w:t>
      </w:r>
      <w:proofErr w:type="spellStart"/>
      <w:r w:rsidRPr="007D34F4">
        <w:rPr>
          <w:rFonts w:asciiTheme="minorHAnsi" w:hAnsiTheme="minorHAnsi" w:cstheme="minorHAnsi"/>
          <w:i/>
          <w:iCs/>
        </w:rPr>
        <w:t>Archaeoastronomy</w:t>
      </w:r>
      <w:proofErr w:type="spellEnd"/>
      <w:r w:rsidRPr="007D34F4">
        <w:rPr>
          <w:rFonts w:asciiTheme="minorHAnsi" w:hAnsiTheme="minorHAnsi" w:cstheme="minorHAnsi"/>
        </w:rPr>
        <w:t xml:space="preserve"> 23, 1998.</w:t>
      </w:r>
      <w:r w:rsidRPr="007D34F4">
        <w:rPr>
          <w:rStyle w:val="FootnoteReference"/>
          <w:rFonts w:asciiTheme="minorHAnsi" w:hAnsiTheme="minorHAnsi" w:cstheme="minorHAnsi"/>
        </w:rPr>
        <w:footnoteReference w:id="1"/>
      </w:r>
      <w:r w:rsidRPr="007D34F4">
        <w:rPr>
          <w:rFonts w:asciiTheme="minorHAnsi" w:hAnsiTheme="minorHAnsi" w:cstheme="minorHAnsi"/>
        </w:rPr>
        <w:t xml:space="preserve"> The second paper is F. Silva "The View from Within: a ‘time-space-action’ approach to </w:t>
      </w:r>
      <w:proofErr w:type="spellStart"/>
      <w:r w:rsidRPr="007D34F4">
        <w:rPr>
          <w:rFonts w:asciiTheme="minorHAnsi" w:hAnsiTheme="minorHAnsi" w:cstheme="minorHAnsi"/>
        </w:rPr>
        <w:t>Megalithism</w:t>
      </w:r>
      <w:proofErr w:type="spellEnd"/>
      <w:r w:rsidRPr="007D34F4">
        <w:rPr>
          <w:rFonts w:asciiTheme="minorHAnsi" w:hAnsiTheme="minorHAnsi" w:cstheme="minorHAnsi"/>
        </w:rPr>
        <w:t xml:space="preserve"> in Central Portugal ", published in Fabio Silva and Nick Campion Skyscapes: </w:t>
      </w:r>
      <w:r w:rsidRPr="007D34F4">
        <w:rPr>
          <w:rFonts w:asciiTheme="minorHAnsi" w:hAnsiTheme="minorHAnsi" w:cstheme="minorHAnsi"/>
          <w:i/>
          <w:iCs/>
        </w:rPr>
        <w:t>The Role and Importance of the Sky in Archaeology</w:t>
      </w:r>
      <w:r w:rsidRPr="007D34F4">
        <w:rPr>
          <w:rFonts w:asciiTheme="minorHAnsi" w:hAnsiTheme="minorHAnsi" w:cstheme="minorHAnsi"/>
        </w:rPr>
        <w:t>, Oxbow Books, 2015.</w:t>
      </w:r>
      <w:r w:rsidRPr="007D34F4">
        <w:rPr>
          <w:rStyle w:val="FootnoteReference"/>
          <w:rFonts w:asciiTheme="minorHAnsi" w:hAnsiTheme="minorHAnsi" w:cstheme="minorHAnsi"/>
        </w:rPr>
        <w:footnoteReference w:id="2"/>
      </w: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 xml:space="preserve"> </w:t>
      </w:r>
    </w:p>
    <w:p w:rsidR="007D34F4" w:rsidRPr="007D34F4" w:rsidRDefault="007D34F4" w:rsidP="00125842">
      <w:pPr>
        <w:pStyle w:val="Default"/>
        <w:rPr>
          <w:rFonts w:asciiTheme="minorHAnsi" w:hAnsiTheme="minorHAnsi" w:cstheme="minorHAnsi"/>
        </w:rPr>
      </w:pPr>
      <w:r w:rsidRPr="007D34F4">
        <w:rPr>
          <w:rFonts w:asciiTheme="minorHAnsi" w:hAnsiTheme="minorHAnsi" w:cstheme="minorHAnsi"/>
        </w:rPr>
        <w:t xml:space="preserve">The two papers focus on Megalithic structures from the Neolithic period in Iberian Peninsula. Hoskin refers to those structures as Megalithic tombs, whereas Silva refers to them as dolmens, or </w:t>
      </w:r>
      <w:proofErr w:type="spellStart"/>
      <w:r w:rsidRPr="007D34F4">
        <w:rPr>
          <w:rFonts w:asciiTheme="minorHAnsi" w:hAnsiTheme="minorHAnsi" w:cstheme="minorHAnsi"/>
          <w:i/>
          <w:iCs/>
        </w:rPr>
        <w:t>antas</w:t>
      </w:r>
      <w:proofErr w:type="spellEnd"/>
      <w:r w:rsidRPr="007D34F4">
        <w:rPr>
          <w:rFonts w:asciiTheme="minorHAnsi" w:hAnsiTheme="minorHAnsi" w:cstheme="minorHAnsi"/>
        </w:rPr>
        <w:t xml:space="preserve"> in the local language.  Both approach their subject matter under the assumption that there is an astronomical reasoning that shaped their construction, and explains the rational of their orientation, measured from within outwards. Both rely on archeological findings that suggest a 'seasonal model' to describe the hunter-gatherers culture that built those structures. Hoskin investigated a solar </w:t>
      </w:r>
      <w:r w:rsidR="00A34381" w:rsidRPr="007D34F4">
        <w:rPr>
          <w:rFonts w:asciiTheme="minorHAnsi" w:hAnsiTheme="minorHAnsi" w:cstheme="minorHAnsi"/>
        </w:rPr>
        <w:t>alignment but</w:t>
      </w:r>
      <w:r w:rsidRPr="007D34F4">
        <w:rPr>
          <w:rFonts w:asciiTheme="minorHAnsi" w:hAnsiTheme="minorHAnsi" w:cstheme="minorHAnsi"/>
        </w:rPr>
        <w:t xml:space="preserve"> was unable to find a plausible orientation for the hundreds of structures he has measured. His "generalized solar interpretation" of which "outlier orientations" were not explained were criticized by Silva and mentioned as his motive for his study. </w:t>
      </w:r>
      <w:r w:rsidRPr="007D34F4">
        <w:rPr>
          <w:rStyle w:val="FootnoteReference"/>
          <w:rFonts w:asciiTheme="minorHAnsi" w:hAnsiTheme="minorHAnsi" w:cstheme="minorHAnsi"/>
        </w:rPr>
        <w:footnoteReference w:id="3"/>
      </w:r>
      <w:r w:rsidRPr="007D34F4">
        <w:rPr>
          <w:rFonts w:asciiTheme="minorHAnsi" w:hAnsiTheme="minorHAnsi" w:cstheme="minorHAnsi"/>
        </w:rPr>
        <w:t xml:space="preserve"> Silva approached the orientation rational as an alignment that takes into account the landscape, and the skyscape. Silva's focus is on the cultural interpretation while Hoskin is comfortable with presenting his data, without any further explanations. </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lastRenderedPageBreak/>
        <w:t xml:space="preserve">Dr. Hoskin, </w:t>
      </w:r>
      <w:r w:rsidRPr="007D34F4">
        <w:rPr>
          <w:rFonts w:asciiTheme="minorHAnsi" w:hAnsiTheme="minorHAnsi" w:cstheme="minorHAnsi"/>
          <w:shd w:val="clear" w:color="auto" w:fill="FFFFFF"/>
        </w:rPr>
        <w:t>Emeritus Fellow at St Edmund's College Cambridge</w:t>
      </w:r>
      <w:r w:rsidRPr="007D34F4">
        <w:rPr>
          <w:rFonts w:asciiTheme="minorHAnsi" w:hAnsiTheme="minorHAnsi" w:cstheme="minorHAnsi"/>
        </w:rPr>
        <w:t xml:space="preserve">, is known for his work in the field of the history of astronomy. He published a series of articles titled </w:t>
      </w:r>
      <w:r w:rsidRPr="007D34F4">
        <w:rPr>
          <w:rFonts w:asciiTheme="minorHAnsi" w:hAnsiTheme="minorHAnsi" w:cstheme="minorHAnsi"/>
          <w:i/>
          <w:iCs/>
        </w:rPr>
        <w:t xml:space="preserve">Studies in Iberian </w:t>
      </w:r>
      <w:proofErr w:type="spellStart"/>
      <w:r w:rsidRPr="007D34F4">
        <w:rPr>
          <w:rFonts w:asciiTheme="minorHAnsi" w:hAnsiTheme="minorHAnsi" w:cstheme="minorHAnsi"/>
          <w:i/>
          <w:iCs/>
        </w:rPr>
        <w:t>Archaeoastronomy</w:t>
      </w:r>
      <w:proofErr w:type="spellEnd"/>
      <w:r w:rsidRPr="007D34F4">
        <w:rPr>
          <w:rFonts w:asciiTheme="minorHAnsi" w:hAnsiTheme="minorHAnsi" w:cstheme="minorHAnsi"/>
        </w:rPr>
        <w:t>, focusing on the orientation of the Megalithic structures in the Iberian Peninsula, taking for granted that they are tombs, and having in mind solar alignments. This article is the 5</w:t>
      </w:r>
      <w:r w:rsidRPr="007D34F4">
        <w:rPr>
          <w:rFonts w:asciiTheme="minorHAnsi" w:hAnsiTheme="minorHAnsi" w:cstheme="minorHAnsi"/>
          <w:vertAlign w:val="superscript"/>
        </w:rPr>
        <w:t>th</w:t>
      </w:r>
      <w:r w:rsidRPr="007D34F4">
        <w:rPr>
          <w:rFonts w:asciiTheme="minorHAnsi" w:hAnsiTheme="minorHAnsi" w:cstheme="minorHAnsi"/>
        </w:rPr>
        <w:t xml:space="preserve"> in the series of which I have found a total of nine articles published between 1994 and 2002. This specific article focuses on the area starting in the Pyrenees, and working its way westward towards Galicia, and then South through Portugal. The article is a composite of fieldwork findings from about a dozen of Hoskin's colleagues exploring the orientation of more than 400 megalithic tombs. The findings are presented in 16 chapters, divided according to geographic local. Each chapter begins with a synopsis of the specific geography and geology of the area </w:t>
      </w:r>
      <w:proofErr w:type="gramStart"/>
      <w:r w:rsidRPr="007D34F4">
        <w:rPr>
          <w:rFonts w:asciiTheme="minorHAnsi" w:hAnsiTheme="minorHAnsi" w:cstheme="minorHAnsi"/>
        </w:rPr>
        <w:t>covered, and</w:t>
      </w:r>
      <w:proofErr w:type="gramEnd"/>
      <w:r w:rsidRPr="007D34F4">
        <w:rPr>
          <w:rFonts w:asciiTheme="minorHAnsi" w:hAnsiTheme="minorHAnsi" w:cstheme="minorHAnsi"/>
        </w:rPr>
        <w:t xml:space="preserve"> continues with a presentation of the orientation measurements. Though the chapters were written by many writers their style remains the same. </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 xml:space="preserve">Dr. Silva, from the University of Wales Trinity Saint David, explored 13 tombs in a small region near </w:t>
      </w:r>
      <w:r w:rsidRPr="007D34F4">
        <w:rPr>
          <w:rFonts w:asciiTheme="minorHAnsi" w:hAnsiTheme="minorHAnsi" w:cstheme="minorHAnsi"/>
          <w:i/>
          <w:iCs/>
        </w:rPr>
        <w:t>Serra da Estrela</w:t>
      </w:r>
      <w:r w:rsidRPr="007D34F4">
        <w:rPr>
          <w:rFonts w:asciiTheme="minorHAnsi" w:hAnsiTheme="minorHAnsi" w:cstheme="minorHAnsi"/>
        </w:rPr>
        <w:t xml:space="preserve"> in Central Portugal. His approach went beyond measuring the orientation, into a “time-space-action" model. Silva first introduces relevant archeological and anthropological research of the people who built the dolmens: the suggested period of construction, artifacts found near and within them, and the characteristic of seasonal mobility. His measurements were taken from within the tombs, with the overall landscape and skyscape in mind. He demonstrated an orientation that points to a specific direction of the </w:t>
      </w:r>
      <w:r w:rsidRPr="007D34F4">
        <w:rPr>
          <w:rFonts w:asciiTheme="minorHAnsi" w:hAnsiTheme="minorHAnsi" w:cstheme="minorHAnsi"/>
          <w:i/>
          <w:iCs/>
        </w:rPr>
        <w:t>Serra da Estrela</w:t>
      </w:r>
      <w:r w:rsidRPr="007D34F4">
        <w:rPr>
          <w:rFonts w:asciiTheme="minorHAnsi" w:hAnsiTheme="minorHAnsi" w:cstheme="minorHAnsi"/>
        </w:rPr>
        <w:t xml:space="preserve"> mountain range, where the helical rising of Aldebaran, coincided with early Spring, and the seasonal movement to higher pastures around 4,300-3,700 BCE. Silva continues with a hypothesis regarding the use of the dolmens challenging the assumption that they are tombs.  </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b/>
          <w:bCs/>
        </w:rPr>
        <w:t>Methodology</w:t>
      </w:r>
      <w:r w:rsidRPr="007D34F4">
        <w:rPr>
          <w:rFonts w:asciiTheme="minorHAnsi" w:hAnsiTheme="minorHAnsi" w:cstheme="minorHAnsi"/>
        </w:rPr>
        <w:t>:</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 xml:space="preserve">Clive </w:t>
      </w:r>
      <w:proofErr w:type="spellStart"/>
      <w:r w:rsidRPr="007D34F4">
        <w:rPr>
          <w:rFonts w:asciiTheme="minorHAnsi" w:hAnsiTheme="minorHAnsi" w:cstheme="minorHAnsi"/>
        </w:rPr>
        <w:t>Ruggles</w:t>
      </w:r>
      <w:proofErr w:type="spellEnd"/>
      <w:r w:rsidRPr="007D34F4">
        <w:rPr>
          <w:rFonts w:asciiTheme="minorHAnsi" w:hAnsiTheme="minorHAnsi" w:cstheme="minorHAnsi"/>
        </w:rPr>
        <w:t xml:space="preserve"> says that: "For a structural alignment, best practice demands that the (true) azimuth, horizon altitude, and indicated declination be stated clearly to an appropriate level of precision; profile diagrams, if provided, must also be correctly annotated with azimuth, altitude, and, preferably, declination" </w:t>
      </w:r>
      <w:r w:rsidRPr="007D34F4">
        <w:rPr>
          <w:rStyle w:val="FootnoteReference"/>
          <w:rFonts w:asciiTheme="minorHAnsi" w:hAnsiTheme="minorHAnsi" w:cstheme="minorHAnsi"/>
        </w:rPr>
        <w:footnoteReference w:id="4"/>
      </w:r>
      <w:r w:rsidRPr="007D34F4">
        <w:rPr>
          <w:rFonts w:asciiTheme="minorHAnsi" w:hAnsiTheme="minorHAnsi" w:cstheme="minorHAnsi"/>
        </w:rPr>
        <w:t xml:space="preserve"> this indeed is followed to the letter in Hoskin's paper, which specifies exactly those aforementioned required 'astronomical facts', and the accompanying diagrams. In Hosk</w:t>
      </w:r>
      <w:r>
        <w:rPr>
          <w:rFonts w:asciiTheme="minorHAnsi" w:hAnsiTheme="minorHAnsi" w:cstheme="minorHAnsi"/>
        </w:rPr>
        <w:t>i</w:t>
      </w:r>
      <w:r w:rsidRPr="007D34F4">
        <w:rPr>
          <w:rFonts w:asciiTheme="minorHAnsi" w:hAnsiTheme="minorHAnsi" w:cstheme="minorHAnsi"/>
        </w:rPr>
        <w:t xml:space="preserve">n's paper the tools used for measurement were a compass, and a clinometer. Later the azimuth magnetic </w:t>
      </w:r>
      <w:r w:rsidRPr="007D34F4">
        <w:rPr>
          <w:rFonts w:asciiTheme="minorHAnsi" w:hAnsiTheme="minorHAnsi" w:cstheme="minorHAnsi"/>
        </w:rPr>
        <w:lastRenderedPageBreak/>
        <w:t xml:space="preserve">variation was corrected, and the declinations were calculated with a computer program written by Clive </w:t>
      </w:r>
      <w:proofErr w:type="spellStart"/>
      <w:r w:rsidRPr="007D34F4">
        <w:rPr>
          <w:rFonts w:asciiTheme="minorHAnsi" w:hAnsiTheme="minorHAnsi" w:cstheme="minorHAnsi"/>
        </w:rPr>
        <w:t>Ruggles</w:t>
      </w:r>
      <w:proofErr w:type="spellEnd"/>
      <w:r w:rsidRPr="007D34F4">
        <w:rPr>
          <w:rFonts w:asciiTheme="minorHAnsi" w:hAnsiTheme="minorHAnsi" w:cstheme="minorHAnsi"/>
        </w:rPr>
        <w:t>".</w:t>
      </w:r>
      <w:r w:rsidRPr="007D34F4">
        <w:rPr>
          <w:rStyle w:val="FootnoteReference"/>
          <w:rFonts w:asciiTheme="minorHAnsi" w:hAnsiTheme="minorHAnsi" w:cstheme="minorHAnsi"/>
        </w:rPr>
        <w:footnoteReference w:id="5"/>
      </w:r>
      <w:r w:rsidRPr="007D34F4">
        <w:rPr>
          <w:rFonts w:asciiTheme="minorHAnsi" w:hAnsiTheme="minorHAnsi" w:cstheme="minorHAnsi"/>
        </w:rPr>
        <w:t xml:space="preserve"> The orientation was determined by the axis of symmetry described as "almost every tomb had an entrance lying along an axis of symmetry, and therefore an orientation, which was taken as the direction from the interior to the exterior."</w:t>
      </w:r>
      <w:r w:rsidRPr="007D34F4">
        <w:rPr>
          <w:rStyle w:val="FootnoteReference"/>
          <w:rFonts w:asciiTheme="minorHAnsi" w:hAnsiTheme="minorHAnsi" w:cstheme="minorHAnsi"/>
        </w:rPr>
        <w:footnoteReference w:id="6"/>
      </w:r>
      <w:r w:rsidRPr="007D34F4">
        <w:rPr>
          <w:rFonts w:asciiTheme="minorHAnsi" w:hAnsiTheme="minorHAnsi" w:cstheme="minorHAnsi"/>
        </w:rPr>
        <w:t xml:space="preserve"> </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 xml:space="preserve">Silva's method was to measure from within the structure what can be seen from it towards the horizon. This method he termed “window of visibility”. He explains that his method of "allowing the portion of the horizon that is visible from within the chamber to speak for itself" adds a phenomenological point of view to </w:t>
      </w:r>
      <w:proofErr w:type="spellStart"/>
      <w:r w:rsidRPr="007D34F4">
        <w:rPr>
          <w:rFonts w:asciiTheme="minorHAnsi" w:hAnsiTheme="minorHAnsi" w:cstheme="minorHAnsi"/>
        </w:rPr>
        <w:t>Archaeoastronomy</w:t>
      </w:r>
      <w:proofErr w:type="spellEnd"/>
      <w:r w:rsidRPr="007D34F4">
        <w:rPr>
          <w:rFonts w:asciiTheme="minorHAnsi" w:hAnsiTheme="minorHAnsi" w:cstheme="minorHAnsi"/>
        </w:rPr>
        <w:t>, and can identify patterns that cannot be seen in statistics alone.</w:t>
      </w:r>
      <w:r w:rsidRPr="007D34F4">
        <w:rPr>
          <w:rStyle w:val="FootnoteReference"/>
          <w:rFonts w:asciiTheme="minorHAnsi" w:hAnsiTheme="minorHAnsi" w:cstheme="minorHAnsi"/>
        </w:rPr>
        <w:footnoteReference w:id="7"/>
      </w:r>
      <w:r w:rsidRPr="007D34F4">
        <w:rPr>
          <w:rFonts w:asciiTheme="minorHAnsi" w:hAnsiTheme="minorHAnsi" w:cstheme="minorHAnsi"/>
        </w:rPr>
        <w:t xml:space="preserve"> Silva therefore measured two intersecting lines of visibility, and ran his results via a computerized Digital Elevation Model that reconstructed the landscape as it would have been in the time of the construction of the dolmens. </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b/>
          <w:bCs/>
        </w:rPr>
      </w:pPr>
      <w:r w:rsidRPr="007D34F4">
        <w:rPr>
          <w:rFonts w:asciiTheme="minorHAnsi" w:hAnsiTheme="minorHAnsi" w:cstheme="minorHAnsi"/>
          <w:b/>
          <w:bCs/>
        </w:rPr>
        <w:t>Perspective</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 xml:space="preserve">The rational for Hoskin's study is based on the notion that the Neolithic people worshiped the Sun, and therefore built their structures with a specific solar orientation in mind. This is explained by Belmonte who claims that there is evidence that solar cults "were prominent since at least the Neolithic and undoubtedly since the early Bronze Age when solar representations are predominant in the rock art of the period". </w:t>
      </w:r>
      <w:r w:rsidRPr="007D34F4">
        <w:rPr>
          <w:rStyle w:val="FootnoteReference"/>
          <w:rFonts w:asciiTheme="minorHAnsi" w:hAnsiTheme="minorHAnsi" w:cstheme="minorHAnsi"/>
        </w:rPr>
        <w:footnoteReference w:id="8"/>
      </w:r>
      <w:r w:rsidRPr="007D34F4">
        <w:rPr>
          <w:rFonts w:asciiTheme="minorHAnsi" w:hAnsiTheme="minorHAnsi" w:cstheme="minorHAnsi"/>
        </w:rPr>
        <w:t xml:space="preserve"> This explains why Hoskin interpreted his measured orientations of the structures entrance to "either sunrise or sun-climb (that is, to the sun shortly after sunrise) at the beginning of their construction".</w:t>
      </w:r>
      <w:r w:rsidRPr="007D34F4">
        <w:rPr>
          <w:rStyle w:val="FootnoteReference"/>
          <w:rFonts w:asciiTheme="minorHAnsi" w:hAnsiTheme="minorHAnsi" w:cstheme="minorHAnsi"/>
        </w:rPr>
        <w:footnoteReference w:id="9"/>
      </w:r>
      <w:r w:rsidRPr="007D34F4">
        <w:rPr>
          <w:rFonts w:asciiTheme="minorHAnsi" w:hAnsiTheme="minorHAnsi" w:cstheme="minorHAnsi"/>
        </w:rPr>
        <w:t xml:space="preserve"> Following Belmonte's solar cults alignment rational, the expectation is to find an alignment due east or south, but this was not the case in Hoskin's results. The variations in the orientations called for further research and interpretations. </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 xml:space="preserve">Silva's rational is the “time-space-action" model suggested by </w:t>
      </w:r>
      <w:proofErr w:type="spellStart"/>
      <w:r w:rsidRPr="007D34F4">
        <w:rPr>
          <w:rFonts w:asciiTheme="minorHAnsi" w:hAnsiTheme="minorHAnsi" w:cstheme="minorHAnsi"/>
        </w:rPr>
        <w:t>Darvill</w:t>
      </w:r>
      <w:proofErr w:type="spellEnd"/>
      <w:r w:rsidRPr="007D34F4">
        <w:rPr>
          <w:rFonts w:asciiTheme="minorHAnsi" w:hAnsiTheme="minorHAnsi" w:cstheme="minorHAnsi"/>
        </w:rPr>
        <w:t xml:space="preserve"> and defined as: "landscape is a </w:t>
      </w:r>
      <w:proofErr w:type="spellStart"/>
      <w:r w:rsidRPr="007D34F4">
        <w:rPr>
          <w:rFonts w:asciiTheme="minorHAnsi" w:hAnsiTheme="minorHAnsi" w:cstheme="minorHAnsi"/>
        </w:rPr>
        <w:t>timedependent</w:t>
      </w:r>
      <w:proofErr w:type="spellEnd"/>
      <w:r w:rsidRPr="007D34F4">
        <w:rPr>
          <w:rFonts w:asciiTheme="minorHAnsi" w:hAnsiTheme="minorHAnsi" w:cstheme="minorHAnsi"/>
        </w:rPr>
        <w:t xml:space="preserve">, spatially referenced, socially constituted template or perspective of the world that is held in common by individuals and groups and which is </w:t>
      </w:r>
      <w:r w:rsidRPr="007D34F4">
        <w:rPr>
          <w:rFonts w:asciiTheme="minorHAnsi" w:hAnsiTheme="minorHAnsi" w:cstheme="minorHAnsi"/>
        </w:rPr>
        <w:lastRenderedPageBreak/>
        <w:t xml:space="preserve">applied in a variety of ways to the domain in which they find themselves." </w:t>
      </w:r>
      <w:r w:rsidRPr="007D34F4">
        <w:rPr>
          <w:rStyle w:val="FootnoteReference"/>
          <w:rFonts w:asciiTheme="minorHAnsi" w:hAnsiTheme="minorHAnsi" w:cstheme="minorHAnsi"/>
        </w:rPr>
        <w:footnoteReference w:id="10"/>
      </w:r>
      <w:r w:rsidRPr="007D34F4">
        <w:rPr>
          <w:rFonts w:asciiTheme="minorHAnsi" w:hAnsiTheme="minorHAnsi" w:cstheme="minorHAnsi"/>
        </w:rPr>
        <w:t xml:space="preserve">. His focus is on the actual view, adding references to relevant ethnographic and historical information.  </w:t>
      </w: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 xml:space="preserve">"Despite the growing interest in ancient epistemologies and indigenous ontological views, </w:t>
      </w:r>
      <w:proofErr w:type="spellStart"/>
      <w:r w:rsidRPr="007D34F4">
        <w:rPr>
          <w:rFonts w:asciiTheme="minorHAnsi" w:hAnsiTheme="minorHAnsi" w:cstheme="minorHAnsi"/>
        </w:rPr>
        <w:t>archaeoastronomers</w:t>
      </w:r>
      <w:proofErr w:type="spellEnd"/>
      <w:r w:rsidRPr="007D34F4">
        <w:rPr>
          <w:rFonts w:asciiTheme="minorHAnsi" w:hAnsiTheme="minorHAnsi" w:cstheme="minorHAnsi"/>
        </w:rPr>
        <w:t xml:space="preserve"> rarely deal with spatial and temporal representations of cultures and peoples,"</w:t>
      </w:r>
      <w:r w:rsidRPr="007D34F4">
        <w:rPr>
          <w:rStyle w:val="FootnoteReference"/>
          <w:rFonts w:asciiTheme="minorHAnsi" w:hAnsiTheme="minorHAnsi" w:cstheme="minorHAnsi"/>
        </w:rPr>
        <w:footnoteReference w:id="11"/>
      </w:r>
      <w:r w:rsidRPr="007D34F4">
        <w:rPr>
          <w:rFonts w:asciiTheme="minorHAnsi" w:hAnsiTheme="minorHAnsi" w:cstheme="minorHAnsi"/>
        </w:rPr>
        <w:t xml:space="preserve"> admonished </w:t>
      </w:r>
      <w:proofErr w:type="spellStart"/>
      <w:r w:rsidRPr="007D34F4">
        <w:rPr>
          <w:rFonts w:asciiTheme="minorHAnsi" w:hAnsiTheme="minorHAnsi" w:cstheme="minorHAnsi"/>
        </w:rPr>
        <w:t>Iwaniszewski</w:t>
      </w:r>
      <w:proofErr w:type="spellEnd"/>
      <w:r w:rsidRPr="007D34F4">
        <w:rPr>
          <w:rFonts w:asciiTheme="minorHAnsi" w:hAnsiTheme="minorHAnsi" w:cstheme="minorHAnsi"/>
        </w:rPr>
        <w:t xml:space="preserve">. Silva's cultural approach demonstrates how gaining statistical information is not enough, and </w:t>
      </w:r>
      <w:proofErr w:type="spellStart"/>
      <w:r w:rsidRPr="007D34F4">
        <w:rPr>
          <w:rFonts w:asciiTheme="minorHAnsi" w:hAnsiTheme="minorHAnsi" w:cstheme="minorHAnsi"/>
        </w:rPr>
        <w:t>Iwaniszewski</w:t>
      </w:r>
      <w:proofErr w:type="spellEnd"/>
      <w:r w:rsidRPr="007D34F4">
        <w:rPr>
          <w:rFonts w:asciiTheme="minorHAnsi" w:hAnsiTheme="minorHAnsi" w:cstheme="minorHAnsi"/>
        </w:rPr>
        <w:t xml:space="preserve"> insistence on the spatial and cultural can shed light on the archeological discoveries. He was able to identify that the Hoskin's variations in the orientations attested to a different intention: the dolmens are directed to the same landmark, the </w:t>
      </w:r>
      <w:r w:rsidRPr="007D34F4">
        <w:rPr>
          <w:rFonts w:asciiTheme="minorHAnsi" w:hAnsiTheme="minorHAnsi" w:cstheme="minorHAnsi"/>
          <w:i/>
          <w:iCs/>
        </w:rPr>
        <w:t>Serra da Estrela</w:t>
      </w:r>
      <w:r w:rsidRPr="007D34F4">
        <w:rPr>
          <w:rFonts w:asciiTheme="minorHAnsi" w:hAnsiTheme="minorHAnsi" w:cstheme="minorHAnsi"/>
        </w:rPr>
        <w:t xml:space="preserve"> mountain range. Silva than adds that "at the time of dolmen construction, circa 4,300–3,700 BCE, (the star) Aldebaran would have risen exactly within the band of the horizon that is visible from within all corridor dolmens".</w:t>
      </w:r>
      <w:r w:rsidRPr="007D34F4">
        <w:rPr>
          <w:rStyle w:val="FootnoteReference"/>
          <w:rFonts w:asciiTheme="minorHAnsi" w:hAnsiTheme="minorHAnsi" w:cstheme="minorHAnsi"/>
        </w:rPr>
        <w:footnoteReference w:id="12"/>
      </w:r>
      <w:r w:rsidRPr="007D34F4">
        <w:rPr>
          <w:rFonts w:asciiTheme="minorHAnsi" w:hAnsiTheme="minorHAnsi" w:cstheme="minorHAnsi"/>
        </w:rPr>
        <w:t xml:space="preserve"> The identification of a possible Aldebaran orientation is then further elaborated.  </w:t>
      </w:r>
    </w:p>
    <w:p w:rsidR="007D34F4" w:rsidRPr="007D34F4" w:rsidRDefault="007D34F4" w:rsidP="007D34F4">
      <w:pPr>
        <w:pStyle w:val="Default"/>
        <w:rPr>
          <w:rFonts w:asciiTheme="minorHAnsi" w:hAnsiTheme="minorHAnsi" w:cstheme="minorHAnsi"/>
          <w:rtl/>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b/>
          <w:bCs/>
        </w:rPr>
        <w:t>Interpretation</w:t>
      </w:r>
      <w:r w:rsidRPr="007D34F4">
        <w:rPr>
          <w:rFonts w:asciiTheme="minorHAnsi" w:hAnsiTheme="minorHAnsi" w:cstheme="minorHAnsi"/>
        </w:rPr>
        <w:t>:</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Hoskin clearly states that he presents the statistical data gathered, but the interpretation of the data is reserved for a future study, while other researchers are welcome to interpret it as they see fit.</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Silva's finding of a possible Aldebaran alignment is discussed within the known ethnographic of the Neolithic people. He explores whether the Aldebaran alignment was meant for the dead or for the living.</w:t>
      </w:r>
      <w:r w:rsidRPr="007D34F4">
        <w:rPr>
          <w:rStyle w:val="FootnoteReference"/>
          <w:rFonts w:asciiTheme="minorHAnsi" w:hAnsiTheme="minorHAnsi" w:cstheme="minorHAnsi"/>
        </w:rPr>
        <w:footnoteReference w:id="13"/>
      </w:r>
      <w:r w:rsidRPr="007D34F4">
        <w:rPr>
          <w:rFonts w:asciiTheme="minorHAnsi" w:hAnsiTheme="minorHAnsi" w:cstheme="minorHAnsi"/>
        </w:rPr>
        <w:t xml:space="preserve"> Aldebaran was linked to the afterlife in ancient Egyptian beliefs, and in the middle ages the Jewish astrologer Ibn Ezra listed him as a 'place of death'.</w:t>
      </w:r>
      <w:r w:rsidRPr="007D34F4">
        <w:rPr>
          <w:rStyle w:val="FootnoteReference"/>
          <w:rFonts w:asciiTheme="minorHAnsi" w:hAnsiTheme="minorHAnsi" w:cstheme="minorHAnsi"/>
        </w:rPr>
        <w:footnoteReference w:id="14"/>
      </w:r>
      <w:r w:rsidRPr="007D34F4">
        <w:rPr>
          <w:rFonts w:asciiTheme="minorHAnsi" w:hAnsiTheme="minorHAnsi" w:cstheme="minorHAnsi"/>
        </w:rPr>
        <w:t xml:space="preserve"> Within the hunter-gatherer seasonal model, those people would spend their summers in the higher pastures of </w:t>
      </w:r>
      <w:r w:rsidRPr="007D34F4">
        <w:rPr>
          <w:rFonts w:asciiTheme="minorHAnsi" w:hAnsiTheme="minorHAnsi" w:cstheme="minorHAnsi"/>
          <w:i/>
          <w:iCs/>
        </w:rPr>
        <w:t>Serra da Estrela</w:t>
      </w:r>
      <w:r w:rsidRPr="007D34F4">
        <w:rPr>
          <w:rFonts w:asciiTheme="minorHAnsi" w:hAnsiTheme="minorHAnsi" w:cstheme="minorHAnsi"/>
        </w:rPr>
        <w:t xml:space="preserve"> when Aldebaran was visible from the dolmens, and the star would then help the dead stay connected to their relatives. The other option explored by Silva is that the dolmens were not tombs. He suggests that their use was for initiation ceremonies. His suggestion is based on excavated paintings in the forecourt immediately outside the dolmen’s entrances </w:t>
      </w:r>
      <w:r w:rsidRPr="007D34F4">
        <w:rPr>
          <w:rFonts w:asciiTheme="minorHAnsi" w:hAnsiTheme="minorHAnsi" w:cstheme="minorHAnsi"/>
        </w:rPr>
        <w:lastRenderedPageBreak/>
        <w:t>"depicting hunting scenes but also more abstract or symbolic elements."</w:t>
      </w:r>
      <w:r w:rsidRPr="007D34F4">
        <w:rPr>
          <w:rStyle w:val="FootnoteReference"/>
          <w:rFonts w:asciiTheme="minorHAnsi" w:hAnsiTheme="minorHAnsi" w:cstheme="minorHAnsi"/>
        </w:rPr>
        <w:footnoteReference w:id="15"/>
      </w:r>
      <w:r w:rsidRPr="007D34F4">
        <w:rPr>
          <w:rFonts w:asciiTheme="minorHAnsi" w:hAnsiTheme="minorHAnsi" w:cstheme="minorHAnsi"/>
        </w:rPr>
        <w:t xml:space="preserve"> Initiation rites of ancient societies as a major feature of puberty rituals, was suggested by many scholars such as Durkheim who claims that "the initiation is a long series of ceremonies whose purpose is to introduce the young man to religious life."</w:t>
      </w:r>
      <w:r w:rsidRPr="007D34F4">
        <w:rPr>
          <w:rStyle w:val="FootnoteReference"/>
          <w:rFonts w:asciiTheme="minorHAnsi" w:hAnsiTheme="minorHAnsi" w:cstheme="minorHAnsi"/>
        </w:rPr>
        <w:footnoteReference w:id="16"/>
      </w:r>
      <w:r w:rsidRPr="007D34F4">
        <w:rPr>
          <w:rFonts w:asciiTheme="minorHAnsi" w:hAnsiTheme="minorHAnsi" w:cstheme="minorHAnsi"/>
        </w:rPr>
        <w:t xml:space="preserve"> Yet, study of dolmens in other parts of the world linked them to the dead and confirmed them as tombs. Other scholars excavating dolmens in other parts of the world concluded that they were meant as graves. </w:t>
      </w:r>
      <w:proofErr w:type="spellStart"/>
      <w:r w:rsidRPr="007D34F4">
        <w:rPr>
          <w:rFonts w:asciiTheme="minorHAnsi" w:hAnsiTheme="minorHAnsi" w:cstheme="minorHAnsi"/>
        </w:rPr>
        <w:t>Polcaro's</w:t>
      </w:r>
      <w:proofErr w:type="spellEnd"/>
      <w:r w:rsidRPr="007D34F4">
        <w:rPr>
          <w:rFonts w:asciiTheme="minorHAnsi" w:hAnsiTheme="minorHAnsi" w:cstheme="minorHAnsi"/>
        </w:rPr>
        <w:t xml:space="preserve"> study of hundreds of dolmens in Jordan found that they “constitute one of the larger megalithic necropolis in Jordan”.</w:t>
      </w:r>
      <w:r w:rsidRPr="007D34F4">
        <w:rPr>
          <w:rFonts w:asciiTheme="minorHAnsi" w:hAnsiTheme="minorHAnsi" w:cstheme="minorHAnsi"/>
          <w:vertAlign w:val="superscript"/>
        </w:rPr>
        <w:footnoteReference w:id="17"/>
      </w:r>
      <w:r w:rsidRPr="007D34F4">
        <w:rPr>
          <w:rFonts w:asciiTheme="minorHAnsi" w:hAnsiTheme="minorHAnsi" w:cstheme="minorHAnsi"/>
          <w:vertAlign w:val="superscript"/>
        </w:rPr>
        <w:t xml:space="preserve"> </w:t>
      </w:r>
      <w:r w:rsidRPr="007D34F4">
        <w:rPr>
          <w:rFonts w:asciiTheme="minorHAnsi" w:hAnsiTheme="minorHAnsi" w:cstheme="minorHAnsi"/>
        </w:rPr>
        <w:t xml:space="preserve"> Similar dolmens in France did have human bones buried in them along with stone axes.</w:t>
      </w:r>
      <w:r w:rsidRPr="007D34F4">
        <w:rPr>
          <w:rStyle w:val="FootnoteReference"/>
          <w:rFonts w:asciiTheme="minorHAnsi" w:hAnsiTheme="minorHAnsi" w:cstheme="minorHAnsi"/>
        </w:rPr>
        <w:footnoteReference w:id="18"/>
      </w:r>
      <w:r w:rsidRPr="007D34F4">
        <w:rPr>
          <w:rFonts w:asciiTheme="minorHAnsi" w:hAnsiTheme="minorHAnsi" w:cstheme="minorHAnsi"/>
        </w:rPr>
        <w:t xml:space="preserve"> Silva's suggestion of the dolmens orientation towards Aldebaran as part of initiation ceremonies needs more proof, and more evidence. His presentation of their link to Aldebaran as part of an afterlife cosmology does have other corroborators and examples from around the world.   </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b/>
          <w:bCs/>
        </w:rPr>
        <w:t>Conclusion</w:t>
      </w:r>
      <w:r w:rsidRPr="007D34F4">
        <w:rPr>
          <w:rFonts w:asciiTheme="minorHAnsi" w:hAnsiTheme="minorHAnsi" w:cstheme="minorHAnsi"/>
        </w:rPr>
        <w:t xml:space="preserve">: </w:t>
      </w: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 xml:space="preserve"> </w:t>
      </w:r>
    </w:p>
    <w:p w:rsidR="007D34F4" w:rsidRPr="007D34F4" w:rsidRDefault="007D34F4" w:rsidP="007D34F4">
      <w:pPr>
        <w:pStyle w:val="Default"/>
        <w:rPr>
          <w:rFonts w:asciiTheme="minorHAnsi" w:hAnsiTheme="minorHAnsi" w:cstheme="minorHAnsi"/>
        </w:rPr>
      </w:pPr>
      <w:r w:rsidRPr="007D34F4">
        <w:rPr>
          <w:rFonts w:asciiTheme="minorHAnsi" w:hAnsiTheme="minorHAnsi" w:cstheme="minorHAnsi"/>
        </w:rPr>
        <w:t xml:space="preserve">The two papers discussed above feature two different approaches to archeoastronomy, or the astronomical alignment of ancient structures. Both articles explored the same dolmens but from a different framework. Hoskin surveyed hundreds of dolmens in regards to a solar orientation and came up with much statistics that adds nothing to our knowledge of the Neolithic people who have built them. Silva phenomenological approach that takes into account the landscape and the skyscape, was able to offer a definite explanation of the dolmen's orientation, the helical rising of the star Aldebaran. This enabled him to capture some of the cultural beliefs of that ancient society. Silva took a further step and challenged the dolmens use as tombs, but this approach lacks evidence from other places to be considered as a valid hypothesis.   </w:t>
      </w: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p>
    <w:p w:rsidR="007D34F4" w:rsidRPr="007D34F4" w:rsidRDefault="007D34F4" w:rsidP="007D34F4">
      <w:pPr>
        <w:pStyle w:val="Default"/>
        <w:rPr>
          <w:rFonts w:asciiTheme="minorHAnsi" w:hAnsiTheme="minorHAnsi" w:cstheme="minorHAnsi"/>
        </w:rPr>
      </w:pPr>
    </w:p>
    <w:p w:rsidR="007D34F4" w:rsidRDefault="007D34F4" w:rsidP="007D34F4">
      <w:pPr>
        <w:pStyle w:val="Default"/>
        <w:rPr>
          <w:rFonts w:cs="Arial"/>
        </w:rPr>
      </w:pPr>
    </w:p>
    <w:p w:rsidR="007D34F4" w:rsidRDefault="007D34F4" w:rsidP="007D34F4">
      <w:pPr>
        <w:pStyle w:val="Default"/>
        <w:rPr>
          <w:rFonts w:cs="Arial"/>
        </w:rPr>
      </w:pPr>
    </w:p>
    <w:p w:rsidR="007D34F4" w:rsidRDefault="007D34F4" w:rsidP="007D34F4">
      <w:pPr>
        <w:pStyle w:val="Default"/>
        <w:rPr>
          <w:rFonts w:cs="Arial"/>
        </w:rPr>
      </w:pPr>
      <w:r w:rsidRPr="007D34F4">
        <w:rPr>
          <w:rFonts w:cs="Arial"/>
          <w:u w:val="single"/>
        </w:rPr>
        <w:lastRenderedPageBreak/>
        <w:t>Bibliography</w:t>
      </w:r>
      <w:r>
        <w:rPr>
          <w:rFonts w:cs="Arial"/>
        </w:rPr>
        <w:t>:</w:t>
      </w:r>
    </w:p>
    <w:p w:rsidR="007D34F4" w:rsidRDefault="007D34F4" w:rsidP="007D34F4">
      <w:pPr>
        <w:pStyle w:val="Default"/>
        <w:rPr>
          <w:rFonts w:cs="Arial"/>
        </w:rPr>
      </w:pPr>
    </w:p>
    <w:p w:rsidR="007D34F4" w:rsidRDefault="007D34F4" w:rsidP="007D34F4">
      <w:pPr>
        <w:pStyle w:val="FootnoteText"/>
        <w:bidi w:val="0"/>
        <w:jc w:val="both"/>
        <w:rPr>
          <w:rFonts w:cs="Calibri"/>
          <w:sz w:val="24"/>
          <w:szCs w:val="24"/>
        </w:rPr>
      </w:pPr>
      <w:r>
        <w:rPr>
          <w:rFonts w:cs="Calibri"/>
          <w:sz w:val="24"/>
          <w:szCs w:val="24"/>
        </w:rPr>
        <w:t xml:space="preserve">Hoskin Michael, 'Studies in Iberian </w:t>
      </w:r>
      <w:proofErr w:type="spellStart"/>
      <w:r>
        <w:rPr>
          <w:rFonts w:cs="Calibri"/>
          <w:sz w:val="24"/>
          <w:szCs w:val="24"/>
        </w:rPr>
        <w:t>Archaeoastronomy</w:t>
      </w:r>
      <w:proofErr w:type="spellEnd"/>
      <w:r>
        <w:rPr>
          <w:rFonts w:cs="Calibri"/>
          <w:sz w:val="24"/>
          <w:szCs w:val="24"/>
        </w:rPr>
        <w:t xml:space="preserve"> (5) Orientations of Megalithic Tombs of Northern and Western Iberia,' </w:t>
      </w:r>
      <w:proofErr w:type="spellStart"/>
      <w:r>
        <w:rPr>
          <w:rFonts w:cs="Calibri"/>
          <w:i/>
          <w:iCs/>
          <w:sz w:val="24"/>
          <w:szCs w:val="24"/>
        </w:rPr>
        <w:t>Archaeoastronomy</w:t>
      </w:r>
      <w:proofErr w:type="spellEnd"/>
      <w:r>
        <w:rPr>
          <w:rFonts w:cs="Calibri"/>
          <w:sz w:val="24"/>
          <w:szCs w:val="24"/>
        </w:rPr>
        <w:t xml:space="preserve"> 23 (1998). pp S39-S87 </w:t>
      </w:r>
    </w:p>
    <w:p w:rsidR="007D34F4" w:rsidRDefault="007D34F4" w:rsidP="007D34F4">
      <w:pPr>
        <w:pStyle w:val="FootnoteText"/>
        <w:bidi w:val="0"/>
        <w:jc w:val="both"/>
        <w:rPr>
          <w:rFonts w:cs="Calibri"/>
          <w:sz w:val="24"/>
          <w:szCs w:val="24"/>
        </w:rPr>
      </w:pPr>
    </w:p>
    <w:p w:rsidR="007D34F4" w:rsidRDefault="007D34F4" w:rsidP="007D34F4">
      <w:pPr>
        <w:pStyle w:val="FootnoteText"/>
        <w:bidi w:val="0"/>
        <w:rPr>
          <w:rFonts w:cs="Calibri"/>
          <w:sz w:val="24"/>
          <w:szCs w:val="24"/>
        </w:rPr>
      </w:pPr>
      <w:r>
        <w:rPr>
          <w:rFonts w:cs="Calibri"/>
          <w:sz w:val="24"/>
          <w:szCs w:val="24"/>
        </w:rPr>
        <w:t xml:space="preserve">Silva Fabio, "The View from Within: a ‘time-space-action’ approach to </w:t>
      </w:r>
      <w:proofErr w:type="spellStart"/>
      <w:r>
        <w:rPr>
          <w:rFonts w:cs="Calibri"/>
          <w:sz w:val="24"/>
          <w:szCs w:val="24"/>
        </w:rPr>
        <w:t>Megalithism</w:t>
      </w:r>
      <w:proofErr w:type="spellEnd"/>
      <w:r>
        <w:rPr>
          <w:rFonts w:cs="Calibri"/>
          <w:sz w:val="24"/>
          <w:szCs w:val="24"/>
        </w:rPr>
        <w:t xml:space="preserve"> in Central Portugal". In Fabio Silva and Nick Campion (eds.) </w:t>
      </w:r>
      <w:r>
        <w:rPr>
          <w:rFonts w:cs="Calibri"/>
          <w:i/>
          <w:iCs/>
          <w:sz w:val="24"/>
          <w:szCs w:val="24"/>
        </w:rPr>
        <w:t>Skyscapes: The Role and Importance of the Sky in Archaeology</w:t>
      </w:r>
      <w:r>
        <w:rPr>
          <w:rFonts w:cs="Calibri"/>
          <w:sz w:val="24"/>
          <w:szCs w:val="24"/>
        </w:rPr>
        <w:t>. (Oxford: Oxbow Books, 2015) pp. 139-158</w:t>
      </w:r>
    </w:p>
    <w:p w:rsidR="007D34F4" w:rsidRDefault="007D34F4" w:rsidP="007D34F4">
      <w:pPr>
        <w:pStyle w:val="FootnoteText"/>
        <w:bidi w:val="0"/>
        <w:rPr>
          <w:rFonts w:cs="Calibri"/>
          <w:sz w:val="24"/>
          <w:szCs w:val="24"/>
        </w:rPr>
      </w:pPr>
    </w:p>
    <w:p w:rsidR="007D34F4" w:rsidRDefault="007D34F4" w:rsidP="007D34F4">
      <w:pPr>
        <w:pStyle w:val="FootnoteText"/>
        <w:bidi w:val="0"/>
        <w:rPr>
          <w:rFonts w:cs="Calibri"/>
          <w:sz w:val="24"/>
          <w:szCs w:val="24"/>
        </w:rPr>
      </w:pPr>
      <w:r>
        <w:rPr>
          <w:rFonts w:cs="Calibri"/>
          <w:sz w:val="24"/>
          <w:szCs w:val="24"/>
        </w:rPr>
        <w:t>Belmonte</w:t>
      </w:r>
      <w:r>
        <w:rPr>
          <w:rFonts w:cs="Calibri"/>
          <w:sz w:val="24"/>
          <w:szCs w:val="24"/>
          <w:rtl/>
        </w:rPr>
        <w:t xml:space="preserve"> </w:t>
      </w:r>
      <w:r>
        <w:rPr>
          <w:rFonts w:cs="Calibri"/>
          <w:sz w:val="24"/>
          <w:szCs w:val="24"/>
        </w:rPr>
        <w:t xml:space="preserve">Juan Antonio, 'Solar Alignments - Identification and Analysis', in </w:t>
      </w:r>
      <w:proofErr w:type="spellStart"/>
      <w:r>
        <w:rPr>
          <w:rFonts w:cs="Calibri"/>
          <w:sz w:val="24"/>
          <w:szCs w:val="24"/>
        </w:rPr>
        <w:t>Ruggles</w:t>
      </w:r>
      <w:proofErr w:type="spellEnd"/>
      <w:r>
        <w:rPr>
          <w:rFonts w:cs="Calibri"/>
          <w:sz w:val="24"/>
          <w:szCs w:val="24"/>
        </w:rPr>
        <w:t>, Clive (</w:t>
      </w:r>
      <w:proofErr w:type="spellStart"/>
      <w:r>
        <w:rPr>
          <w:rFonts w:cs="Calibri"/>
          <w:sz w:val="24"/>
          <w:szCs w:val="24"/>
        </w:rPr>
        <w:t>ed</w:t>
      </w:r>
      <w:proofErr w:type="spellEnd"/>
      <w:r>
        <w:rPr>
          <w:rFonts w:cs="Calibri"/>
          <w:sz w:val="24"/>
          <w:szCs w:val="24"/>
        </w:rPr>
        <w:t xml:space="preserve">), </w:t>
      </w:r>
      <w:r>
        <w:rPr>
          <w:rFonts w:cs="Calibri"/>
          <w:i/>
          <w:iCs/>
          <w:sz w:val="24"/>
          <w:szCs w:val="24"/>
        </w:rPr>
        <w:t xml:space="preserve">Handbook of </w:t>
      </w:r>
      <w:proofErr w:type="spellStart"/>
      <w:r>
        <w:rPr>
          <w:rFonts w:cs="Calibri"/>
          <w:i/>
          <w:iCs/>
          <w:sz w:val="24"/>
          <w:szCs w:val="24"/>
        </w:rPr>
        <w:t>Archaeoastronomy</w:t>
      </w:r>
      <w:proofErr w:type="spellEnd"/>
      <w:r>
        <w:rPr>
          <w:rFonts w:cs="Calibri"/>
          <w:i/>
          <w:iCs/>
          <w:sz w:val="24"/>
          <w:szCs w:val="24"/>
        </w:rPr>
        <w:t xml:space="preserve"> and Ethnoastronomy</w:t>
      </w:r>
      <w:r>
        <w:rPr>
          <w:rFonts w:cs="Calibri"/>
          <w:sz w:val="24"/>
          <w:szCs w:val="24"/>
        </w:rPr>
        <w:t>, (New York: Springer, 2015) pp. 483-492</w:t>
      </w:r>
    </w:p>
    <w:p w:rsidR="007D34F4" w:rsidRDefault="007D34F4" w:rsidP="007D34F4">
      <w:pPr>
        <w:pStyle w:val="FootnoteText"/>
        <w:bidi w:val="0"/>
        <w:rPr>
          <w:rFonts w:cs="Calibri"/>
          <w:sz w:val="24"/>
          <w:szCs w:val="24"/>
        </w:rPr>
      </w:pPr>
    </w:p>
    <w:p w:rsidR="007D34F4" w:rsidRDefault="007D34F4" w:rsidP="007D34F4">
      <w:pPr>
        <w:pStyle w:val="FootnoteText"/>
        <w:bidi w:val="0"/>
        <w:rPr>
          <w:rFonts w:cs="Calibri"/>
          <w:sz w:val="24"/>
          <w:szCs w:val="24"/>
        </w:rPr>
      </w:pPr>
      <w:proofErr w:type="spellStart"/>
      <w:r>
        <w:rPr>
          <w:rFonts w:cs="Calibri"/>
          <w:sz w:val="24"/>
          <w:szCs w:val="24"/>
        </w:rPr>
        <w:t>Darvill</w:t>
      </w:r>
      <w:proofErr w:type="spellEnd"/>
      <w:r>
        <w:rPr>
          <w:rFonts w:cs="Calibri"/>
          <w:sz w:val="24"/>
          <w:szCs w:val="24"/>
        </w:rPr>
        <w:t xml:space="preserve"> Timothy, 'The historic environment, historic landscapes, and space-time-action models in landscape archaeology', In P. J. </w:t>
      </w:r>
      <w:proofErr w:type="spellStart"/>
      <w:r>
        <w:rPr>
          <w:rFonts w:cs="Calibri"/>
          <w:sz w:val="24"/>
          <w:szCs w:val="24"/>
        </w:rPr>
        <w:t>Ucko</w:t>
      </w:r>
      <w:proofErr w:type="spellEnd"/>
      <w:r>
        <w:rPr>
          <w:rFonts w:cs="Calibri"/>
          <w:sz w:val="24"/>
          <w:szCs w:val="24"/>
        </w:rPr>
        <w:t xml:space="preserve"> and R. Layton (</w:t>
      </w:r>
      <w:proofErr w:type="spellStart"/>
      <w:r>
        <w:rPr>
          <w:rFonts w:cs="Calibri"/>
          <w:sz w:val="24"/>
          <w:szCs w:val="24"/>
        </w:rPr>
        <w:t>eds</w:t>
      </w:r>
      <w:proofErr w:type="spellEnd"/>
      <w:r>
        <w:rPr>
          <w:rFonts w:cs="Calibri"/>
          <w:sz w:val="24"/>
          <w:szCs w:val="24"/>
        </w:rPr>
        <w:t xml:space="preserve">) </w:t>
      </w:r>
      <w:r>
        <w:rPr>
          <w:rFonts w:cs="Calibri"/>
          <w:i/>
          <w:iCs/>
          <w:sz w:val="24"/>
          <w:szCs w:val="24"/>
        </w:rPr>
        <w:t>The Archaeology and Anthropology of Landscape: Shaping your landscape</w:t>
      </w:r>
      <w:r>
        <w:rPr>
          <w:rFonts w:cs="Calibri"/>
          <w:sz w:val="24"/>
          <w:szCs w:val="24"/>
        </w:rPr>
        <w:t>, (London and New York: Routledge 1999). pp:104–18</w:t>
      </w:r>
    </w:p>
    <w:p w:rsidR="007D34F4" w:rsidRDefault="007D34F4" w:rsidP="007D34F4">
      <w:pPr>
        <w:pStyle w:val="FootnoteText"/>
        <w:bidi w:val="0"/>
        <w:rPr>
          <w:rFonts w:cs="Calibri"/>
          <w:sz w:val="24"/>
          <w:szCs w:val="24"/>
        </w:rPr>
      </w:pPr>
    </w:p>
    <w:p w:rsidR="007D34F4" w:rsidRDefault="007D34F4" w:rsidP="007D34F4">
      <w:pPr>
        <w:pStyle w:val="FootnoteText"/>
        <w:bidi w:val="0"/>
        <w:rPr>
          <w:rFonts w:cs="Calibri"/>
          <w:sz w:val="24"/>
          <w:szCs w:val="24"/>
        </w:rPr>
      </w:pPr>
      <w:r>
        <w:rPr>
          <w:rFonts w:cs="Calibri"/>
          <w:sz w:val="24"/>
          <w:szCs w:val="24"/>
        </w:rPr>
        <w:t xml:space="preserve">Durkheim Emile, </w:t>
      </w:r>
      <w:r>
        <w:rPr>
          <w:rFonts w:cs="Calibri"/>
          <w:i/>
          <w:iCs/>
          <w:sz w:val="24"/>
          <w:szCs w:val="24"/>
        </w:rPr>
        <w:t>The Elementary Forms of Religious Life</w:t>
      </w:r>
      <w:r>
        <w:rPr>
          <w:rFonts w:cs="Calibri"/>
          <w:sz w:val="24"/>
          <w:szCs w:val="24"/>
        </w:rPr>
        <w:t xml:space="preserve">, Translated by Joseph W. Swain, (London: George Allen &amp; Unwin Ltd., 1964 [1915]) </w:t>
      </w:r>
    </w:p>
    <w:p w:rsidR="007D34F4" w:rsidRDefault="007D34F4" w:rsidP="007D34F4">
      <w:pPr>
        <w:pStyle w:val="FootnoteText"/>
        <w:bidi w:val="0"/>
        <w:rPr>
          <w:rFonts w:cs="Calibri"/>
          <w:sz w:val="24"/>
          <w:szCs w:val="24"/>
        </w:rPr>
      </w:pPr>
    </w:p>
    <w:p w:rsidR="007D34F4" w:rsidRDefault="007D34F4" w:rsidP="007D34F4">
      <w:pPr>
        <w:pStyle w:val="FootnoteText"/>
        <w:bidi w:val="0"/>
        <w:rPr>
          <w:rFonts w:cs="Calibri"/>
          <w:sz w:val="24"/>
          <w:szCs w:val="24"/>
        </w:rPr>
      </w:pPr>
      <w:proofErr w:type="spellStart"/>
      <w:r>
        <w:rPr>
          <w:rFonts w:cs="Calibri"/>
          <w:sz w:val="24"/>
          <w:szCs w:val="24"/>
        </w:rPr>
        <w:t>Iwaniszewski</w:t>
      </w:r>
      <w:proofErr w:type="spellEnd"/>
      <w:r>
        <w:rPr>
          <w:rFonts w:cs="Calibri"/>
          <w:sz w:val="24"/>
          <w:szCs w:val="24"/>
        </w:rPr>
        <w:t xml:space="preserve"> </w:t>
      </w:r>
      <w:proofErr w:type="spellStart"/>
      <w:r>
        <w:rPr>
          <w:rFonts w:cs="Calibri"/>
          <w:sz w:val="24"/>
          <w:szCs w:val="24"/>
        </w:rPr>
        <w:t>Stanisław</w:t>
      </w:r>
      <w:proofErr w:type="spellEnd"/>
      <w:r>
        <w:rPr>
          <w:rFonts w:cs="Calibri"/>
          <w:sz w:val="24"/>
          <w:szCs w:val="24"/>
        </w:rPr>
        <w:t xml:space="preserve">, 'Concepts of Space, Time, and the Cosmos', in </w:t>
      </w:r>
      <w:proofErr w:type="spellStart"/>
      <w:r>
        <w:rPr>
          <w:rFonts w:cs="Calibri"/>
          <w:sz w:val="24"/>
          <w:szCs w:val="24"/>
        </w:rPr>
        <w:t>Ruggles</w:t>
      </w:r>
      <w:proofErr w:type="spellEnd"/>
      <w:r>
        <w:rPr>
          <w:rFonts w:cs="Calibri"/>
          <w:sz w:val="24"/>
          <w:szCs w:val="24"/>
        </w:rPr>
        <w:t>, Clive (</w:t>
      </w:r>
      <w:proofErr w:type="spellStart"/>
      <w:r>
        <w:rPr>
          <w:rFonts w:cs="Calibri"/>
          <w:sz w:val="24"/>
          <w:szCs w:val="24"/>
        </w:rPr>
        <w:t>ed</w:t>
      </w:r>
      <w:proofErr w:type="spellEnd"/>
      <w:r>
        <w:rPr>
          <w:rFonts w:cs="Calibri"/>
          <w:sz w:val="24"/>
          <w:szCs w:val="24"/>
        </w:rPr>
        <w:t xml:space="preserve">), </w:t>
      </w:r>
      <w:r>
        <w:rPr>
          <w:rFonts w:cs="Calibri"/>
          <w:i/>
          <w:iCs/>
          <w:sz w:val="24"/>
          <w:szCs w:val="24"/>
        </w:rPr>
        <w:t xml:space="preserve">Handbook of </w:t>
      </w:r>
      <w:proofErr w:type="spellStart"/>
      <w:r>
        <w:rPr>
          <w:rFonts w:cs="Calibri"/>
          <w:i/>
          <w:iCs/>
          <w:sz w:val="24"/>
          <w:szCs w:val="24"/>
        </w:rPr>
        <w:t>Archaeoastronomy</w:t>
      </w:r>
      <w:proofErr w:type="spellEnd"/>
      <w:r>
        <w:rPr>
          <w:rFonts w:cs="Calibri"/>
          <w:i/>
          <w:iCs/>
          <w:sz w:val="24"/>
          <w:szCs w:val="24"/>
        </w:rPr>
        <w:t xml:space="preserve"> and Ethnoastronomy</w:t>
      </w:r>
      <w:r>
        <w:rPr>
          <w:rFonts w:cs="Calibri"/>
          <w:sz w:val="24"/>
          <w:szCs w:val="24"/>
        </w:rPr>
        <w:t>, (New York: Springer, 2015) pp. 3-14</w:t>
      </w:r>
    </w:p>
    <w:p w:rsidR="007D34F4" w:rsidRDefault="007D34F4" w:rsidP="007D34F4">
      <w:pPr>
        <w:pStyle w:val="FootnoteText"/>
        <w:bidi w:val="0"/>
        <w:rPr>
          <w:rFonts w:cs="Calibri"/>
          <w:sz w:val="24"/>
          <w:szCs w:val="24"/>
        </w:rPr>
      </w:pPr>
    </w:p>
    <w:p w:rsidR="007D34F4" w:rsidRDefault="007D34F4" w:rsidP="007D34F4">
      <w:pPr>
        <w:pStyle w:val="FootnoteText"/>
        <w:bidi w:val="0"/>
        <w:rPr>
          <w:rFonts w:cs="Calibri"/>
          <w:sz w:val="24"/>
          <w:szCs w:val="24"/>
        </w:rPr>
      </w:pPr>
      <w:r>
        <w:rPr>
          <w:rFonts w:cs="Calibri"/>
          <w:sz w:val="24"/>
          <w:szCs w:val="24"/>
        </w:rPr>
        <w:t>Lewis</w:t>
      </w:r>
      <w:r>
        <w:rPr>
          <w:rFonts w:cs="Calibri"/>
          <w:sz w:val="24"/>
          <w:szCs w:val="24"/>
          <w:rtl/>
        </w:rPr>
        <w:t xml:space="preserve"> </w:t>
      </w:r>
      <w:r>
        <w:rPr>
          <w:rFonts w:cs="Calibri"/>
          <w:sz w:val="24"/>
          <w:szCs w:val="24"/>
        </w:rPr>
        <w:t xml:space="preserve">A. L., 'On Some Dolmens of Peculiar Types in France and Elsewhere', </w:t>
      </w:r>
      <w:r>
        <w:rPr>
          <w:rFonts w:cs="Calibri"/>
          <w:i/>
          <w:iCs/>
          <w:sz w:val="24"/>
          <w:szCs w:val="24"/>
        </w:rPr>
        <w:t>The Journal of the Royal Anthropological Institute of Great Britain and Ireland</w:t>
      </w:r>
      <w:r>
        <w:rPr>
          <w:rFonts w:cs="Calibri" w:hint="cs"/>
          <w:sz w:val="24"/>
          <w:szCs w:val="24"/>
          <w:rtl/>
        </w:rPr>
        <w:t>,</w:t>
      </w:r>
      <w:r>
        <w:rPr>
          <w:rFonts w:cs="Calibri"/>
          <w:sz w:val="24"/>
          <w:szCs w:val="24"/>
        </w:rPr>
        <w:t xml:space="preserve"> Vol. 40 (1910), pp. 336-348</w:t>
      </w:r>
    </w:p>
    <w:p w:rsidR="007D34F4" w:rsidRDefault="007D34F4" w:rsidP="007D34F4">
      <w:pPr>
        <w:pStyle w:val="FootnoteText"/>
        <w:bidi w:val="0"/>
        <w:rPr>
          <w:rFonts w:cs="Calibri"/>
          <w:sz w:val="24"/>
          <w:szCs w:val="24"/>
        </w:rPr>
      </w:pPr>
    </w:p>
    <w:p w:rsidR="007D34F4" w:rsidRDefault="007D34F4" w:rsidP="007D34F4">
      <w:pPr>
        <w:pStyle w:val="FootnoteText"/>
        <w:bidi w:val="0"/>
        <w:rPr>
          <w:rFonts w:cs="Calibri"/>
          <w:sz w:val="24"/>
          <w:szCs w:val="24"/>
        </w:rPr>
      </w:pPr>
      <w:proofErr w:type="spellStart"/>
      <w:r>
        <w:rPr>
          <w:rFonts w:cs="Calibri"/>
          <w:sz w:val="24"/>
          <w:szCs w:val="24"/>
        </w:rPr>
        <w:t>Ruggles</w:t>
      </w:r>
      <w:proofErr w:type="spellEnd"/>
      <w:r>
        <w:rPr>
          <w:rFonts w:cs="Calibri"/>
          <w:sz w:val="24"/>
          <w:szCs w:val="24"/>
        </w:rPr>
        <w:t xml:space="preserve"> Clive, 'Best Practice for Evaluating the Astronomical Significance of Archaeological Sites', in </w:t>
      </w:r>
      <w:proofErr w:type="spellStart"/>
      <w:r>
        <w:rPr>
          <w:rFonts w:cs="Calibri"/>
          <w:sz w:val="24"/>
          <w:szCs w:val="24"/>
        </w:rPr>
        <w:t>Ruggles</w:t>
      </w:r>
      <w:proofErr w:type="spellEnd"/>
      <w:r>
        <w:rPr>
          <w:rFonts w:cs="Calibri"/>
          <w:sz w:val="24"/>
          <w:szCs w:val="24"/>
        </w:rPr>
        <w:t>, Clive (</w:t>
      </w:r>
      <w:proofErr w:type="spellStart"/>
      <w:r>
        <w:rPr>
          <w:rFonts w:cs="Calibri"/>
          <w:sz w:val="24"/>
          <w:szCs w:val="24"/>
        </w:rPr>
        <w:t>ed</w:t>
      </w:r>
      <w:proofErr w:type="spellEnd"/>
      <w:r>
        <w:rPr>
          <w:rFonts w:cs="Calibri"/>
          <w:sz w:val="24"/>
          <w:szCs w:val="24"/>
        </w:rPr>
        <w:t xml:space="preserve">), </w:t>
      </w:r>
      <w:r>
        <w:rPr>
          <w:rFonts w:cs="Calibri"/>
          <w:i/>
          <w:iCs/>
          <w:sz w:val="24"/>
          <w:szCs w:val="24"/>
        </w:rPr>
        <w:t xml:space="preserve">Handbook of </w:t>
      </w:r>
      <w:proofErr w:type="spellStart"/>
      <w:r>
        <w:rPr>
          <w:rFonts w:cs="Calibri"/>
          <w:i/>
          <w:iCs/>
          <w:sz w:val="24"/>
          <w:szCs w:val="24"/>
        </w:rPr>
        <w:t>Archaeoastronomy</w:t>
      </w:r>
      <w:proofErr w:type="spellEnd"/>
      <w:r>
        <w:rPr>
          <w:rFonts w:cs="Calibri"/>
          <w:i/>
          <w:iCs/>
          <w:sz w:val="24"/>
          <w:szCs w:val="24"/>
        </w:rPr>
        <w:t xml:space="preserve"> and Ethnoastronomy</w:t>
      </w:r>
      <w:r>
        <w:rPr>
          <w:rFonts w:cs="Calibri"/>
          <w:sz w:val="24"/>
          <w:szCs w:val="24"/>
        </w:rPr>
        <w:t>, (New York: Springer, 2015) pp. 374-387</w:t>
      </w:r>
    </w:p>
    <w:p w:rsidR="007D34F4" w:rsidRDefault="007D34F4" w:rsidP="007D34F4">
      <w:pPr>
        <w:pStyle w:val="FootnoteText"/>
        <w:bidi w:val="0"/>
        <w:rPr>
          <w:rFonts w:cs="Calibri"/>
          <w:sz w:val="24"/>
          <w:szCs w:val="24"/>
        </w:rPr>
      </w:pPr>
    </w:p>
    <w:p w:rsidR="007D34F4" w:rsidRDefault="007D34F4" w:rsidP="007D34F4">
      <w:pPr>
        <w:pStyle w:val="FootnoteText"/>
        <w:bidi w:val="0"/>
        <w:rPr>
          <w:rFonts w:cs="Calibri"/>
          <w:sz w:val="24"/>
          <w:szCs w:val="24"/>
        </w:rPr>
      </w:pPr>
      <w:proofErr w:type="spellStart"/>
      <w:r>
        <w:rPr>
          <w:rFonts w:cs="Calibri"/>
          <w:sz w:val="24"/>
          <w:szCs w:val="24"/>
        </w:rPr>
        <w:t>Sela</w:t>
      </w:r>
      <w:proofErr w:type="spellEnd"/>
      <w:r>
        <w:rPr>
          <w:rFonts w:cs="Calibri"/>
          <w:sz w:val="24"/>
          <w:szCs w:val="24"/>
        </w:rPr>
        <w:t xml:space="preserve"> </w:t>
      </w:r>
      <w:proofErr w:type="spellStart"/>
      <w:r>
        <w:rPr>
          <w:rFonts w:cs="Calibri"/>
          <w:sz w:val="24"/>
          <w:szCs w:val="24"/>
        </w:rPr>
        <w:t>Shlomo</w:t>
      </w:r>
      <w:proofErr w:type="spellEnd"/>
      <w:r>
        <w:rPr>
          <w:rFonts w:cs="Calibri"/>
          <w:sz w:val="24"/>
          <w:szCs w:val="24"/>
        </w:rPr>
        <w:t xml:space="preserve">, Abraham Ibn Ezra on Nativities and Continuous </w:t>
      </w:r>
      <w:proofErr w:type="gramStart"/>
      <w:r>
        <w:rPr>
          <w:rFonts w:cs="Calibri"/>
          <w:sz w:val="24"/>
          <w:szCs w:val="24"/>
        </w:rPr>
        <w:t>Horoscopy::</w:t>
      </w:r>
      <w:proofErr w:type="gramEnd"/>
      <w:r>
        <w:rPr>
          <w:rFonts w:cs="Calibri"/>
          <w:sz w:val="24"/>
          <w:szCs w:val="24"/>
        </w:rPr>
        <w:t xml:space="preserve"> A Parallel Hebrew-English Critical Edition of the Book of Nativities and the Book of Revolution, (Leiden: Brill, 2013) p. 119</w:t>
      </w:r>
    </w:p>
    <w:p w:rsidR="007D34F4" w:rsidRDefault="007D34F4" w:rsidP="007D34F4">
      <w:pPr>
        <w:pStyle w:val="FootnoteText"/>
        <w:bidi w:val="0"/>
        <w:rPr>
          <w:rFonts w:cs="Calibri"/>
          <w:sz w:val="24"/>
          <w:szCs w:val="24"/>
        </w:rPr>
      </w:pPr>
    </w:p>
    <w:p w:rsidR="003C03B1" w:rsidRPr="009E2041" w:rsidRDefault="007D34F4" w:rsidP="00125842">
      <w:pPr>
        <w:pStyle w:val="FootnoteText"/>
        <w:bidi w:val="0"/>
        <w:rPr>
          <w:rFonts w:asciiTheme="minorHAnsi" w:hAnsiTheme="minorHAnsi" w:cstheme="minorHAnsi"/>
        </w:rPr>
      </w:pPr>
      <w:r>
        <w:rPr>
          <w:rFonts w:cs="Calibri"/>
          <w:sz w:val="24"/>
          <w:szCs w:val="24"/>
        </w:rPr>
        <w:t>Jordan Ministry of Tourism &amp; Antiquities, '</w:t>
      </w:r>
      <w:r>
        <w:rPr>
          <w:rFonts w:cs="Calibri"/>
          <w:sz w:val="24"/>
          <w:szCs w:val="24"/>
          <w:rtl/>
        </w:rPr>
        <w:t xml:space="preserve"> </w:t>
      </w:r>
      <w:r>
        <w:rPr>
          <w:rFonts w:cs="Calibri"/>
          <w:sz w:val="24"/>
          <w:szCs w:val="24"/>
        </w:rPr>
        <w:t xml:space="preserve">Italian Archeologist Explores ‘Temple </w:t>
      </w:r>
      <w:proofErr w:type="gramStart"/>
      <w:r>
        <w:rPr>
          <w:rFonts w:cs="Calibri"/>
          <w:sz w:val="24"/>
          <w:szCs w:val="24"/>
        </w:rPr>
        <w:t>Of</w:t>
      </w:r>
      <w:proofErr w:type="gramEnd"/>
      <w:r>
        <w:rPr>
          <w:rFonts w:cs="Calibri"/>
          <w:sz w:val="24"/>
          <w:szCs w:val="24"/>
        </w:rPr>
        <w:t xml:space="preserve"> Serpents’ Along Zarqa River &lt;http://www.mota.gov.jo/NewsView.aspx?NewsId=1134&gt; [Accessed Feb. 28, 2018]</w:t>
      </w:r>
      <w:bookmarkStart w:id="6" w:name="_GoBack"/>
      <w:bookmarkEnd w:id="6"/>
    </w:p>
    <w:sectPr w:rsidR="003C03B1" w:rsidRPr="009E2041">
      <w:headerReference w:type="default" r:id="rId10"/>
      <w:footerReference w:type="default" r:id="rId11"/>
      <w:pgSz w:w="12240" w:h="15840"/>
      <w:pgMar w:top="567" w:right="1797" w:bottom="567" w:left="1797"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6E94" w:rsidRDefault="00C06E94">
      <w:r>
        <w:separator/>
      </w:r>
    </w:p>
  </w:endnote>
  <w:endnote w:type="continuationSeparator" w:id="0">
    <w:p w:rsidR="00C06E94" w:rsidRDefault="00C06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ode">
    <w:altName w:val="Calibri"/>
    <w:charset w:val="00"/>
    <w:family w:val="auto"/>
    <w:pitch w:val="default"/>
  </w:font>
  <w:font w:name="inherit">
    <w:altName w:val="Calibri"/>
    <w:charset w:val="00"/>
    <w:family w:val="auto"/>
    <w:pitch w:val="default"/>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3D89" w:rsidRDefault="000B4498">
    <w:pPr>
      <w:tabs>
        <w:tab w:val="center" w:pos="4513"/>
        <w:tab w:val="right" w:pos="9026"/>
      </w:tabs>
      <w:spacing w:after="720"/>
    </w:pPr>
    <w:r>
      <w:rPr>
        <w:rFonts w:ascii="Trebuchet MS" w:eastAsia="Trebuchet MS" w:hAnsi="Trebuchet MS" w:cs="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6E94" w:rsidRDefault="00C06E94">
      <w:r>
        <w:separator/>
      </w:r>
    </w:p>
  </w:footnote>
  <w:footnote w:type="continuationSeparator" w:id="0">
    <w:p w:rsidR="00C06E94" w:rsidRDefault="00C06E94">
      <w:r>
        <w:continuationSeparator/>
      </w:r>
    </w:p>
  </w:footnote>
  <w:footnote w:id="1">
    <w:p w:rsidR="007D34F4" w:rsidRDefault="007D34F4" w:rsidP="007D34F4">
      <w:pPr>
        <w:pStyle w:val="FootnoteText"/>
        <w:bidi w:val="0"/>
        <w:jc w:val="both"/>
        <w:rPr>
          <w:rtl/>
        </w:rPr>
      </w:pPr>
      <w:r>
        <w:rPr>
          <w:rStyle w:val="FootnoteReference"/>
        </w:rPr>
        <w:footnoteRef/>
      </w:r>
      <w:r>
        <w:t xml:space="preserve">Michael Hoskin, 'Studies in Iberian </w:t>
      </w:r>
      <w:proofErr w:type="spellStart"/>
      <w:r>
        <w:t>Archaeoastronomy</w:t>
      </w:r>
      <w:proofErr w:type="spellEnd"/>
      <w:r>
        <w:t xml:space="preserve"> (5) Orientations of Megalithic Tombs of Northern and Western Iberia,' </w:t>
      </w:r>
      <w:proofErr w:type="spellStart"/>
      <w:r>
        <w:rPr>
          <w:i/>
          <w:iCs/>
        </w:rPr>
        <w:t>Archaeoastronomy</w:t>
      </w:r>
      <w:proofErr w:type="spellEnd"/>
      <w:r>
        <w:t xml:space="preserve"> 23 (1998). pp S39-S87 </w:t>
      </w:r>
    </w:p>
  </w:footnote>
  <w:footnote w:id="2">
    <w:p w:rsidR="007D34F4" w:rsidRDefault="007D34F4" w:rsidP="007D34F4">
      <w:pPr>
        <w:pStyle w:val="FootnoteText"/>
        <w:bidi w:val="0"/>
      </w:pPr>
      <w:r>
        <w:rPr>
          <w:rStyle w:val="FootnoteReference"/>
        </w:rPr>
        <w:footnoteRef/>
      </w:r>
      <w:r>
        <w:rPr>
          <w:rtl/>
        </w:rPr>
        <w:t xml:space="preserve"> </w:t>
      </w:r>
      <w:r>
        <w:t xml:space="preserve">Fabio Silva, "The View from Within: a ‘time-space-action’ approach to </w:t>
      </w:r>
      <w:proofErr w:type="spellStart"/>
      <w:r>
        <w:t>Megalithism</w:t>
      </w:r>
      <w:proofErr w:type="spellEnd"/>
      <w:r>
        <w:t xml:space="preserve"> in Central Portugal". In Fabio Silva and Nick Campion (eds.) </w:t>
      </w:r>
      <w:r>
        <w:rPr>
          <w:i/>
          <w:iCs/>
        </w:rPr>
        <w:t>Skyscapes: The Role and Importance of the Sky in Archaeology</w:t>
      </w:r>
      <w:r>
        <w:t>. (Oxford: Oxbow Books, 2015) pp. 139-158</w:t>
      </w:r>
    </w:p>
  </w:footnote>
  <w:footnote w:id="3">
    <w:p w:rsidR="007D34F4" w:rsidRDefault="007D34F4" w:rsidP="007D34F4">
      <w:pPr>
        <w:pStyle w:val="FootnoteText"/>
        <w:bidi w:val="0"/>
      </w:pPr>
      <w:r>
        <w:rPr>
          <w:rStyle w:val="FootnoteReference"/>
        </w:rPr>
        <w:footnoteRef/>
      </w:r>
      <w:r>
        <w:rPr>
          <w:rtl/>
        </w:rPr>
        <w:t xml:space="preserve"> </w:t>
      </w:r>
      <w:r>
        <w:t>Silva, 'The view from within, p. 124</w:t>
      </w:r>
    </w:p>
  </w:footnote>
  <w:footnote w:id="4">
    <w:p w:rsidR="007D34F4" w:rsidRDefault="007D34F4" w:rsidP="007D34F4">
      <w:pPr>
        <w:pStyle w:val="FootnoteText"/>
        <w:bidi w:val="0"/>
      </w:pPr>
      <w:r>
        <w:rPr>
          <w:rStyle w:val="FootnoteReference"/>
        </w:rPr>
        <w:footnoteRef/>
      </w:r>
      <w:r>
        <w:rPr>
          <w:rtl/>
        </w:rPr>
        <w:t xml:space="preserve"> </w:t>
      </w:r>
      <w:r>
        <w:t xml:space="preserve">Clive </w:t>
      </w:r>
      <w:proofErr w:type="spellStart"/>
      <w:r>
        <w:t>Ruggles</w:t>
      </w:r>
      <w:proofErr w:type="spellEnd"/>
      <w:r>
        <w:t xml:space="preserve">, 'Best Practice for Evaluating the Astronomical Significance of Archaeological Sites', in </w:t>
      </w:r>
      <w:proofErr w:type="spellStart"/>
      <w:r>
        <w:t>Ruggles</w:t>
      </w:r>
      <w:proofErr w:type="spellEnd"/>
      <w:r>
        <w:t>, Clive (</w:t>
      </w:r>
      <w:proofErr w:type="spellStart"/>
      <w:r>
        <w:t>ed</w:t>
      </w:r>
      <w:proofErr w:type="spellEnd"/>
      <w:r>
        <w:t xml:space="preserve">), </w:t>
      </w:r>
      <w:r>
        <w:rPr>
          <w:i/>
          <w:iCs/>
        </w:rPr>
        <w:t xml:space="preserve">Handbook of </w:t>
      </w:r>
      <w:proofErr w:type="spellStart"/>
      <w:r>
        <w:rPr>
          <w:i/>
          <w:iCs/>
        </w:rPr>
        <w:t>Archaeoastronomy</w:t>
      </w:r>
      <w:proofErr w:type="spellEnd"/>
      <w:r>
        <w:rPr>
          <w:i/>
          <w:iCs/>
        </w:rPr>
        <w:t xml:space="preserve"> and Ethnoastronomy</w:t>
      </w:r>
      <w:r>
        <w:t>, (New York: Springer, 2015) pp. 374-387, p.375</w:t>
      </w:r>
    </w:p>
  </w:footnote>
  <w:footnote w:id="5">
    <w:p w:rsidR="007D34F4" w:rsidRDefault="007D34F4" w:rsidP="007D34F4">
      <w:pPr>
        <w:pStyle w:val="FootnoteText"/>
        <w:bidi w:val="0"/>
      </w:pPr>
      <w:r>
        <w:rPr>
          <w:rStyle w:val="FootnoteReference"/>
        </w:rPr>
        <w:footnoteRef/>
      </w:r>
      <w:r>
        <w:rPr>
          <w:rtl/>
        </w:rPr>
        <w:t xml:space="preserve"> </w:t>
      </w:r>
      <w:r>
        <w:t xml:space="preserve">Hoskin, 'Studies in Iberian </w:t>
      </w:r>
      <w:proofErr w:type="spellStart"/>
      <w:r>
        <w:t>Archaeoastronomy</w:t>
      </w:r>
      <w:proofErr w:type="spellEnd"/>
      <w:r>
        <w:t>'. p. S40</w:t>
      </w:r>
    </w:p>
  </w:footnote>
  <w:footnote w:id="6">
    <w:p w:rsidR="007D34F4" w:rsidRDefault="007D34F4" w:rsidP="007D34F4">
      <w:pPr>
        <w:pStyle w:val="FootnoteText"/>
        <w:bidi w:val="0"/>
      </w:pPr>
      <w:r>
        <w:rPr>
          <w:rStyle w:val="FootnoteReference"/>
        </w:rPr>
        <w:footnoteRef/>
      </w:r>
      <w:r>
        <w:rPr>
          <w:rtl/>
        </w:rPr>
        <w:t xml:space="preserve"> </w:t>
      </w:r>
      <w:r>
        <w:t xml:space="preserve">Hoskin, 'Studies in Iberian </w:t>
      </w:r>
      <w:proofErr w:type="spellStart"/>
      <w:r>
        <w:t>Archaeoastronomy</w:t>
      </w:r>
      <w:proofErr w:type="spellEnd"/>
      <w:r>
        <w:t>'. p. S40</w:t>
      </w:r>
    </w:p>
  </w:footnote>
  <w:footnote w:id="7">
    <w:p w:rsidR="007D34F4" w:rsidRDefault="007D34F4" w:rsidP="007D34F4">
      <w:pPr>
        <w:pStyle w:val="FootnoteText"/>
        <w:bidi w:val="0"/>
      </w:pPr>
      <w:r>
        <w:rPr>
          <w:rStyle w:val="FootnoteReference"/>
        </w:rPr>
        <w:footnoteRef/>
      </w:r>
      <w:r>
        <w:rPr>
          <w:rtl/>
        </w:rPr>
        <w:t xml:space="preserve"> </w:t>
      </w:r>
      <w:r>
        <w:t>Silva, 'The view from within, p. 125</w:t>
      </w:r>
    </w:p>
  </w:footnote>
  <w:footnote w:id="8">
    <w:p w:rsidR="007D34F4" w:rsidRDefault="007D34F4" w:rsidP="007D34F4">
      <w:pPr>
        <w:pStyle w:val="FootnoteText"/>
        <w:bidi w:val="0"/>
      </w:pPr>
      <w:r>
        <w:rPr>
          <w:rStyle w:val="FootnoteReference"/>
        </w:rPr>
        <w:footnoteRef/>
      </w:r>
      <w:r>
        <w:rPr>
          <w:rtl/>
        </w:rPr>
        <w:t xml:space="preserve"> </w:t>
      </w:r>
      <w:r>
        <w:t xml:space="preserve">Juan Antonio Belmonte, 'Solar Alignments - Identification and Analysis', in </w:t>
      </w:r>
      <w:proofErr w:type="spellStart"/>
      <w:r>
        <w:t>Ruggles</w:t>
      </w:r>
      <w:proofErr w:type="spellEnd"/>
      <w:r>
        <w:t>, Clive (</w:t>
      </w:r>
      <w:proofErr w:type="spellStart"/>
      <w:r>
        <w:t>ed</w:t>
      </w:r>
      <w:proofErr w:type="spellEnd"/>
      <w:r>
        <w:t xml:space="preserve">), </w:t>
      </w:r>
      <w:r>
        <w:rPr>
          <w:i/>
          <w:iCs/>
        </w:rPr>
        <w:t xml:space="preserve">Handbook of </w:t>
      </w:r>
      <w:proofErr w:type="spellStart"/>
      <w:r>
        <w:rPr>
          <w:i/>
          <w:iCs/>
        </w:rPr>
        <w:t>Archaeoastronomy</w:t>
      </w:r>
      <w:proofErr w:type="spellEnd"/>
      <w:r>
        <w:rPr>
          <w:i/>
          <w:iCs/>
        </w:rPr>
        <w:t xml:space="preserve"> and Ethnoastronomy</w:t>
      </w:r>
      <w:r>
        <w:t>, (New York: Springer, 2015) pp. 483-492, p.483</w:t>
      </w:r>
    </w:p>
  </w:footnote>
  <w:footnote w:id="9">
    <w:p w:rsidR="007D34F4" w:rsidRDefault="007D34F4" w:rsidP="007D34F4">
      <w:pPr>
        <w:pStyle w:val="FootnoteText"/>
        <w:bidi w:val="0"/>
      </w:pPr>
      <w:r>
        <w:rPr>
          <w:rStyle w:val="FootnoteReference"/>
        </w:rPr>
        <w:footnoteRef/>
      </w:r>
      <w:r>
        <w:rPr>
          <w:rtl/>
        </w:rPr>
        <w:t xml:space="preserve"> </w:t>
      </w:r>
      <w:r>
        <w:t>Silva, 'The view from within, p. 124</w:t>
      </w:r>
    </w:p>
  </w:footnote>
  <w:footnote w:id="10">
    <w:p w:rsidR="007D34F4" w:rsidRDefault="007D34F4" w:rsidP="007D34F4">
      <w:pPr>
        <w:pStyle w:val="FootnoteText"/>
        <w:bidi w:val="0"/>
      </w:pPr>
      <w:r>
        <w:rPr>
          <w:rStyle w:val="FootnoteReference"/>
        </w:rPr>
        <w:footnoteRef/>
      </w:r>
      <w:r>
        <w:rPr>
          <w:rtl/>
        </w:rPr>
        <w:t xml:space="preserve"> </w:t>
      </w:r>
      <w:r>
        <w:t xml:space="preserve"> Timothy </w:t>
      </w:r>
      <w:proofErr w:type="spellStart"/>
      <w:r>
        <w:t>Darvill</w:t>
      </w:r>
      <w:proofErr w:type="spellEnd"/>
      <w:r>
        <w:t xml:space="preserve">, 'The historic environment, historic landscapes, and space-time-action models in landscape archaeology', In P. J. </w:t>
      </w:r>
      <w:proofErr w:type="spellStart"/>
      <w:r>
        <w:t>Ucko</w:t>
      </w:r>
      <w:proofErr w:type="spellEnd"/>
      <w:r>
        <w:t xml:space="preserve"> and R. Layton (</w:t>
      </w:r>
      <w:proofErr w:type="spellStart"/>
      <w:r>
        <w:t>eds</w:t>
      </w:r>
      <w:proofErr w:type="spellEnd"/>
      <w:r>
        <w:t xml:space="preserve">) </w:t>
      </w:r>
      <w:r>
        <w:rPr>
          <w:i/>
          <w:iCs/>
        </w:rPr>
        <w:t>The Archaeology and Anthropology of Landscape: Shaping your landscape</w:t>
      </w:r>
      <w:r>
        <w:t>, (London and New York: Routledge 1999). pp:104–18, p. 111</w:t>
      </w:r>
    </w:p>
  </w:footnote>
  <w:footnote w:id="11">
    <w:p w:rsidR="007D34F4" w:rsidRDefault="007D34F4" w:rsidP="007D34F4">
      <w:pPr>
        <w:pStyle w:val="FootnoteText"/>
        <w:bidi w:val="0"/>
      </w:pPr>
      <w:r>
        <w:rPr>
          <w:rStyle w:val="FootnoteReference"/>
        </w:rPr>
        <w:footnoteRef/>
      </w:r>
      <w:r>
        <w:rPr>
          <w:rtl/>
        </w:rPr>
        <w:t xml:space="preserve"> </w:t>
      </w:r>
      <w:r>
        <w:t xml:space="preserve"> </w:t>
      </w:r>
      <w:proofErr w:type="spellStart"/>
      <w:r>
        <w:t>Stanisław</w:t>
      </w:r>
      <w:proofErr w:type="spellEnd"/>
      <w:r>
        <w:t xml:space="preserve"> </w:t>
      </w:r>
      <w:proofErr w:type="spellStart"/>
      <w:r>
        <w:t>Iwaniszewski</w:t>
      </w:r>
      <w:proofErr w:type="spellEnd"/>
      <w:r>
        <w:t xml:space="preserve">, 'Concepts of Space, Time, and the Cosmos', in </w:t>
      </w:r>
      <w:proofErr w:type="spellStart"/>
      <w:r>
        <w:t>Ruggles</w:t>
      </w:r>
      <w:proofErr w:type="spellEnd"/>
      <w:r>
        <w:t>, Clive (</w:t>
      </w:r>
      <w:proofErr w:type="spellStart"/>
      <w:r>
        <w:t>ed</w:t>
      </w:r>
      <w:proofErr w:type="spellEnd"/>
      <w:r>
        <w:t xml:space="preserve">), </w:t>
      </w:r>
      <w:r>
        <w:rPr>
          <w:i/>
          <w:iCs/>
        </w:rPr>
        <w:t xml:space="preserve">Handbook of </w:t>
      </w:r>
      <w:proofErr w:type="spellStart"/>
      <w:r>
        <w:rPr>
          <w:i/>
          <w:iCs/>
        </w:rPr>
        <w:t>Archaeoastronomy</w:t>
      </w:r>
      <w:proofErr w:type="spellEnd"/>
      <w:r>
        <w:rPr>
          <w:i/>
          <w:iCs/>
        </w:rPr>
        <w:t xml:space="preserve"> and Ethnoastronomy</w:t>
      </w:r>
      <w:r>
        <w:t>, (New York: Springer, 2015) pp. 3-14. p.4</w:t>
      </w:r>
    </w:p>
  </w:footnote>
  <w:footnote w:id="12">
    <w:p w:rsidR="007D34F4" w:rsidRDefault="007D34F4" w:rsidP="007D34F4">
      <w:pPr>
        <w:pStyle w:val="FootnoteText"/>
        <w:bidi w:val="0"/>
      </w:pPr>
      <w:r>
        <w:rPr>
          <w:rStyle w:val="FootnoteReference"/>
        </w:rPr>
        <w:footnoteRef/>
      </w:r>
      <w:r>
        <w:rPr>
          <w:rtl/>
        </w:rPr>
        <w:t xml:space="preserve"> </w:t>
      </w:r>
      <w:r>
        <w:t>Silva, 'The view from within', p. 131</w:t>
      </w:r>
    </w:p>
  </w:footnote>
  <w:footnote w:id="13">
    <w:p w:rsidR="007D34F4" w:rsidRDefault="007D34F4" w:rsidP="007D34F4">
      <w:pPr>
        <w:pStyle w:val="FootnoteText"/>
        <w:bidi w:val="0"/>
      </w:pPr>
      <w:r>
        <w:rPr>
          <w:rStyle w:val="FootnoteReference"/>
        </w:rPr>
        <w:footnoteRef/>
      </w:r>
      <w:r>
        <w:rPr>
          <w:rtl/>
        </w:rPr>
        <w:t xml:space="preserve"> </w:t>
      </w:r>
      <w:r>
        <w:t>Silva, 'The view from within', p. 133</w:t>
      </w:r>
    </w:p>
  </w:footnote>
  <w:footnote w:id="14">
    <w:p w:rsidR="007D34F4" w:rsidRDefault="007D34F4" w:rsidP="007D34F4">
      <w:pPr>
        <w:pStyle w:val="FootnoteText"/>
        <w:bidi w:val="0"/>
      </w:pPr>
      <w:r>
        <w:rPr>
          <w:rStyle w:val="FootnoteReference"/>
        </w:rPr>
        <w:footnoteRef/>
      </w:r>
      <w:r>
        <w:rPr>
          <w:rtl/>
        </w:rPr>
        <w:t xml:space="preserve"> </w:t>
      </w:r>
      <w:proofErr w:type="spellStart"/>
      <w:r>
        <w:t>Shlomo</w:t>
      </w:r>
      <w:proofErr w:type="spellEnd"/>
      <w:r>
        <w:t xml:space="preserve"> </w:t>
      </w:r>
      <w:proofErr w:type="spellStart"/>
      <w:r>
        <w:t>Sela</w:t>
      </w:r>
      <w:proofErr w:type="spellEnd"/>
      <w:r>
        <w:t xml:space="preserve">, Abraham Ibn Ezra on Nativities and Continuous </w:t>
      </w:r>
      <w:proofErr w:type="gramStart"/>
      <w:r>
        <w:t>Horoscopy::</w:t>
      </w:r>
      <w:proofErr w:type="gramEnd"/>
      <w:r>
        <w:t xml:space="preserve"> A Parallel Hebrew-English Critical Edition of the Book of Nativities and the Book of Revolution, (Leiden: Brill, 2013) p. 119</w:t>
      </w:r>
    </w:p>
  </w:footnote>
  <w:footnote w:id="15">
    <w:p w:rsidR="007D34F4" w:rsidRDefault="007D34F4" w:rsidP="007D34F4">
      <w:pPr>
        <w:pStyle w:val="FootnoteText"/>
        <w:bidi w:val="0"/>
      </w:pPr>
      <w:r>
        <w:rPr>
          <w:rStyle w:val="FootnoteReference"/>
        </w:rPr>
        <w:footnoteRef/>
      </w:r>
      <w:r>
        <w:rPr>
          <w:rtl/>
        </w:rPr>
        <w:t xml:space="preserve"> </w:t>
      </w:r>
      <w:r>
        <w:t>Silva, 'The view from within', p. 134</w:t>
      </w:r>
    </w:p>
  </w:footnote>
  <w:footnote w:id="16">
    <w:p w:rsidR="007D34F4" w:rsidRDefault="007D34F4" w:rsidP="007D34F4">
      <w:pPr>
        <w:pStyle w:val="FootnoteText"/>
        <w:bidi w:val="0"/>
      </w:pPr>
      <w:r>
        <w:rPr>
          <w:rStyle w:val="FootnoteReference"/>
        </w:rPr>
        <w:footnoteRef/>
      </w:r>
      <w:r>
        <w:rPr>
          <w:rtl/>
        </w:rPr>
        <w:t xml:space="preserve"> </w:t>
      </w:r>
      <w:r>
        <w:t xml:space="preserve">Emile Durkheim, </w:t>
      </w:r>
      <w:r>
        <w:rPr>
          <w:i/>
          <w:iCs/>
        </w:rPr>
        <w:t>The Elementary Forms of Religious Life</w:t>
      </w:r>
      <w:r>
        <w:t>, Translated by Joseph W. Swain, (London: George Allen &amp; Unwin Ltd., 1964 [1915]) p.38</w:t>
      </w:r>
    </w:p>
  </w:footnote>
  <w:footnote w:id="17">
    <w:p w:rsidR="007D34F4" w:rsidRDefault="007D34F4" w:rsidP="007D34F4">
      <w:pPr>
        <w:pStyle w:val="FootnoteText"/>
        <w:bidi w:val="0"/>
      </w:pPr>
      <w:r>
        <w:rPr>
          <w:rStyle w:val="FootnoteReference"/>
        </w:rPr>
        <w:footnoteRef/>
      </w:r>
      <w:r>
        <w:t>Jordan Ministry of Tourism &amp; Antiquities, '</w:t>
      </w:r>
      <w:r>
        <w:rPr>
          <w:rtl/>
        </w:rPr>
        <w:t xml:space="preserve"> </w:t>
      </w:r>
      <w:r>
        <w:t xml:space="preserve">Italian Archeologist Explores ‘Temple </w:t>
      </w:r>
      <w:proofErr w:type="gramStart"/>
      <w:r>
        <w:t>Of</w:t>
      </w:r>
      <w:proofErr w:type="gramEnd"/>
      <w:r>
        <w:t xml:space="preserve"> Serpents’ Along Zarqa River &lt;http://www.mota.gov.jo/NewsView.aspx?NewsId=1134&gt; [Accessed Feb. 28, 2018]</w:t>
      </w:r>
    </w:p>
  </w:footnote>
  <w:footnote w:id="18">
    <w:p w:rsidR="007D34F4" w:rsidRDefault="007D34F4" w:rsidP="007D34F4">
      <w:pPr>
        <w:pStyle w:val="FootnoteText"/>
        <w:bidi w:val="0"/>
      </w:pPr>
      <w:r>
        <w:rPr>
          <w:rStyle w:val="FootnoteReference"/>
        </w:rPr>
        <w:footnoteRef/>
      </w:r>
      <w:r>
        <w:rPr>
          <w:rtl/>
        </w:rPr>
        <w:t xml:space="preserve"> </w:t>
      </w:r>
      <w:r>
        <w:t xml:space="preserve"> A. L. Lewis, 'On Some Dolmens of Peculiar Types in France and Elsewhere', </w:t>
      </w:r>
      <w:r>
        <w:rPr>
          <w:i/>
          <w:iCs/>
        </w:rPr>
        <w:t>The Journal of the Royal Anthropological Institute of Great Britain and Ireland</w:t>
      </w:r>
      <w:r>
        <w:rPr>
          <w:rtl/>
        </w:rPr>
        <w:t>,</w:t>
      </w:r>
      <w:r>
        <w:t xml:space="preserve"> Vol. 40 (1910), pp. 336-348 p. 337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3D89" w:rsidRDefault="000B4498">
    <w:pPr>
      <w:tabs>
        <w:tab w:val="center" w:pos="4513"/>
        <w:tab w:val="right" w:pos="9026"/>
      </w:tabs>
      <w:spacing w:before="567"/>
    </w:pPr>
    <w:proofErr w:type="spellStart"/>
    <w:r>
      <w:rPr>
        <w:rFonts w:ascii="Trebuchet MS" w:eastAsia="Trebuchet MS" w:hAnsi="Trebuchet MS" w:cs="Trebuchet MS"/>
        <w:sz w:val="22"/>
        <w:szCs w:val="22"/>
      </w:rPr>
      <w:t>Maayan</w:t>
    </w:r>
    <w:proofErr w:type="spellEnd"/>
    <w:r>
      <w:rPr>
        <w:rFonts w:ascii="Trebuchet MS" w:eastAsia="Trebuchet MS" w:hAnsi="Trebuchet MS" w:cs="Trebuchet MS"/>
        <w:sz w:val="22"/>
        <w:szCs w:val="22"/>
      </w:rPr>
      <w:t xml:space="preserve"> </w:t>
    </w:r>
    <w:proofErr w:type="spellStart"/>
    <w:r>
      <w:rPr>
        <w:rFonts w:ascii="Trebuchet MS" w:eastAsia="Trebuchet MS" w:hAnsi="Trebuchet MS" w:cs="Trebuchet MS"/>
        <w:sz w:val="22"/>
        <w:szCs w:val="22"/>
      </w:rPr>
      <w:t>Medzini</w:t>
    </w:r>
    <w:proofErr w:type="spellEnd"/>
    <w:r>
      <w:rPr>
        <w:rFonts w:ascii="Trebuchet MS" w:eastAsia="Trebuchet MS" w:hAnsi="Trebuchet MS" w:cs="Trebuchet MS"/>
        <w:sz w:val="22"/>
        <w:szCs w:val="22"/>
      </w:rPr>
      <w:t xml:space="preserve"> 1601934</w:t>
    </w:r>
    <w:r>
      <w:rPr>
        <w:rFonts w:ascii="Trebuchet MS" w:eastAsia="Trebuchet MS" w:hAnsi="Trebuchet MS" w:cs="Trebuchet MS"/>
        <w:sz w:val="22"/>
        <w:szCs w:val="22"/>
      </w:rPr>
      <w:tab/>
    </w:r>
    <w:r>
      <w:rPr>
        <w:rFonts w:ascii="Trebuchet MS" w:eastAsia="Trebuchet MS" w:hAnsi="Trebuchet MS" w:cs="Trebuchet MS"/>
        <w:sz w:val="22"/>
        <w:szCs w:val="22"/>
      </w:rPr>
      <w:tab/>
      <w:t xml:space="preserve">Page </w:t>
    </w:r>
    <w:r>
      <w:fldChar w:fldCharType="begin"/>
    </w:r>
    <w:r>
      <w:instrText>PAGE</w:instrText>
    </w:r>
    <w:r>
      <w:fldChar w:fldCharType="separate"/>
    </w:r>
    <w:r w:rsidR="00125842">
      <w:rPr>
        <w:noProof/>
      </w:rPr>
      <w:t>7</w:t>
    </w:r>
    <w:r>
      <w:fldChar w:fldCharType="end"/>
    </w:r>
    <w:r>
      <w:rPr>
        <w:rFonts w:ascii="Trebuchet MS" w:eastAsia="Trebuchet MS" w:hAnsi="Trebuchet MS" w:cs="Trebuchet MS"/>
        <w:sz w:val="22"/>
        <w:szCs w:val="22"/>
      </w:rPr>
      <w:t xml:space="preserve"> of </w:t>
    </w:r>
    <w:r>
      <w:fldChar w:fldCharType="begin"/>
    </w:r>
    <w:r>
      <w:instrText>NUMPAGES</w:instrText>
    </w:r>
    <w:r>
      <w:fldChar w:fldCharType="separate"/>
    </w:r>
    <w:r w:rsidR="00125842">
      <w:rPr>
        <w:noProof/>
      </w:rPr>
      <w:t>8</w:t>
    </w:r>
    <w:r>
      <w:fldChar w:fldCharType="end"/>
    </w:r>
  </w:p>
  <w:p w:rsidR="009B3D89" w:rsidRDefault="009B3D89">
    <w:pPr>
      <w:tabs>
        <w:tab w:val="center" w:pos="4513"/>
        <w:tab w:val="right" w:pos="9026"/>
      </w:tabs>
    </w:pPr>
  </w:p>
  <w:p w:rsidR="009B3D89" w:rsidRDefault="009B3D89">
    <w:pPr>
      <w:tabs>
        <w:tab w:val="center" w:pos="4513"/>
        <w:tab w:val="right" w:pos="9026"/>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285350"/>
    <w:multiLevelType w:val="multilevel"/>
    <w:tmpl w:val="B9C073C8"/>
    <w:lvl w:ilvl="0">
      <w:start w:val="1"/>
      <w:numFmt w:val="decimal"/>
      <w:lvlText w:val="%1."/>
      <w:lvlJc w:val="left"/>
      <w:pPr>
        <w:ind w:left="720" w:firstLine="360"/>
      </w:pPr>
      <w:rPr>
        <w:vertAlign w:val="baseline"/>
      </w:rPr>
    </w:lvl>
    <w:lvl w:ilvl="1">
      <w:start w:val="1"/>
      <w:numFmt w:val="lowerLetter"/>
      <w:lvlText w:val="%2."/>
      <w:lvlJc w:val="left"/>
      <w:pPr>
        <w:ind w:left="1440" w:firstLine="1080"/>
      </w:pPr>
      <w:rPr>
        <w:vertAlign w:val="baseline"/>
      </w:rPr>
    </w:lvl>
    <w:lvl w:ilvl="2">
      <w:start w:val="1"/>
      <w:numFmt w:val="lowerRoman"/>
      <w:lvlText w:val="%3."/>
      <w:lvlJc w:val="right"/>
      <w:pPr>
        <w:ind w:left="2160" w:firstLine="1980"/>
      </w:pPr>
      <w:rPr>
        <w:vertAlign w:val="baseline"/>
      </w:rPr>
    </w:lvl>
    <w:lvl w:ilvl="3">
      <w:start w:val="1"/>
      <w:numFmt w:val="decimal"/>
      <w:lvlText w:val="%4."/>
      <w:lvlJc w:val="left"/>
      <w:pPr>
        <w:ind w:left="2880" w:firstLine="2520"/>
      </w:pPr>
      <w:rPr>
        <w:vertAlign w:val="baseline"/>
      </w:rPr>
    </w:lvl>
    <w:lvl w:ilvl="4">
      <w:start w:val="1"/>
      <w:numFmt w:val="lowerLetter"/>
      <w:lvlText w:val="%5."/>
      <w:lvlJc w:val="left"/>
      <w:pPr>
        <w:ind w:left="3600" w:firstLine="3240"/>
      </w:pPr>
      <w:rPr>
        <w:vertAlign w:val="baseline"/>
      </w:rPr>
    </w:lvl>
    <w:lvl w:ilvl="5">
      <w:start w:val="1"/>
      <w:numFmt w:val="lowerRoman"/>
      <w:lvlText w:val="%6."/>
      <w:lvlJc w:val="right"/>
      <w:pPr>
        <w:ind w:left="4320" w:firstLine="4140"/>
      </w:pPr>
      <w:rPr>
        <w:vertAlign w:val="baseline"/>
      </w:rPr>
    </w:lvl>
    <w:lvl w:ilvl="6">
      <w:start w:val="1"/>
      <w:numFmt w:val="decimal"/>
      <w:lvlText w:val="%7."/>
      <w:lvlJc w:val="left"/>
      <w:pPr>
        <w:ind w:left="5040" w:firstLine="4680"/>
      </w:pPr>
      <w:rPr>
        <w:vertAlign w:val="baseline"/>
      </w:rPr>
    </w:lvl>
    <w:lvl w:ilvl="7">
      <w:start w:val="1"/>
      <w:numFmt w:val="lowerLetter"/>
      <w:lvlText w:val="%8."/>
      <w:lvlJc w:val="left"/>
      <w:pPr>
        <w:ind w:left="5760" w:firstLine="5400"/>
      </w:pPr>
      <w:rPr>
        <w:vertAlign w:val="baseline"/>
      </w:rPr>
    </w:lvl>
    <w:lvl w:ilvl="8">
      <w:start w:val="1"/>
      <w:numFmt w:val="lowerRoman"/>
      <w:lvlText w:val="%9."/>
      <w:lvlJc w:val="right"/>
      <w:pPr>
        <w:ind w:left="6480" w:firstLine="6300"/>
      </w:pPr>
      <w:rPr>
        <w:vertAlign w:val="baseline"/>
      </w:rPr>
    </w:lvl>
  </w:abstractNum>
  <w:abstractNum w:abstractNumId="1" w15:restartNumberingAfterBreak="0">
    <w:nsid w:val="79586EB1"/>
    <w:multiLevelType w:val="hybridMultilevel"/>
    <w:tmpl w:val="ACF810CC"/>
    <w:lvl w:ilvl="0" w:tplc="4F12F6C0">
      <w:numFmt w:val="bullet"/>
      <w:lvlText w:val="-"/>
      <w:lvlJc w:val="left"/>
      <w:pPr>
        <w:ind w:left="405" w:hanging="360"/>
      </w:pPr>
      <w:rPr>
        <w:rFonts w:ascii="Calibri" w:eastAsia="Calibri" w:hAnsi="Calibri" w:cs="Calibri" w:hint="default"/>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B3D89"/>
    <w:rsid w:val="00030CDB"/>
    <w:rsid w:val="000B4498"/>
    <w:rsid w:val="00102F0B"/>
    <w:rsid w:val="00125842"/>
    <w:rsid w:val="001F6AC9"/>
    <w:rsid w:val="002B3175"/>
    <w:rsid w:val="003C03B1"/>
    <w:rsid w:val="003C21E6"/>
    <w:rsid w:val="004C6930"/>
    <w:rsid w:val="00512770"/>
    <w:rsid w:val="00640A83"/>
    <w:rsid w:val="00695F35"/>
    <w:rsid w:val="006C5101"/>
    <w:rsid w:val="006F57D7"/>
    <w:rsid w:val="007C192E"/>
    <w:rsid w:val="007D34F4"/>
    <w:rsid w:val="00856E1B"/>
    <w:rsid w:val="009B3D89"/>
    <w:rsid w:val="009C34B2"/>
    <w:rsid w:val="009E2041"/>
    <w:rsid w:val="00A34381"/>
    <w:rsid w:val="00C06E94"/>
    <w:rsid w:val="00CA69A9"/>
    <w:rsid w:val="00DB3820"/>
    <w:rsid w:val="00E97C40"/>
    <w:rsid w:val="00F34D58"/>
    <w:rsid w:val="00F51ED9"/>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E07E1"/>
  <w15:docId w15:val="{AAD674FC-B49F-4CA9-9BC5-E50C489A6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000000"/>
        <w:sz w:val="24"/>
        <w:szCs w:val="24"/>
        <w:lang w:val="en-US" w:eastAsia="en-US" w:bidi="he-IL"/>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240" w:after="60"/>
      <w:outlineLvl w:val="0"/>
    </w:pPr>
    <w:rPr>
      <w:rFonts w:ascii="Arial" w:eastAsia="Arial" w:hAnsi="Arial" w:cs="Arial"/>
      <w:b/>
      <w:sz w:val="32"/>
      <w:szCs w:val="32"/>
    </w:rPr>
  </w:style>
  <w:style w:type="paragraph" w:styleId="Heading2">
    <w:name w:val="heading 2"/>
    <w:basedOn w:val="Normal"/>
    <w:next w:val="Normal"/>
    <w:pPr>
      <w:keepNext/>
      <w:keepLines/>
      <w:spacing w:before="240" w:after="60"/>
      <w:outlineLvl w:val="1"/>
    </w:pPr>
    <w:rPr>
      <w:rFonts w:ascii="Arial" w:eastAsia="Arial" w:hAnsi="Arial" w:cs="Arial"/>
      <w:b/>
      <w:i/>
      <w:sz w:val="28"/>
      <w:szCs w:val="28"/>
    </w:rPr>
  </w:style>
  <w:style w:type="paragraph" w:styleId="Heading3">
    <w:name w:val="heading 3"/>
    <w:basedOn w:val="Normal"/>
    <w:next w:val="Normal"/>
    <w:pPr>
      <w:keepNext/>
      <w:keepLines/>
      <w:ind w:left="720"/>
      <w:jc w:val="both"/>
      <w:outlineLvl w:val="2"/>
    </w:pPr>
    <w:rPr>
      <w:rFonts w:ascii="Tahoma" w:eastAsia="Tahoma" w:hAnsi="Tahoma" w:cs="Tahoma"/>
      <w:b/>
      <w:sz w:val="20"/>
      <w:szCs w:val="20"/>
    </w:rPr>
  </w:style>
  <w:style w:type="paragraph" w:styleId="Heading4">
    <w:name w:val="heading 4"/>
    <w:basedOn w:val="Normal"/>
    <w:next w:val="Normal"/>
    <w:pPr>
      <w:keepNext/>
      <w:keepLines/>
      <w:spacing w:before="240" w:after="40"/>
      <w:contextualSpacing/>
      <w:outlineLvl w:val="3"/>
    </w:pPr>
    <w:rPr>
      <w:b/>
    </w:rPr>
  </w:style>
  <w:style w:type="paragraph" w:styleId="Heading5">
    <w:name w:val="heading 5"/>
    <w:basedOn w:val="Normal"/>
    <w:next w:val="Normal"/>
    <w:pPr>
      <w:keepNext/>
      <w:keepLines/>
      <w:spacing w:before="220" w:after="40"/>
      <w:contextualSpacing/>
      <w:outlineLvl w:val="4"/>
    </w:pPr>
    <w:rPr>
      <w:b/>
      <w:sz w:val="22"/>
      <w:szCs w:val="22"/>
    </w:rPr>
  </w:style>
  <w:style w:type="paragraph" w:styleId="Heading6">
    <w:name w:val="heading 6"/>
    <w:basedOn w:val="Normal"/>
    <w:next w:val="Normal"/>
    <w:pPr>
      <w:keepNext/>
      <w:keepLines/>
      <w:spacing w:before="200" w:after="40"/>
      <w:contextualSpacing/>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contextualSpacing/>
    </w:pPr>
    <w:rPr>
      <w:b/>
      <w:sz w:val="72"/>
      <w:szCs w:val="72"/>
    </w:rPr>
  </w:style>
  <w:style w:type="paragraph" w:styleId="Subtitle">
    <w:name w:val="Subtitle"/>
    <w:basedOn w:val="Normal"/>
    <w:next w:val="Normal"/>
    <w:pPr>
      <w:keepNext/>
      <w:keepLines/>
      <w:spacing w:before="360" w:after="80"/>
      <w:contextualSpacing/>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customStyle="1" w:styleId="Default">
    <w:name w:val="Default"/>
    <w:rsid w:val="00030CDB"/>
    <w:pPr>
      <w:autoSpaceDE w:val="0"/>
      <w:autoSpaceDN w:val="0"/>
      <w:adjustRightInd w:val="0"/>
    </w:pPr>
    <w:rPr>
      <w:rFonts w:ascii="Code" w:eastAsia="Calibri" w:hAnsi="Code" w:cs="Code"/>
    </w:rPr>
  </w:style>
  <w:style w:type="paragraph" w:styleId="FootnoteText">
    <w:name w:val="footnote text"/>
    <w:basedOn w:val="Normal"/>
    <w:link w:val="FootnoteTextChar"/>
    <w:uiPriority w:val="99"/>
    <w:unhideWhenUsed/>
    <w:rsid w:val="00030CDB"/>
    <w:pPr>
      <w:bidi/>
    </w:pPr>
    <w:rPr>
      <w:rFonts w:ascii="Calibri" w:eastAsia="Calibri" w:hAnsi="Calibri" w:cs="Arial"/>
      <w:color w:val="auto"/>
      <w:sz w:val="20"/>
      <w:szCs w:val="20"/>
    </w:rPr>
  </w:style>
  <w:style w:type="character" w:customStyle="1" w:styleId="FootnoteTextChar">
    <w:name w:val="Footnote Text Char"/>
    <w:basedOn w:val="DefaultParagraphFont"/>
    <w:link w:val="FootnoteText"/>
    <w:uiPriority w:val="99"/>
    <w:rsid w:val="00030CDB"/>
    <w:rPr>
      <w:rFonts w:ascii="Calibri" w:eastAsia="Calibri" w:hAnsi="Calibri" w:cs="Arial"/>
      <w:color w:val="auto"/>
      <w:sz w:val="20"/>
      <w:szCs w:val="20"/>
    </w:rPr>
  </w:style>
  <w:style w:type="character" w:styleId="FootnoteReference">
    <w:name w:val="footnote reference"/>
    <w:uiPriority w:val="99"/>
    <w:unhideWhenUsed/>
    <w:rsid w:val="00030CDB"/>
    <w:rPr>
      <w:vertAlign w:val="superscript"/>
    </w:rPr>
  </w:style>
  <w:style w:type="paragraph" w:styleId="NormalWeb">
    <w:name w:val="Normal (Web)"/>
    <w:basedOn w:val="Normal"/>
    <w:uiPriority w:val="99"/>
    <w:semiHidden/>
    <w:unhideWhenUsed/>
    <w:rsid w:val="00CA69A9"/>
    <w:pPr>
      <w:spacing w:before="100" w:beforeAutospacing="1" w:after="100" w:afterAutospacing="1"/>
    </w:pPr>
    <w:rPr>
      <w:color w:val="auto"/>
    </w:rPr>
  </w:style>
  <w:style w:type="character" w:customStyle="1" w:styleId="apple-converted-space">
    <w:name w:val="apple-converted-space"/>
    <w:basedOn w:val="DefaultParagraphFont"/>
    <w:rsid w:val="00CA69A9"/>
  </w:style>
  <w:style w:type="paragraph" w:styleId="Caption">
    <w:name w:val="caption"/>
    <w:basedOn w:val="Normal"/>
    <w:next w:val="Normal"/>
    <w:uiPriority w:val="35"/>
    <w:unhideWhenUsed/>
    <w:qFormat/>
    <w:rsid w:val="00856E1B"/>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887261">
      <w:bodyDiv w:val="1"/>
      <w:marLeft w:val="0"/>
      <w:marRight w:val="0"/>
      <w:marTop w:val="0"/>
      <w:marBottom w:val="0"/>
      <w:divBdr>
        <w:top w:val="none" w:sz="0" w:space="0" w:color="auto"/>
        <w:left w:val="none" w:sz="0" w:space="0" w:color="auto"/>
        <w:bottom w:val="none" w:sz="0" w:space="0" w:color="auto"/>
        <w:right w:val="none" w:sz="0" w:space="0" w:color="auto"/>
      </w:divBdr>
    </w:div>
    <w:div w:id="19000894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1601934@student.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mailto:1601934@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2155</Words>
  <Characters>12290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Neta-Rotem</dc:creator>
  <cp:lastModifiedBy>Neta-Rotem</cp:lastModifiedBy>
  <cp:revision>4</cp:revision>
  <dcterms:created xsi:type="dcterms:W3CDTF">2018-03-05T07:02:00Z</dcterms:created>
  <dcterms:modified xsi:type="dcterms:W3CDTF">2018-03-05T07:07:00Z</dcterms:modified>
</cp:coreProperties>
</file>