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7CA49" w14:textId="6AEB8EE4" w:rsidR="003B5333" w:rsidRPr="003B5333" w:rsidRDefault="003B5333" w:rsidP="003B5333">
      <w:pPr>
        <w:jc w:val="center"/>
        <w:rPr>
          <w:rFonts w:ascii="Arial" w:eastAsia="Calibri" w:hAnsi="Arial" w:cs="Times New Roman"/>
          <w:b/>
          <w:color w:val="2E74B5"/>
          <w:kern w:val="0"/>
          <w:sz w:val="32"/>
          <w:lang w:val="en-AU"/>
          <w14:ligatures w14:val="none"/>
        </w:rPr>
      </w:pPr>
      <w:r w:rsidRPr="003B5333">
        <w:rPr>
          <w:rFonts w:ascii="Arial" w:eastAsia="Calibri" w:hAnsi="Arial" w:cs="Times New Roman"/>
          <w:b/>
          <w:color w:val="2E74B5"/>
          <w:kern w:val="0"/>
          <w:sz w:val="32"/>
          <w:lang w:val="en-AU"/>
          <w14:ligatures w14:val="none"/>
        </w:rPr>
        <w:t>BSc HEALTH AND SOCIAL CARE</w:t>
      </w:r>
    </w:p>
    <w:p w14:paraId="56281E7F" w14:textId="77777777" w:rsidR="003B5333" w:rsidRPr="003B5333" w:rsidRDefault="003B5333" w:rsidP="003B5333">
      <w:pPr>
        <w:jc w:val="center"/>
        <w:rPr>
          <w:rFonts w:ascii="Arial" w:eastAsia="Calibri" w:hAnsi="Arial" w:cs="Times New Roman"/>
          <w:b/>
          <w:color w:val="2E74B5"/>
          <w:kern w:val="0"/>
          <w:sz w:val="32"/>
          <w:lang w:val="en-AU"/>
          <w14:ligatures w14:val="none"/>
        </w:rPr>
      </w:pPr>
      <w:r w:rsidRPr="003B5333">
        <w:rPr>
          <w:rFonts w:ascii="Arial" w:eastAsia="Calibri" w:hAnsi="Arial" w:cs="Times New Roman"/>
          <w:b/>
          <w:color w:val="2E74B5"/>
          <w:kern w:val="0"/>
          <w:sz w:val="32"/>
          <w:lang w:val="en-AU"/>
          <w14:ligatures w14:val="none"/>
        </w:rPr>
        <w:t>BMHP5023 – INTRODUCTION TO PHYSIOLOGY</w:t>
      </w:r>
    </w:p>
    <w:p w14:paraId="5C26CF05" w14:textId="77777777" w:rsidR="003B5333" w:rsidRPr="003B5333" w:rsidRDefault="003B5333" w:rsidP="003B5333">
      <w:pPr>
        <w:jc w:val="center"/>
        <w:rPr>
          <w:rFonts w:ascii="Arial" w:eastAsia="Calibri" w:hAnsi="Arial" w:cs="Times New Roman"/>
          <w:b/>
          <w:color w:val="2E74B5"/>
          <w:kern w:val="0"/>
          <w:sz w:val="44"/>
          <w:lang w:val="en-AU"/>
          <w14:ligatures w14:val="none"/>
        </w:rPr>
      </w:pPr>
    </w:p>
    <w:p w14:paraId="57E0C756" w14:textId="77777777" w:rsidR="003B5333" w:rsidRPr="003B5333" w:rsidRDefault="003B5333" w:rsidP="00D31F55">
      <w:pPr>
        <w:spacing w:line="360" w:lineRule="auto"/>
        <w:jc w:val="both"/>
        <w:rPr>
          <w:rFonts w:ascii="Arial" w:eastAsia="Calibri" w:hAnsi="Arial" w:cs="Times New Roman"/>
          <w:kern w:val="0"/>
          <w:lang w:val="en-AU"/>
          <w14:ligatures w14:val="none"/>
        </w:rPr>
      </w:pPr>
      <w:r w:rsidRPr="003B5333">
        <w:rPr>
          <w:rFonts w:ascii="Arial" w:eastAsia="Calibri" w:hAnsi="Arial" w:cs="Times New Roman"/>
          <w:b/>
          <w:bCs/>
          <w:kern w:val="0"/>
          <w:lang w:val="en-AU"/>
          <w14:ligatures w14:val="none"/>
        </w:rPr>
        <w:t>COMPONENT 1:</w:t>
      </w:r>
      <w:r w:rsidRPr="003B5333">
        <w:rPr>
          <w:rFonts w:ascii="Arial" w:eastAsia="Calibri" w:hAnsi="Arial" w:cs="Times New Roman"/>
          <w:bCs/>
          <w:kern w:val="0"/>
          <w:lang w:val="en-AU"/>
          <w14:ligatures w14:val="none"/>
        </w:rPr>
        <w:t xml:space="preserve"> WRITTEN ASSIGNMENT</w:t>
      </w:r>
      <w:r w:rsidRPr="003B5333">
        <w:rPr>
          <w:rFonts w:ascii="Arial" w:eastAsia="Calibri" w:hAnsi="Arial" w:cs="Times New Roman"/>
          <w:kern w:val="0"/>
          <w:lang w:val="en-AU"/>
          <w14:ligatures w14:val="none"/>
        </w:rPr>
        <w:t xml:space="preserve"> </w:t>
      </w:r>
      <w:r w:rsidRPr="003B5333">
        <w:rPr>
          <w:rFonts w:ascii="Arial" w:eastAsia="Calibri" w:hAnsi="Arial" w:cs="Times New Roman"/>
          <w:bCs/>
          <w:kern w:val="0"/>
          <w:lang w:val="en-AU"/>
          <w14:ligatures w14:val="none"/>
        </w:rPr>
        <w:t>CASE STUDY REPORT</w:t>
      </w:r>
    </w:p>
    <w:p w14:paraId="654C03E2" w14:textId="6ACD78E8" w:rsidR="003B5333" w:rsidRPr="004D4B57" w:rsidRDefault="003B5333" w:rsidP="00D31F55">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b/>
          <w:bCs/>
          <w:kern w:val="0"/>
          <w:szCs w:val="24"/>
          <w:lang w:val="en-US"/>
          <w14:ligatures w14:val="none"/>
        </w:rPr>
        <w:t>Assignment Title:</w:t>
      </w:r>
      <w:r w:rsidRPr="003B5333">
        <w:rPr>
          <w:rFonts w:ascii="Arial" w:eastAsia="Times New Roman" w:hAnsi="Arial" w:cs="Times New Roman"/>
          <w:kern w:val="0"/>
          <w:szCs w:val="24"/>
          <w:lang w:val="en-US"/>
          <w14:ligatures w14:val="none"/>
        </w:rPr>
        <w:t xml:space="preserve"> </w:t>
      </w:r>
      <w:r w:rsidR="00C2093F">
        <w:rPr>
          <w:rFonts w:ascii="Arial" w:eastAsia="Times New Roman" w:hAnsi="Arial" w:cs="Times New Roman"/>
          <w:b/>
          <w:bCs/>
          <w:kern w:val="0"/>
          <w:szCs w:val="24"/>
          <w:lang w:val="en-US"/>
          <w14:ligatures w14:val="none"/>
        </w:rPr>
        <w:t xml:space="preserve">component1: </w:t>
      </w:r>
      <w:r w:rsidR="0090497E">
        <w:rPr>
          <w:rFonts w:ascii="Arial" w:eastAsia="Times New Roman" w:hAnsi="Arial" w:cs="Times New Roman"/>
          <w:kern w:val="0"/>
          <w:szCs w:val="24"/>
          <w:lang w:val="en-US"/>
          <w14:ligatures w14:val="none"/>
        </w:rPr>
        <w:t>W</w:t>
      </w:r>
      <w:r w:rsidR="00F35954" w:rsidRPr="004D4B57">
        <w:rPr>
          <w:rFonts w:ascii="Arial" w:eastAsia="Times New Roman" w:hAnsi="Arial" w:cs="Times New Roman"/>
          <w:kern w:val="0"/>
          <w:szCs w:val="24"/>
          <w:lang w:val="en-US"/>
          <w14:ligatures w14:val="none"/>
        </w:rPr>
        <w:t xml:space="preserve">ritten </w:t>
      </w:r>
      <w:r w:rsidR="004D4B57" w:rsidRPr="004D4B57">
        <w:rPr>
          <w:rFonts w:ascii="Arial" w:eastAsia="Times New Roman" w:hAnsi="Arial" w:cs="Times New Roman"/>
          <w:kern w:val="0"/>
          <w:szCs w:val="24"/>
          <w:lang w:val="en-US"/>
          <w14:ligatures w14:val="none"/>
        </w:rPr>
        <w:t>assignment (</w:t>
      </w:r>
      <w:r w:rsidR="00F35954" w:rsidRPr="004D4B57">
        <w:rPr>
          <w:rFonts w:ascii="Arial" w:eastAsia="Times New Roman" w:hAnsi="Arial" w:cs="Times New Roman"/>
          <w:kern w:val="0"/>
          <w:szCs w:val="24"/>
          <w:lang w:val="en-US"/>
          <w14:ligatures w14:val="none"/>
        </w:rPr>
        <w:t>CASE STUDY</w:t>
      </w:r>
      <w:r w:rsidR="004D4B57" w:rsidRPr="004D4B57">
        <w:rPr>
          <w:rFonts w:ascii="Arial" w:eastAsia="Times New Roman" w:hAnsi="Arial" w:cs="Times New Roman"/>
          <w:kern w:val="0"/>
          <w:szCs w:val="24"/>
          <w:lang w:val="en-US"/>
          <w14:ligatures w14:val="none"/>
        </w:rPr>
        <w:t>)</w:t>
      </w:r>
    </w:p>
    <w:p w14:paraId="303DE68B" w14:textId="58E527FF" w:rsidR="003B5333" w:rsidRPr="003B5333" w:rsidRDefault="003B5333" w:rsidP="00D31F55">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b/>
          <w:bCs/>
          <w:kern w:val="0"/>
          <w:szCs w:val="24"/>
          <w:lang w:val="en-US"/>
          <w14:ligatures w14:val="none"/>
        </w:rPr>
        <w:t>Student Name:</w:t>
      </w:r>
      <w:r w:rsidRPr="003B5333">
        <w:rPr>
          <w:rFonts w:ascii="Arial" w:eastAsia="Times New Roman" w:hAnsi="Arial" w:cs="Times New Roman"/>
          <w:kern w:val="0"/>
          <w:szCs w:val="24"/>
          <w:lang w:val="en-US"/>
          <w14:ligatures w14:val="none"/>
        </w:rPr>
        <w:t xml:space="preserve"> Ahlam</w:t>
      </w:r>
      <w:r w:rsidR="00A13CA5">
        <w:rPr>
          <w:rFonts w:ascii="Arial" w:eastAsia="Times New Roman" w:hAnsi="Arial" w:cs="Times New Roman"/>
          <w:kern w:val="0"/>
          <w:szCs w:val="24"/>
          <w:lang w:val="en-US"/>
          <w14:ligatures w14:val="none"/>
        </w:rPr>
        <w:t xml:space="preserve"> Bchini</w:t>
      </w:r>
    </w:p>
    <w:p w14:paraId="51C23C7C" w14:textId="02B01768" w:rsidR="003B5333" w:rsidRPr="003B5333" w:rsidRDefault="003B5333" w:rsidP="00D31F55">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b/>
          <w:bCs/>
          <w:kern w:val="0"/>
          <w:szCs w:val="24"/>
          <w:lang w:val="en-US"/>
          <w14:ligatures w14:val="none"/>
        </w:rPr>
        <w:t>Student Number:</w:t>
      </w:r>
      <w:r w:rsidRPr="003B5333">
        <w:rPr>
          <w:rFonts w:ascii="Arial" w:eastAsia="Times New Roman" w:hAnsi="Arial" w:cs="Times New Roman"/>
          <w:kern w:val="0"/>
          <w:szCs w:val="24"/>
          <w:lang w:val="en-US"/>
          <w14:ligatures w14:val="none"/>
        </w:rPr>
        <w:t xml:space="preserve"> </w:t>
      </w:r>
      <w:r w:rsidR="007E3C1D">
        <w:rPr>
          <w:rFonts w:ascii="Arial" w:eastAsia="Times New Roman" w:hAnsi="Arial" w:cs="Times New Roman"/>
          <w:kern w:val="0"/>
          <w:szCs w:val="24"/>
          <w:lang w:val="en-US"/>
          <w14:ligatures w14:val="none"/>
        </w:rPr>
        <w:t>2439</w:t>
      </w:r>
      <w:r w:rsidR="00607CC2">
        <w:rPr>
          <w:rFonts w:ascii="Arial" w:eastAsia="Times New Roman" w:hAnsi="Arial" w:cs="Times New Roman"/>
          <w:kern w:val="0"/>
          <w:szCs w:val="24"/>
          <w:lang w:val="en-US"/>
          <w14:ligatures w14:val="none"/>
        </w:rPr>
        <w:t>423</w:t>
      </w:r>
    </w:p>
    <w:p w14:paraId="7C983E2D" w14:textId="49C3D303" w:rsidR="003B5333" w:rsidRPr="003B5333" w:rsidRDefault="003B5333" w:rsidP="00D31F55">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b/>
          <w:bCs/>
          <w:kern w:val="0"/>
          <w:szCs w:val="24"/>
          <w:lang w:val="en-US"/>
          <w14:ligatures w14:val="none"/>
        </w:rPr>
        <w:t>Module:</w:t>
      </w:r>
      <w:r w:rsidRPr="003B5333">
        <w:rPr>
          <w:rFonts w:ascii="Arial" w:eastAsia="Times New Roman" w:hAnsi="Arial" w:cs="Times New Roman"/>
          <w:kern w:val="0"/>
          <w:szCs w:val="24"/>
          <w:lang w:val="en-US"/>
          <w14:ligatures w14:val="none"/>
        </w:rPr>
        <w:t xml:space="preserve"> BMHP5023 – Introduction to Physiology</w:t>
      </w:r>
    </w:p>
    <w:p w14:paraId="592FD9CC" w14:textId="195B3D9B" w:rsidR="003B5333" w:rsidRPr="003B5333" w:rsidRDefault="003B5333" w:rsidP="00D31F55">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b/>
          <w:bCs/>
          <w:kern w:val="0"/>
          <w:szCs w:val="24"/>
          <w:lang w:val="en-US"/>
          <w14:ligatures w14:val="none"/>
        </w:rPr>
        <w:t>Case Study:</w:t>
      </w:r>
      <w:r w:rsidRPr="003B5333">
        <w:rPr>
          <w:rFonts w:ascii="Arial" w:eastAsia="Times New Roman" w:hAnsi="Arial" w:cs="Times New Roman"/>
          <w:kern w:val="0"/>
          <w:szCs w:val="24"/>
          <w:lang w:val="en-US"/>
          <w14:ligatures w14:val="none"/>
        </w:rPr>
        <w:t xml:space="preserve"> Case Study 1 – Diabetes</w:t>
      </w:r>
    </w:p>
    <w:p w14:paraId="1BC33E41" w14:textId="1C66C5A5" w:rsidR="003B5333" w:rsidRPr="003B5333" w:rsidRDefault="003B5333" w:rsidP="00D31F55">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b/>
          <w:bCs/>
          <w:kern w:val="0"/>
          <w:szCs w:val="24"/>
          <w:lang w:val="en-US"/>
          <w14:ligatures w14:val="none"/>
        </w:rPr>
        <w:t>Tutor/Lecturer:</w:t>
      </w:r>
      <w:r w:rsidRPr="003B5333">
        <w:rPr>
          <w:rFonts w:ascii="Arial" w:eastAsia="Times New Roman" w:hAnsi="Arial" w:cs="Times New Roman"/>
          <w:kern w:val="0"/>
          <w:szCs w:val="24"/>
          <w:lang w:val="en-US"/>
          <w14:ligatures w14:val="none"/>
        </w:rPr>
        <w:t xml:space="preserve"> </w:t>
      </w:r>
      <w:r w:rsidR="00C61909">
        <w:rPr>
          <w:rFonts w:ascii="Arial" w:eastAsia="Times New Roman" w:hAnsi="Arial" w:cs="Times New Roman"/>
          <w:kern w:val="0"/>
          <w:szCs w:val="24"/>
          <w:lang w:val="en-US"/>
          <w14:ligatures w14:val="none"/>
        </w:rPr>
        <w:t>Dr.</w:t>
      </w:r>
      <w:r w:rsidR="00835708">
        <w:rPr>
          <w:rFonts w:ascii="Arial" w:eastAsia="Times New Roman" w:hAnsi="Arial" w:cs="Times New Roman"/>
          <w:kern w:val="0"/>
          <w:szCs w:val="24"/>
          <w:lang w:val="en-US"/>
          <w14:ligatures w14:val="none"/>
        </w:rPr>
        <w:t xml:space="preserve"> </w:t>
      </w:r>
      <w:r w:rsidR="00884EB9">
        <w:rPr>
          <w:rFonts w:ascii="Arial" w:eastAsia="Times New Roman" w:hAnsi="Arial" w:cs="Times New Roman"/>
          <w:kern w:val="0"/>
          <w:szCs w:val="24"/>
          <w:lang w:val="en-US"/>
          <w14:ligatures w14:val="none"/>
        </w:rPr>
        <w:t xml:space="preserve">Robert </w:t>
      </w:r>
      <w:r w:rsidR="00104899">
        <w:rPr>
          <w:rFonts w:ascii="Arial" w:eastAsia="Times New Roman" w:hAnsi="Arial" w:cs="Times New Roman"/>
          <w:kern w:val="0"/>
          <w:szCs w:val="24"/>
          <w:lang w:val="en-US"/>
          <w14:ligatures w14:val="none"/>
        </w:rPr>
        <w:t>Nartowski</w:t>
      </w:r>
    </w:p>
    <w:p w14:paraId="2C38009B" w14:textId="2E591C59" w:rsidR="003B5333" w:rsidRPr="003B5333" w:rsidRDefault="00EF7362" w:rsidP="00D31F55">
      <w:pPr>
        <w:spacing w:before="100" w:beforeAutospacing="1" w:after="100" w:afterAutospacing="1" w:line="360" w:lineRule="auto"/>
        <w:jc w:val="both"/>
        <w:rPr>
          <w:rFonts w:ascii="Arial" w:eastAsia="Times New Roman" w:hAnsi="Arial" w:cs="Times New Roman"/>
          <w:kern w:val="0"/>
          <w:szCs w:val="24"/>
          <w:lang w:val="en-US"/>
          <w14:ligatures w14:val="none"/>
        </w:rPr>
      </w:pPr>
      <w:r>
        <w:rPr>
          <w:rFonts w:ascii="Arial" w:eastAsia="Times New Roman" w:hAnsi="Arial" w:cs="Times New Roman"/>
          <w:b/>
          <w:bCs/>
          <w:kern w:val="0"/>
          <w:szCs w:val="24"/>
          <w:lang w:val="en-US"/>
          <w14:ligatures w14:val="none"/>
        </w:rPr>
        <w:t xml:space="preserve">Word </w:t>
      </w:r>
      <w:r w:rsidR="00C2093F">
        <w:rPr>
          <w:rFonts w:ascii="Arial" w:eastAsia="Times New Roman" w:hAnsi="Arial" w:cs="Times New Roman"/>
          <w:b/>
          <w:bCs/>
          <w:kern w:val="0"/>
          <w:szCs w:val="24"/>
          <w:lang w:val="en-US"/>
          <w14:ligatures w14:val="none"/>
        </w:rPr>
        <w:t>count</w:t>
      </w:r>
      <w:r w:rsidR="00104899">
        <w:rPr>
          <w:rFonts w:ascii="Arial" w:eastAsia="Times New Roman" w:hAnsi="Arial" w:cs="Times New Roman"/>
          <w:b/>
          <w:bCs/>
          <w:kern w:val="0"/>
          <w:szCs w:val="24"/>
          <w:lang w:val="en-US"/>
          <w14:ligatures w14:val="none"/>
        </w:rPr>
        <w:t xml:space="preserve">: </w:t>
      </w:r>
      <w:r w:rsidR="0036706D" w:rsidRPr="0036706D">
        <w:rPr>
          <w:rFonts w:ascii="Arial" w:eastAsia="Times New Roman" w:hAnsi="Arial" w:cs="Times New Roman"/>
          <w:kern w:val="0"/>
          <w:szCs w:val="24"/>
          <w:lang w:val="en-US"/>
          <w14:ligatures w14:val="none"/>
        </w:rPr>
        <w:t>2399</w:t>
      </w:r>
    </w:p>
    <w:p w14:paraId="7B7C0E9A" w14:textId="77777777" w:rsidR="003B5333" w:rsidRPr="003B5333" w:rsidRDefault="003B5333" w:rsidP="003B5333">
      <w:pPr>
        <w:rPr>
          <w:rFonts w:ascii="Arial" w:eastAsia="Times New Roman" w:hAnsi="Arial" w:cs="Times New Roman"/>
          <w:kern w:val="0"/>
          <w:szCs w:val="24"/>
          <w:lang w:val="en-US"/>
          <w14:ligatures w14:val="none"/>
        </w:rPr>
      </w:pPr>
      <w:r w:rsidRPr="003B5333">
        <w:rPr>
          <w:rFonts w:ascii="Arial" w:eastAsia="Calibri" w:hAnsi="Arial" w:cs="Times New Roman"/>
          <w:kern w:val="0"/>
          <w:lang w:val="en-AU"/>
          <w14:ligatures w14:val="none"/>
        </w:rPr>
        <w:br w:type="page"/>
      </w:r>
    </w:p>
    <w:sdt>
      <w:sdtPr>
        <w:rPr>
          <w:rFonts w:ascii="Arial" w:eastAsia="Calibri" w:hAnsi="Arial" w:cs="Times New Roman"/>
          <w:kern w:val="0"/>
          <w:lang w:val="en-AU"/>
          <w14:ligatures w14:val="none"/>
        </w:rPr>
        <w:id w:val="1030379178"/>
        <w:docPartObj>
          <w:docPartGallery w:val="Table of Contents"/>
          <w:docPartUnique/>
        </w:docPartObj>
      </w:sdtPr>
      <w:sdtEndPr>
        <w:rPr>
          <w:b/>
          <w:bCs/>
          <w:noProof/>
        </w:rPr>
      </w:sdtEndPr>
      <w:sdtContent>
        <w:p w14:paraId="6149110C" w14:textId="77777777" w:rsidR="003B5333" w:rsidRPr="00607CC2" w:rsidRDefault="003B5333" w:rsidP="00835708">
          <w:pPr>
            <w:keepNext/>
            <w:keepLines/>
            <w:spacing w:before="240" w:after="0" w:line="360" w:lineRule="auto"/>
            <w:rPr>
              <w:rFonts w:ascii="Calibri Light" w:eastAsia="Times New Roman" w:hAnsi="Calibri Light" w:cs="Times New Roman"/>
              <w:b/>
              <w:bCs/>
              <w:color w:val="2E74B5"/>
              <w:kern w:val="0"/>
              <w:sz w:val="40"/>
              <w:szCs w:val="40"/>
              <w:lang w:val="en-US"/>
              <w14:ligatures w14:val="none"/>
            </w:rPr>
          </w:pPr>
          <w:r w:rsidRPr="00607CC2">
            <w:rPr>
              <w:rFonts w:ascii="Calibri Light" w:eastAsia="Times New Roman" w:hAnsi="Calibri Light" w:cs="Times New Roman"/>
              <w:b/>
              <w:bCs/>
              <w:color w:val="2E74B5"/>
              <w:kern w:val="0"/>
              <w:sz w:val="40"/>
              <w:szCs w:val="40"/>
              <w:lang w:val="en-US"/>
              <w14:ligatures w14:val="none"/>
            </w:rPr>
            <w:t>Table of Contents</w:t>
          </w:r>
        </w:p>
        <w:p w14:paraId="4B1FD0CD"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r w:rsidRPr="003B5333">
            <w:rPr>
              <w:rFonts w:ascii="Arial" w:eastAsia="Calibri" w:hAnsi="Arial" w:cs="Times New Roman"/>
              <w:kern w:val="0"/>
              <w:lang w:val="en-AU"/>
              <w14:ligatures w14:val="none"/>
            </w:rPr>
            <w:fldChar w:fldCharType="begin"/>
          </w:r>
          <w:r w:rsidRPr="003B5333">
            <w:rPr>
              <w:rFonts w:ascii="Arial" w:eastAsia="Calibri" w:hAnsi="Arial" w:cs="Times New Roman"/>
              <w:kern w:val="0"/>
              <w:lang w:val="en-AU"/>
              <w14:ligatures w14:val="none"/>
            </w:rPr>
            <w:instrText xml:space="preserve"> TOC \o "1-3" \h \z \u </w:instrText>
          </w:r>
          <w:r w:rsidRPr="003B5333">
            <w:rPr>
              <w:rFonts w:ascii="Arial" w:eastAsia="Calibri" w:hAnsi="Arial" w:cs="Times New Roman"/>
              <w:kern w:val="0"/>
              <w:lang w:val="en-AU"/>
              <w14:ligatures w14:val="none"/>
            </w:rPr>
            <w:fldChar w:fldCharType="separate"/>
          </w:r>
          <w:hyperlink w:anchor="_Toc242022001" w:history="1">
            <w:r w:rsidRPr="00F0385A">
              <w:rPr>
                <w:rFonts w:ascii="Arial" w:eastAsia="Times New Roman" w:hAnsi="Arial" w:cs="Times New Roman"/>
                <w:noProof/>
                <w:color w:val="171717" w:themeColor="background2" w:themeShade="1A"/>
                <w:kern w:val="0"/>
                <w:lang w:val="en-US"/>
                <w14:ligatures w14:val="none"/>
              </w:rPr>
              <w:t>1.</w:t>
            </w:r>
            <w:r w:rsidRPr="00F0385A">
              <w:rPr>
                <w:rFonts w:ascii="Arial" w:eastAsia="Calibri" w:hAnsi="Arial" w:cs="Times New Roman"/>
                <w:noProof/>
                <w:color w:val="171717" w:themeColor="background2" w:themeShade="1A"/>
                <w:kern w:val="0"/>
                <w:lang w:val="en-AU"/>
                <w14:ligatures w14:val="none"/>
              </w:rPr>
              <w:tab/>
            </w:r>
            <w:r w:rsidRPr="00F0385A">
              <w:rPr>
                <w:rFonts w:ascii="Arial" w:eastAsia="Times New Roman" w:hAnsi="Arial" w:cs="Times New Roman"/>
                <w:noProof/>
                <w:color w:val="171717" w:themeColor="background2" w:themeShade="1A"/>
                <w:kern w:val="0"/>
                <w:lang w:val="en-US"/>
                <w14:ligatures w14:val="none"/>
              </w:rPr>
              <w:t>Introduction and diabetes risk factors</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_Toc242022001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1</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1E9A2157"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w:anchor="_Toc242022002" w:history="1">
            <w:r w:rsidRPr="00F0385A">
              <w:rPr>
                <w:rFonts w:ascii="Arial" w:eastAsia="Times New Roman" w:hAnsi="Arial" w:cs="Times New Roman"/>
                <w:noProof/>
                <w:color w:val="171717" w:themeColor="background2" w:themeShade="1A"/>
                <w:kern w:val="0"/>
                <w:lang w:val="en-US"/>
                <w14:ligatures w14:val="none"/>
              </w:rPr>
              <w:t>2.</w:t>
            </w:r>
            <w:r w:rsidRPr="00F0385A">
              <w:rPr>
                <w:rFonts w:ascii="Arial" w:eastAsia="Calibri" w:hAnsi="Arial" w:cs="Times New Roman"/>
                <w:noProof/>
                <w:color w:val="171717" w:themeColor="background2" w:themeShade="1A"/>
                <w:kern w:val="0"/>
                <w:lang w:val="en-AU"/>
                <w14:ligatures w14:val="none"/>
              </w:rPr>
              <w:tab/>
              <w:t>Blood</w:t>
            </w:r>
            <w:r w:rsidRPr="00F0385A">
              <w:rPr>
                <w:rFonts w:ascii="Arial" w:eastAsia="Times New Roman" w:hAnsi="Arial" w:cs="Times New Roman"/>
                <w:noProof/>
                <w:color w:val="171717" w:themeColor="background2" w:themeShade="1A"/>
                <w:kern w:val="0"/>
                <w:lang w:val="en-US"/>
                <w14:ligatures w14:val="none"/>
              </w:rPr>
              <w:t>-glucose regulation and homeostasis</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_Toc242022002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1</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19FDCA6B"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w:anchor="_Toc242022003" w:history="1">
            <w:r w:rsidRPr="00F0385A">
              <w:rPr>
                <w:rFonts w:ascii="Arial" w:eastAsia="Times New Roman" w:hAnsi="Arial" w:cs="Times New Roman"/>
                <w:noProof/>
                <w:color w:val="171717" w:themeColor="background2" w:themeShade="1A"/>
                <w:kern w:val="0"/>
                <w:lang w:val="en-US"/>
                <w14:ligatures w14:val="none"/>
              </w:rPr>
              <w:t>3.</w:t>
            </w:r>
            <w:r w:rsidRPr="00F0385A">
              <w:rPr>
                <w:rFonts w:ascii="Arial" w:eastAsia="Calibri" w:hAnsi="Arial" w:cs="Times New Roman"/>
                <w:noProof/>
                <w:color w:val="171717" w:themeColor="background2" w:themeShade="1A"/>
                <w:kern w:val="0"/>
                <w:lang w:val="en-AU"/>
                <w14:ligatures w14:val="none"/>
              </w:rPr>
              <w:tab/>
            </w:r>
            <w:r w:rsidRPr="00F0385A">
              <w:rPr>
                <w:rFonts w:ascii="Arial" w:eastAsia="Times New Roman" w:hAnsi="Arial" w:cs="Times New Roman"/>
                <w:noProof/>
                <w:color w:val="171717" w:themeColor="background2" w:themeShade="1A"/>
                <w:kern w:val="0"/>
                <w:lang w:val="en-US"/>
                <w14:ligatures w14:val="none"/>
              </w:rPr>
              <w:t>Insulin and glucagon</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_Toc242022003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2</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384B2D1C"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w:anchor="_Toc242022004" w:history="1">
            <w:r w:rsidRPr="00F0385A">
              <w:rPr>
                <w:rFonts w:ascii="Arial" w:eastAsia="Times New Roman" w:hAnsi="Arial" w:cs="Times New Roman"/>
                <w:noProof/>
                <w:color w:val="171717" w:themeColor="background2" w:themeShade="1A"/>
                <w:kern w:val="0"/>
                <w:lang w:val="en-US"/>
                <w14:ligatures w14:val="none"/>
              </w:rPr>
              <w:t>4.</w:t>
            </w:r>
            <w:r w:rsidRPr="00F0385A">
              <w:rPr>
                <w:rFonts w:ascii="Arial" w:eastAsia="Calibri" w:hAnsi="Arial" w:cs="Times New Roman"/>
                <w:noProof/>
                <w:color w:val="171717" w:themeColor="background2" w:themeShade="1A"/>
                <w:kern w:val="0"/>
                <w:lang w:val="en-AU"/>
                <w14:ligatures w14:val="none"/>
              </w:rPr>
              <w:tab/>
            </w:r>
            <w:r w:rsidRPr="00F0385A">
              <w:rPr>
                <w:rFonts w:ascii="Arial" w:eastAsia="Times New Roman" w:hAnsi="Arial" w:cs="Times New Roman"/>
                <w:noProof/>
                <w:color w:val="171717" w:themeColor="background2" w:themeShade="1A"/>
                <w:kern w:val="0"/>
                <w:lang w:val="en-US"/>
                <w14:ligatures w14:val="none"/>
              </w:rPr>
              <w:t>Glucose + oxygen in cellular metabolism</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_Toc242022004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3</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370E5487"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w:anchor="_Toc242022005" w:history="1">
            <w:r w:rsidRPr="00F0385A">
              <w:rPr>
                <w:rFonts w:ascii="Arial" w:eastAsia="Times New Roman" w:hAnsi="Arial" w:cs="Times New Roman"/>
                <w:noProof/>
                <w:color w:val="171717" w:themeColor="background2" w:themeShade="1A"/>
                <w:kern w:val="0"/>
                <w:lang w:val="en-US"/>
                <w14:ligatures w14:val="none"/>
              </w:rPr>
              <w:t>5.</w:t>
            </w:r>
            <w:r w:rsidRPr="00F0385A">
              <w:rPr>
                <w:rFonts w:ascii="Arial" w:eastAsia="Calibri" w:hAnsi="Arial" w:cs="Times New Roman"/>
                <w:noProof/>
                <w:color w:val="171717" w:themeColor="background2" w:themeShade="1A"/>
                <w:kern w:val="0"/>
                <w:lang w:val="en-AU"/>
                <w14:ligatures w14:val="none"/>
              </w:rPr>
              <w:tab/>
            </w:r>
            <w:r w:rsidRPr="00F0385A">
              <w:rPr>
                <w:rFonts w:ascii="Arial" w:eastAsia="Times New Roman" w:hAnsi="Arial" w:cs="Times New Roman"/>
                <w:noProof/>
                <w:color w:val="171717" w:themeColor="background2" w:themeShade="1A"/>
                <w:kern w:val="0"/>
                <w:lang w:val="en-US"/>
                <w14:ligatures w14:val="none"/>
              </w:rPr>
              <w:t>Blood-glucose recording and tracking</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_Toc242022005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3</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3BCD9237"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w:anchor="_Toc242022006" w:history="1">
            <w:r w:rsidRPr="00F0385A">
              <w:rPr>
                <w:rFonts w:ascii="Arial" w:eastAsia="Times New Roman" w:hAnsi="Arial" w:cs="Times New Roman"/>
                <w:noProof/>
                <w:color w:val="171717" w:themeColor="background2" w:themeShade="1A"/>
                <w:kern w:val="0"/>
                <w:lang w:val="en-US"/>
                <w14:ligatures w14:val="none"/>
              </w:rPr>
              <w:t>6.</w:t>
            </w:r>
            <w:r w:rsidRPr="00F0385A">
              <w:rPr>
                <w:rFonts w:ascii="Arial" w:eastAsia="Calibri" w:hAnsi="Arial" w:cs="Times New Roman"/>
                <w:noProof/>
                <w:color w:val="171717" w:themeColor="background2" w:themeShade="1A"/>
                <w:kern w:val="0"/>
                <w:lang w:val="en-AU"/>
                <w14:ligatures w14:val="none"/>
              </w:rPr>
              <w:tab/>
            </w:r>
            <w:r w:rsidRPr="00F0385A">
              <w:rPr>
                <w:rFonts w:ascii="Arial" w:eastAsia="Times New Roman" w:hAnsi="Arial" w:cs="Times New Roman"/>
                <w:noProof/>
                <w:color w:val="171717" w:themeColor="background2" w:themeShade="1A"/>
                <w:kern w:val="0"/>
                <w:lang w:val="en-US"/>
                <w14:ligatures w14:val="none"/>
              </w:rPr>
              <w:t>Evidence-based diet, exercise, weight-management and smoking recommendations</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_Toc242022006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4</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586F1348"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w:anchor="_Toc242022007" w:history="1">
            <w:r w:rsidRPr="00F0385A">
              <w:rPr>
                <w:rFonts w:ascii="Arial" w:eastAsia="Times New Roman" w:hAnsi="Arial" w:cs="Times New Roman"/>
                <w:noProof/>
                <w:color w:val="171717" w:themeColor="background2" w:themeShade="1A"/>
                <w:kern w:val="0"/>
                <w:lang w:val="en-US"/>
                <w14:ligatures w14:val="none"/>
              </w:rPr>
              <w:t>7.</w:t>
            </w:r>
            <w:r w:rsidRPr="00F0385A">
              <w:rPr>
                <w:rFonts w:ascii="Arial" w:eastAsia="Calibri" w:hAnsi="Arial" w:cs="Times New Roman"/>
                <w:noProof/>
                <w:color w:val="171717" w:themeColor="background2" w:themeShade="1A"/>
                <w:kern w:val="0"/>
                <w:lang w:val="en-AU"/>
                <w14:ligatures w14:val="none"/>
              </w:rPr>
              <w:tab/>
            </w:r>
            <w:r w:rsidRPr="00F0385A">
              <w:rPr>
                <w:rFonts w:ascii="Arial" w:eastAsia="Times New Roman" w:hAnsi="Arial" w:cs="Times New Roman"/>
                <w:noProof/>
                <w:color w:val="171717" w:themeColor="background2" w:themeShade="1A"/>
                <w:kern w:val="0"/>
                <w:lang w:val="en-US"/>
                <w14:ligatures w14:val="none"/>
              </w:rPr>
              <w:t>Critical links between anatomy, physiology and patient care</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_Toc242022007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5</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3843A00D"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color w:val="171717" w:themeColor="background2" w:themeShade="1A"/>
              <w:kern w:val="0"/>
              <w:lang w:val="en-AU"/>
              <w14:ligatures w14:val="none"/>
            </w:rPr>
          </w:pPr>
          <w:hyperlink w:anchor="_Toc242022008" w:history="1">
            <w:r w:rsidRPr="00F0385A">
              <w:rPr>
                <w:rFonts w:ascii="Arial" w:eastAsia="Times New Roman" w:hAnsi="Arial" w:cs="Times New Roman"/>
                <w:noProof/>
                <w:color w:val="171717" w:themeColor="background2" w:themeShade="1A"/>
                <w:kern w:val="0"/>
                <w:lang w:val="en-US"/>
                <w14:ligatures w14:val="none"/>
              </w:rPr>
              <w:t>8.</w:t>
            </w:r>
            <w:r w:rsidRPr="00F0385A">
              <w:rPr>
                <w:rFonts w:ascii="Arial" w:eastAsia="Calibri" w:hAnsi="Arial" w:cs="Times New Roman"/>
                <w:noProof/>
                <w:color w:val="171717" w:themeColor="background2" w:themeShade="1A"/>
                <w:kern w:val="0"/>
                <w:lang w:val="en-AU"/>
                <w14:ligatures w14:val="none"/>
              </w:rPr>
              <w:tab/>
            </w:r>
            <w:r w:rsidRPr="00F0385A">
              <w:rPr>
                <w:rFonts w:ascii="Arial" w:eastAsia="Times New Roman" w:hAnsi="Arial" w:cs="Times New Roman"/>
                <w:noProof/>
                <w:color w:val="171717" w:themeColor="background2" w:themeShade="1A"/>
                <w:kern w:val="0"/>
                <w:lang w:val="en-US"/>
                <w14:ligatures w14:val="none"/>
              </w:rPr>
              <w:t>Conclusion</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_Toc242022008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6</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155FE5F9" w14:textId="77777777" w:rsidR="003B5333" w:rsidRPr="00F0385A" w:rsidRDefault="003B5333" w:rsidP="00835708">
          <w:pPr>
            <w:tabs>
              <w:tab w:val="left" w:pos="440"/>
              <w:tab w:val="right" w:leader="dot" w:pos="9350"/>
            </w:tabs>
            <w:spacing w:after="100" w:line="360" w:lineRule="auto"/>
            <w:jc w:val="both"/>
            <w:rPr>
              <w:rFonts w:ascii="Arial" w:eastAsia="Calibri" w:hAnsi="Arial" w:cs="Times New Roman"/>
              <w:noProof/>
              <w:kern w:val="0"/>
              <w:lang w:val="en-AU"/>
              <w14:ligatures w14:val="none"/>
            </w:rPr>
          </w:pPr>
          <w:hyperlink w:anchor="_Toc242022009" w:history="1">
            <w:r w:rsidRPr="00F0385A">
              <w:rPr>
                <w:rFonts w:ascii="Times New Roman" w:eastAsia="Calibri" w:hAnsi="Times New Roman" w:cs="Times New Roman"/>
                <w:noProof/>
                <w:color w:val="171717" w:themeColor="background2" w:themeShade="1A"/>
                <w:kern w:val="0"/>
                <w:lang w:val="en-US"/>
                <w14:ligatures w14:val="none"/>
              </w:rPr>
              <w:t>9.</w:t>
            </w:r>
            <w:r w:rsidRPr="00F0385A">
              <w:rPr>
                <w:rFonts w:ascii="Arial" w:eastAsia="Calibri" w:hAnsi="Arial" w:cs="Times New Roman"/>
                <w:noProof/>
                <w:color w:val="171717" w:themeColor="background2" w:themeShade="1A"/>
                <w:kern w:val="0"/>
                <w:lang w:val="en-AU"/>
                <w14:ligatures w14:val="none"/>
              </w:rPr>
              <w:tab/>
              <w:t>References</w:t>
            </w:r>
            <w:r w:rsidRPr="00F0385A">
              <w:rPr>
                <w:rFonts w:ascii="Arial" w:eastAsia="Calibri" w:hAnsi="Arial" w:cs="Times New Roman"/>
                <w:noProof/>
                <w:webHidden/>
                <w:color w:val="171717" w:themeColor="background2" w:themeShade="1A"/>
                <w:kern w:val="0"/>
                <w:lang w:val="en-AU"/>
                <w14:ligatures w14:val="none"/>
              </w:rPr>
              <w:tab/>
            </w:r>
            <w:r w:rsidRPr="00F0385A">
              <w:rPr>
                <w:rFonts w:ascii="Arial" w:eastAsia="Calibri" w:hAnsi="Arial" w:cs="Times New Roman"/>
                <w:noProof/>
                <w:webHidden/>
                <w:color w:val="171717" w:themeColor="background2" w:themeShade="1A"/>
                <w:kern w:val="0"/>
                <w:lang w:val="en-AU"/>
                <w14:ligatures w14:val="none"/>
              </w:rPr>
              <w:fldChar w:fldCharType="begin"/>
            </w:r>
            <w:r w:rsidRPr="00F0385A">
              <w:rPr>
                <w:rFonts w:ascii="Arial" w:eastAsia="Calibri" w:hAnsi="Arial" w:cs="Times New Roman"/>
                <w:noProof/>
                <w:webHidden/>
                <w:color w:val="171717" w:themeColor="background2" w:themeShade="1A"/>
                <w:kern w:val="0"/>
                <w:lang w:val="en-AU"/>
                <w14:ligatures w14:val="none"/>
              </w:rPr>
              <w:instrText xml:space="preserve"> PAGEREF _Toc242022009 \h </w:instrText>
            </w:r>
            <w:r w:rsidRPr="00F0385A">
              <w:rPr>
                <w:rFonts w:ascii="Arial" w:eastAsia="Calibri" w:hAnsi="Arial" w:cs="Times New Roman"/>
                <w:noProof/>
                <w:webHidden/>
                <w:color w:val="171717" w:themeColor="background2" w:themeShade="1A"/>
                <w:kern w:val="0"/>
                <w:lang w:val="en-AU"/>
                <w14:ligatures w14:val="none"/>
              </w:rPr>
            </w:r>
            <w:r w:rsidRPr="00F0385A">
              <w:rPr>
                <w:rFonts w:ascii="Arial" w:eastAsia="Calibri" w:hAnsi="Arial" w:cs="Times New Roman"/>
                <w:noProof/>
                <w:webHidden/>
                <w:color w:val="171717" w:themeColor="background2" w:themeShade="1A"/>
                <w:kern w:val="0"/>
                <w:lang w:val="en-AU"/>
                <w14:ligatures w14:val="none"/>
              </w:rPr>
              <w:fldChar w:fldCharType="separate"/>
            </w:r>
            <w:r w:rsidRPr="00F0385A">
              <w:rPr>
                <w:rFonts w:ascii="Arial" w:eastAsia="Calibri" w:hAnsi="Arial" w:cs="Times New Roman"/>
                <w:noProof/>
                <w:webHidden/>
                <w:color w:val="171717" w:themeColor="background2" w:themeShade="1A"/>
                <w:kern w:val="0"/>
                <w:lang w:val="en-AU"/>
                <w14:ligatures w14:val="none"/>
              </w:rPr>
              <w:t>7</w:t>
            </w:r>
            <w:r w:rsidRPr="00F0385A">
              <w:rPr>
                <w:rFonts w:ascii="Arial" w:eastAsia="Calibri" w:hAnsi="Arial" w:cs="Times New Roman"/>
                <w:noProof/>
                <w:webHidden/>
                <w:color w:val="171717" w:themeColor="background2" w:themeShade="1A"/>
                <w:kern w:val="0"/>
                <w:lang w:val="en-AU"/>
                <w14:ligatures w14:val="none"/>
              </w:rPr>
              <w:fldChar w:fldCharType="end"/>
            </w:r>
          </w:hyperlink>
        </w:p>
        <w:p w14:paraId="5707338F" w14:textId="3656AF0D" w:rsidR="003B5333" w:rsidRPr="00C41CB8" w:rsidRDefault="003B5333" w:rsidP="00835708">
          <w:pPr>
            <w:spacing w:line="360" w:lineRule="auto"/>
            <w:jc w:val="both"/>
            <w:rPr>
              <w:rFonts w:ascii="Arial" w:eastAsia="Calibri" w:hAnsi="Arial" w:cs="Times New Roman"/>
              <w:kern w:val="0"/>
              <w:lang w:val="en-AU"/>
              <w14:ligatures w14:val="none"/>
            </w:rPr>
            <w:sectPr w:rsidR="003B5333" w:rsidRPr="00C41CB8" w:rsidSect="003B5333">
              <w:footerReference w:type="default" r:id="rId6"/>
              <w:pgSz w:w="12240" w:h="15840"/>
              <w:pgMar w:top="1440" w:right="1440" w:bottom="1440" w:left="1440" w:header="720" w:footer="720" w:gutter="0"/>
              <w:cols w:space="720"/>
              <w:docGrid w:linePitch="360"/>
            </w:sectPr>
          </w:pPr>
          <w:r w:rsidRPr="003B5333">
            <w:rPr>
              <w:rFonts w:ascii="Arial" w:eastAsia="Calibri" w:hAnsi="Arial" w:cs="Times New Roman"/>
              <w:b/>
              <w:bCs/>
              <w:noProof/>
              <w:kern w:val="0"/>
              <w:lang w:val="en-AU"/>
              <w14:ligatures w14:val="none"/>
            </w:rPr>
            <w:fldChar w:fldCharType="end"/>
          </w:r>
        </w:p>
      </w:sdtContent>
    </w:sdt>
    <w:p w14:paraId="38188486" w14:textId="77777777" w:rsidR="001B772B" w:rsidRDefault="001B772B" w:rsidP="00C41CB8">
      <w:pPr>
        <w:rPr>
          <w:rFonts w:ascii="Arial" w:eastAsia="Calibri" w:hAnsi="Arial" w:cs="Times New Roman"/>
          <w:b/>
          <w:bCs/>
          <w:color w:val="2E74B5"/>
          <w:kern w:val="0"/>
          <w:sz w:val="32"/>
          <w:lang w:val="en-US"/>
          <w14:ligatures w14:val="none"/>
        </w:rPr>
      </w:pPr>
    </w:p>
    <w:p w14:paraId="4A51C892" w14:textId="7504114C" w:rsidR="003B5333" w:rsidRPr="003B5333" w:rsidRDefault="003B5333" w:rsidP="00C41CB8">
      <w:pPr>
        <w:rPr>
          <w:rFonts w:ascii="Arial" w:eastAsia="Calibri" w:hAnsi="Arial" w:cs="Times New Roman"/>
          <w:color w:val="2E74B5"/>
          <w:kern w:val="0"/>
          <w:sz w:val="32"/>
          <w:lang w:val="en-US"/>
          <w14:ligatures w14:val="none"/>
        </w:rPr>
      </w:pPr>
      <w:r w:rsidRPr="003B5333">
        <w:rPr>
          <w:rFonts w:ascii="Arial" w:eastAsia="Calibri" w:hAnsi="Arial" w:cs="Times New Roman"/>
          <w:b/>
          <w:bCs/>
          <w:color w:val="2E74B5"/>
          <w:kern w:val="0"/>
          <w:sz w:val="32"/>
          <w:lang w:val="en-US"/>
          <w14:ligatures w14:val="none"/>
        </w:rPr>
        <w:t>Diabetes Case Study</w:t>
      </w:r>
    </w:p>
    <w:p w14:paraId="1C9BA07B" w14:textId="77777777" w:rsidR="00C41CB8" w:rsidRDefault="00C41CB8" w:rsidP="003B5333">
      <w:pPr>
        <w:keepNext/>
        <w:keepLines/>
        <w:tabs>
          <w:tab w:val="num" w:pos="720"/>
        </w:tabs>
        <w:spacing w:before="480" w:after="0" w:line="276" w:lineRule="auto"/>
        <w:ind w:left="720" w:hanging="720"/>
        <w:contextualSpacing/>
        <w:jc w:val="both"/>
        <w:outlineLvl w:val="0"/>
        <w:rPr>
          <w:rFonts w:ascii="Arial" w:eastAsia="Times New Roman" w:hAnsi="Arial" w:cs="Times New Roman"/>
          <w:b/>
          <w:bCs/>
          <w:color w:val="000000" w:themeColor="text1"/>
          <w:kern w:val="0"/>
          <w:sz w:val="28"/>
          <w:szCs w:val="28"/>
          <w:lang w:val="en-US"/>
          <w14:ligatures w14:val="none"/>
        </w:rPr>
      </w:pPr>
      <w:bookmarkStart w:id="0" w:name="_Toc242022001"/>
    </w:p>
    <w:p w14:paraId="3E8857CA" w14:textId="7329908F" w:rsidR="003B5333" w:rsidRPr="00C41CB8" w:rsidRDefault="003B5333" w:rsidP="003B5333">
      <w:pPr>
        <w:keepNext/>
        <w:keepLines/>
        <w:tabs>
          <w:tab w:val="num" w:pos="720"/>
        </w:tabs>
        <w:spacing w:before="480" w:after="0" w:line="276" w:lineRule="auto"/>
        <w:ind w:left="720" w:hanging="720"/>
        <w:contextualSpacing/>
        <w:jc w:val="both"/>
        <w:outlineLvl w:val="0"/>
        <w:rPr>
          <w:rFonts w:ascii="Arial" w:eastAsia="Times New Roman" w:hAnsi="Arial" w:cs="Times New Roman"/>
          <w:b/>
          <w:bCs/>
          <w:color w:val="000000" w:themeColor="text1"/>
          <w:kern w:val="0"/>
          <w:sz w:val="28"/>
          <w:szCs w:val="28"/>
          <w:lang w:val="en-US"/>
          <w14:ligatures w14:val="none"/>
        </w:rPr>
      </w:pPr>
      <w:r w:rsidRPr="00C41CB8">
        <w:rPr>
          <w:rFonts w:ascii="Arial" w:eastAsia="Times New Roman" w:hAnsi="Arial" w:cs="Times New Roman"/>
          <w:b/>
          <w:bCs/>
          <w:color w:val="000000" w:themeColor="text1"/>
          <w:kern w:val="0"/>
          <w:sz w:val="28"/>
          <w:szCs w:val="28"/>
          <w:lang w:val="en-US"/>
          <w14:ligatures w14:val="none"/>
        </w:rPr>
        <w:t>Introduction and diabetes risk factors</w:t>
      </w:r>
      <w:bookmarkEnd w:id="0"/>
    </w:p>
    <w:p w14:paraId="0F9CB68E" w14:textId="77777777" w:rsidR="003B5333" w:rsidRPr="003B5333" w:rsidRDefault="003B5333" w:rsidP="00835708">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The current report examines issues like diabetes, glucose management, cell metabolism, testing of blood glucose, and managing diabetes among others to ensure evidence-based treatment.</w:t>
      </w:r>
    </w:p>
    <w:p w14:paraId="0A1414B8" w14:textId="4DBE660E" w:rsidR="003B5333" w:rsidRPr="003B5333" w:rsidRDefault="003B5333" w:rsidP="00835708">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Diabetes Mellitus is defined as a chronic metabolic condition that involves high blood glucose level resulting from insufficient insulin production, poor insulin function or both. It is important to understand that insulin is vital because it helps glucose to be absorbed into cells from blood </w:t>
      </w:r>
      <w:proofErr w:type="gramStart"/>
      <w:r w:rsidRPr="003B5333">
        <w:rPr>
          <w:rFonts w:ascii="Arial" w:eastAsia="Times New Roman" w:hAnsi="Arial" w:cs="Times New Roman"/>
          <w:kern w:val="0"/>
          <w:szCs w:val="24"/>
          <w:lang w:val="en-US"/>
          <w14:ligatures w14:val="none"/>
        </w:rPr>
        <w:t>in order to</w:t>
      </w:r>
      <w:proofErr w:type="gramEnd"/>
      <w:r w:rsidRPr="003B5333">
        <w:rPr>
          <w:rFonts w:ascii="Arial" w:eastAsia="Times New Roman" w:hAnsi="Arial" w:cs="Times New Roman"/>
          <w:kern w:val="0"/>
          <w:szCs w:val="24"/>
          <w:lang w:val="en-US"/>
          <w14:ligatures w14:val="none"/>
        </w:rPr>
        <w:t xml:space="preserve"> be used for energy. The high levels of blood sugar can lead to the damage of blood vessels, nerves, kidneys, eyes and heart. Type 1 diabetes is </w:t>
      </w:r>
      <w:r w:rsidRPr="0061094D">
        <w:rPr>
          <w:rFonts w:ascii="Arial" w:eastAsia="Times New Roman" w:hAnsi="Arial" w:cs="Times New Roman"/>
          <w:kern w:val="0"/>
          <w:szCs w:val="24"/>
          <w:lang w:val="en-US"/>
          <w14:ligatures w14:val="none"/>
        </w:rPr>
        <w:t>characteri</w:t>
      </w:r>
      <w:r w:rsidR="0061094D">
        <w:rPr>
          <w:rFonts w:ascii="Arial" w:eastAsia="Times New Roman" w:hAnsi="Arial" w:cs="Times New Roman"/>
          <w:kern w:val="0"/>
          <w:szCs w:val="24"/>
          <w:lang w:val="en-US"/>
          <w14:ligatures w14:val="none"/>
        </w:rPr>
        <w:t>s</w:t>
      </w:r>
      <w:r w:rsidRPr="0061094D">
        <w:rPr>
          <w:rFonts w:ascii="Arial" w:eastAsia="Times New Roman" w:hAnsi="Arial" w:cs="Times New Roman"/>
          <w:kern w:val="0"/>
          <w:szCs w:val="24"/>
          <w:lang w:val="en-US"/>
          <w14:ligatures w14:val="none"/>
        </w:rPr>
        <w:t>ed</w:t>
      </w:r>
      <w:r w:rsidRPr="001C5068">
        <w:rPr>
          <w:rFonts w:ascii="Arial" w:eastAsia="Times New Roman" w:hAnsi="Arial" w:cs="Times New Roman"/>
          <w:kern w:val="0"/>
          <w:szCs w:val="24"/>
          <w:lang w:val="en-US"/>
          <w14:ligatures w14:val="none"/>
        </w:rPr>
        <w:t xml:space="preserve"> b</w:t>
      </w:r>
      <w:r w:rsidRPr="003B5333">
        <w:rPr>
          <w:rFonts w:ascii="Arial" w:eastAsia="Times New Roman" w:hAnsi="Arial" w:cs="Times New Roman"/>
          <w:kern w:val="0"/>
          <w:szCs w:val="24"/>
          <w:lang w:val="en-US"/>
          <w14:ligatures w14:val="none"/>
        </w:rPr>
        <w:t>y the destruction of the pancreas' beta cells and absolute lack of insulin. Type 2 diabetes is associated with the presence of insulin resistance and the inability to produce insulin</w:t>
      </w:r>
      <w:r w:rsidRPr="003B5333">
        <w:rPr>
          <w:rFonts w:ascii="Calibri" w:eastAsia="Calibri" w:hAnsi="Calibri" w:cs="Calibri"/>
          <w:color w:val="000000"/>
          <w:kern w:val="0"/>
          <w:shd w:val="clear" w:color="auto" w:fill="FFFFFF"/>
          <w:lang w:val="en-AU"/>
          <w14:ligatures w14:val="none"/>
        </w:rPr>
        <w:t xml:space="preserve"> (</w:t>
      </w:r>
      <w:r w:rsidRPr="003B5333">
        <w:rPr>
          <w:rFonts w:ascii="Arial" w:eastAsia="Calibri" w:hAnsi="Arial" w:cs="Arial"/>
          <w:color w:val="000000"/>
          <w:kern w:val="0"/>
          <w:shd w:val="clear" w:color="auto" w:fill="FFFFFF"/>
          <w:lang w:val="en-AU"/>
          <w14:ligatures w14:val="none"/>
        </w:rPr>
        <w:t>NHS, 2025a; NICE, 2022).</w:t>
      </w:r>
    </w:p>
    <w:p w14:paraId="3F6B93FC" w14:textId="0F0545B4" w:rsidR="003B5333" w:rsidRPr="003B5333" w:rsidRDefault="003B5333" w:rsidP="00835708">
      <w:pPr>
        <w:spacing w:line="360" w:lineRule="auto"/>
        <w:jc w:val="both"/>
        <w:rPr>
          <w:rFonts w:ascii="Arial" w:eastAsia="Calibri" w:hAnsi="Arial" w:cs="Times New Roman"/>
          <w:b/>
          <w:bCs/>
          <w:color w:val="2E74B5"/>
          <w:kern w:val="36"/>
          <w:sz w:val="48"/>
          <w:szCs w:val="48"/>
          <w:lang w:val="en-US"/>
          <w14:ligatures w14:val="none"/>
        </w:rPr>
      </w:pPr>
      <w:r w:rsidRPr="003B5333">
        <w:rPr>
          <w:rFonts w:ascii="Arial" w:eastAsia="Calibri" w:hAnsi="Arial" w:cs="Times New Roman"/>
          <w:kern w:val="0"/>
          <w:lang w:val="en-US"/>
          <w14:ligatures w14:val="none"/>
        </w:rPr>
        <w:t>The development of type 2 diabetes involves various aspects related to genetics, physiology, behavior, and the environment (</w:t>
      </w:r>
      <w:r w:rsidRPr="003B5333">
        <w:rPr>
          <w:rFonts w:ascii="Arial" w:eastAsia="Calibri" w:hAnsi="Arial" w:cs="Times New Roman"/>
          <w:kern w:val="0"/>
          <w:lang w:val="en-AU"/>
          <w14:ligatures w14:val="none"/>
        </w:rPr>
        <w:t>NHS, 2025c)</w:t>
      </w:r>
      <w:r w:rsidRPr="003B5333">
        <w:rPr>
          <w:rFonts w:ascii="Arial" w:eastAsia="Calibri" w:hAnsi="Arial" w:cs="Times New Roman"/>
          <w:kern w:val="0"/>
          <w:lang w:val="en-US"/>
          <w14:ligatures w14:val="none"/>
        </w:rPr>
        <w:t>. Risk factors include obesity and being overweight, especially with higher degrees of fat stored around the waistline, physical inactivity, improper nutrition, old age, and family history of diabetes. Additionally, smoking and some social and environmental factors may contribute to the risk of developing the disease. It is essential to discuss risk factors in combination with metabolic factors such as insulin resistance. The combination approach is necessary from the perspective of healthcare because prevention and management of disease should be individualized.</w:t>
      </w:r>
    </w:p>
    <w:p w14:paraId="54AFB7A9" w14:textId="77777777" w:rsidR="00C41CB8" w:rsidRDefault="00C41CB8"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AU"/>
          <w14:ligatures w14:val="none"/>
        </w:rPr>
      </w:pPr>
      <w:bookmarkStart w:id="1" w:name="_Toc242022002"/>
    </w:p>
    <w:p w14:paraId="1D190CC8" w14:textId="19686321" w:rsidR="003B5333" w:rsidRPr="003B5333" w:rsidRDefault="003B5333"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r w:rsidRPr="003B5333">
        <w:rPr>
          <w:rFonts w:ascii="Arial" w:eastAsia="Times New Roman" w:hAnsi="Arial" w:cs="Times New Roman"/>
          <w:b/>
          <w:bCs/>
          <w:color w:val="2E74B5"/>
          <w:kern w:val="0"/>
          <w:sz w:val="28"/>
          <w:szCs w:val="28"/>
          <w:lang w:val="en-AU"/>
          <w14:ligatures w14:val="none"/>
        </w:rPr>
        <w:t>Blood</w:t>
      </w:r>
      <w:r w:rsidRPr="003B5333">
        <w:rPr>
          <w:rFonts w:ascii="Arial" w:eastAsia="Times New Roman" w:hAnsi="Arial" w:cs="Times New Roman"/>
          <w:b/>
          <w:bCs/>
          <w:color w:val="2E74B5"/>
          <w:kern w:val="0"/>
          <w:sz w:val="28"/>
          <w:szCs w:val="28"/>
          <w:lang w:val="en-US"/>
          <w14:ligatures w14:val="none"/>
        </w:rPr>
        <w:t>-glucose regulation and homeostasis</w:t>
      </w:r>
      <w:bookmarkEnd w:id="1"/>
    </w:p>
    <w:p w14:paraId="650C0D26" w14:textId="2457475E"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Glucose homeostasis is an aspect of physiology that entails the control of glucose in the body despite changes in the amount of food eaten, activity level, and energy requirements. This aspect is critical since tissues require a constant supply of energy, but too much circulating glucose in the body can damage tissues </w:t>
      </w:r>
      <w:r w:rsidR="00A13CA5">
        <w:rPr>
          <w:rFonts w:ascii="Arial" w:eastAsia="Times New Roman" w:hAnsi="Arial" w:cs="Times New Roman"/>
          <w:kern w:val="0"/>
          <w:szCs w:val="24"/>
          <w:lang w:val="en-US"/>
          <w14:ligatures w14:val="none"/>
        </w:rPr>
        <w:t>over time</w:t>
      </w:r>
      <w:r w:rsidRPr="003B5333">
        <w:rPr>
          <w:rFonts w:ascii="Arial" w:eastAsia="Times New Roman" w:hAnsi="Arial" w:cs="Times New Roman"/>
          <w:kern w:val="0"/>
          <w:szCs w:val="24"/>
          <w:lang w:val="en-US"/>
          <w14:ligatures w14:val="none"/>
        </w:rPr>
        <w:t>. The regulation of blood glucose is done by the pancreas, liver, skeletal muscles, and fat.</w:t>
      </w:r>
    </w:p>
    <w:p w14:paraId="1A61695C"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lastRenderedPageBreak/>
        <w:t>Glucose gets into the bloodstream from the breakdown of carbohydrate-containing foods, resulting in an elevation of the glucose concentration in the blood. The elevated glucose level in the blood triggers the secretion of insulin by beta cells of the pancreas. Insulin is the hormone that helps in the uptake of glucose into the skeletal muscles and fat. Furthermore, insulin inhibits the processes that would result in an increase in blood glucose levels, for example, glucose production in the liver. If the blood glucose levels fall, then alpha cells of the pancreas secrete glucagon. The hormone glucagon works mainly on the liver to bring about the breakdown of glycogen and formation of glucose molecules.</w:t>
      </w:r>
    </w:p>
    <w:p w14:paraId="2613C03F"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This is an example of negative feedback where the increase in blood glucose concentration causes insulin release while a decrease in blood glucose concentration causes the release of glucagon. The two hormones are crucial in ensuring that there is maintenance of homeostasis in the body. There are other counter regulatory hormones such as adrenaline and cortisol that may cause the increase in the levels of blood glucose in case there is a threat to energy sources. In Type 2 diabetes, there is insulin resistance, meaning that more insulin is needed. Nonetheless, as the passing of time continues, there is deterioration in the functioning of the beta cells in the pancreas causing hyperglycemia </w:t>
      </w:r>
      <w:r w:rsidRPr="003B5333">
        <w:rPr>
          <w:rFonts w:ascii="Arial" w:eastAsia="Calibri" w:hAnsi="Arial" w:cs="Arial"/>
          <w:color w:val="000000"/>
          <w:kern w:val="0"/>
          <w:shd w:val="clear" w:color="auto" w:fill="FFFFFF"/>
          <w:lang w:val="en-AU"/>
          <w14:ligatures w14:val="none"/>
        </w:rPr>
        <w:t>(NICE, 2026).</w:t>
      </w:r>
    </w:p>
    <w:p w14:paraId="081AF083" w14:textId="77777777" w:rsidR="009C53D8" w:rsidRDefault="009C53D8"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2" w:name="_Toc242022003"/>
    </w:p>
    <w:p w14:paraId="5EC2F1D9" w14:textId="41FFA99E" w:rsidR="003B5333" w:rsidRPr="003B5333" w:rsidRDefault="003B5333"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r w:rsidRPr="003B5333">
        <w:rPr>
          <w:rFonts w:ascii="Arial" w:eastAsia="Times New Roman" w:hAnsi="Arial" w:cs="Times New Roman"/>
          <w:b/>
          <w:bCs/>
          <w:color w:val="2E74B5"/>
          <w:kern w:val="0"/>
          <w:sz w:val="28"/>
          <w:szCs w:val="28"/>
          <w:lang w:val="en-US"/>
          <w14:ligatures w14:val="none"/>
        </w:rPr>
        <w:t>Insulin and glucagon</w:t>
      </w:r>
      <w:bookmarkEnd w:id="2"/>
    </w:p>
    <w:p w14:paraId="77C4FE2D" w14:textId="09300347" w:rsid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Hormones insulin and glucagon act in opposing yet complementary manner regulating glucose. Insulin is produced in the beta cells of the pancreatic islets. Upon an increase in blood glucose concentration, insulin facilitates the process of utili</w:t>
      </w:r>
      <w:r w:rsidR="00A111C3">
        <w:rPr>
          <w:rFonts w:ascii="Arial" w:eastAsia="Times New Roman" w:hAnsi="Arial" w:cs="Times New Roman"/>
          <w:kern w:val="0"/>
          <w:szCs w:val="24"/>
          <w:lang w:val="en-US"/>
          <w14:ligatures w14:val="none"/>
        </w:rPr>
        <w:t>s</w:t>
      </w:r>
      <w:r w:rsidRPr="003B5333">
        <w:rPr>
          <w:rFonts w:ascii="Arial" w:eastAsia="Times New Roman" w:hAnsi="Arial" w:cs="Times New Roman"/>
          <w:kern w:val="0"/>
          <w:szCs w:val="24"/>
          <w:lang w:val="en-US"/>
          <w14:ligatures w14:val="none"/>
        </w:rPr>
        <w:t>ation and storage of glucose. In muscles, insulin promotes glucose uptake and synthesis of glycogen, and in adipose tissues – energy storage and prevents too much lipolysis. In the liver, insulin stimulates glycogen synthesis and inhibits glucose production.</w:t>
      </w:r>
    </w:p>
    <w:p w14:paraId="1938BD1B" w14:textId="61B28E0D" w:rsidR="00BA4124" w:rsidRDefault="00BA4124" w:rsidP="003B5333">
      <w:pPr>
        <w:spacing w:before="100" w:beforeAutospacing="1" w:after="100" w:afterAutospacing="1" w:line="360" w:lineRule="auto"/>
        <w:jc w:val="both"/>
        <w:rPr>
          <w:rFonts w:ascii="Arial" w:eastAsia="Times New Roman" w:hAnsi="Arial" w:cs="Times New Roman"/>
          <w:color w:val="EE0000"/>
          <w:kern w:val="0"/>
          <w:szCs w:val="24"/>
          <w:lang w:val="en-US"/>
          <w14:ligatures w14:val="none"/>
        </w:rPr>
      </w:pPr>
    </w:p>
    <w:p w14:paraId="309592CB" w14:textId="19227CDA" w:rsidR="00B4722A" w:rsidRDefault="00B4722A" w:rsidP="00A111C3">
      <w:pPr>
        <w:spacing w:before="100" w:beforeAutospacing="1" w:after="100" w:afterAutospacing="1" w:line="360" w:lineRule="auto"/>
        <w:jc w:val="center"/>
        <w:rPr>
          <w:rFonts w:ascii="Arial" w:eastAsia="Times New Roman" w:hAnsi="Arial" w:cs="Times New Roman"/>
          <w:color w:val="EE0000"/>
          <w:kern w:val="0"/>
          <w:szCs w:val="24"/>
          <w:lang w:val="en-US"/>
          <w14:ligatures w14:val="none"/>
        </w:rPr>
      </w:pPr>
      <w:r>
        <w:rPr>
          <w:noProof/>
        </w:rPr>
        <w:lastRenderedPageBreak/>
        <w:drawing>
          <wp:inline distT="0" distB="0" distL="0" distR="0" wp14:anchorId="5B1C7C94" wp14:editId="58C91471">
            <wp:extent cx="3966259" cy="3428599"/>
            <wp:effectExtent l="0" t="0" r="0" b="63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5142" cy="3462211"/>
                    </a:xfrm>
                    <a:prstGeom prst="rect">
                      <a:avLst/>
                    </a:prstGeom>
                    <a:noFill/>
                    <a:ln>
                      <a:noFill/>
                    </a:ln>
                  </pic:spPr>
                </pic:pic>
              </a:graphicData>
            </a:graphic>
          </wp:inline>
        </w:drawing>
      </w:r>
    </w:p>
    <w:p w14:paraId="717C0C1E" w14:textId="1F751D29" w:rsidR="00B22F42" w:rsidRPr="00083456" w:rsidRDefault="002F6261" w:rsidP="003B5333">
      <w:pPr>
        <w:spacing w:before="100" w:beforeAutospacing="1" w:after="100" w:afterAutospacing="1" w:line="360" w:lineRule="auto"/>
        <w:jc w:val="both"/>
        <w:rPr>
          <w:rFonts w:ascii="Arial" w:eastAsia="Times New Roman" w:hAnsi="Arial" w:cs="Times New Roman"/>
          <w:color w:val="EE0000"/>
          <w:kern w:val="0"/>
          <w:szCs w:val="24"/>
          <w:lang w:val="en-US"/>
          <w14:ligatures w14:val="none"/>
        </w:rPr>
      </w:pPr>
      <w:r w:rsidRPr="00B22F42">
        <w:rPr>
          <w:rFonts w:ascii="Arial" w:eastAsia="Times New Roman" w:hAnsi="Arial" w:cs="Times New Roman"/>
          <w:color w:val="EE0000"/>
          <w:kern w:val="0"/>
          <w:szCs w:val="24"/>
          <w:lang w:val="en-US"/>
          <w14:ligatures w14:val="none"/>
        </w:rPr>
        <w:t xml:space="preserve">                                                                                                                       </w:t>
      </w:r>
      <w:r w:rsidR="002A6CCF" w:rsidRPr="00B22F42">
        <w:rPr>
          <w:rFonts w:ascii="Arial" w:eastAsia="Times New Roman" w:hAnsi="Arial" w:cs="Times New Roman"/>
          <w:kern w:val="0"/>
          <w:szCs w:val="24"/>
          <w:lang w:val="en-US"/>
          <w14:ligatures w14:val="none"/>
        </w:rPr>
        <w:t>(D</w:t>
      </w:r>
      <w:r w:rsidR="00BA3F4D" w:rsidRPr="00B22F42">
        <w:rPr>
          <w:rFonts w:ascii="Arial" w:eastAsia="Times New Roman" w:hAnsi="Arial" w:cs="Times New Roman"/>
          <w:kern w:val="0"/>
          <w:szCs w:val="24"/>
          <w:lang w:val="en-US"/>
          <w14:ligatures w14:val="none"/>
        </w:rPr>
        <w:t>iffeology</w:t>
      </w:r>
      <w:r w:rsidR="00170447" w:rsidRPr="00B22F42">
        <w:rPr>
          <w:rFonts w:ascii="Arial" w:eastAsia="Times New Roman" w:hAnsi="Arial" w:cs="Times New Roman"/>
          <w:kern w:val="0"/>
          <w:szCs w:val="24"/>
          <w:lang w:val="en-US"/>
          <w14:ligatures w14:val="none"/>
        </w:rPr>
        <w:t>, 2024)</w:t>
      </w:r>
    </w:p>
    <w:p w14:paraId="5B57F736" w14:textId="3C0A4814"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Glucagon is produced in the pancreas in the alpha cells. This hormone is very important particularly in the case of low glucose concentration in blood and/or during fasting. Glucagon promotes the process of glycogen degradation and glucose synthesis in the liver. As a result, insulin lowers glucose concentration whereas glucagon increases it in case of its deficiency. This example shows how hormone regulation affects the maintenance of physiological balance.</w:t>
      </w:r>
    </w:p>
    <w:p w14:paraId="58B3BDFD"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Type 2 diabetes develops because of disturbance in this balance. There is decreased sensitivity of the body to the activity of insulin, and high glucagon can cause the excess production of glucose by the liver. In this case, increased blood glucose level is caused not by the consumption of much sugar, but by the disorder of processes involved in hormones secretion by the pancreas and their activity. This information is important for treating patients with such diseases since treatment is directed at improvement of these processes rather than decreasing sugar intake </w:t>
      </w:r>
      <w:r w:rsidRPr="003B5333">
        <w:rPr>
          <w:rFonts w:ascii="Arial" w:eastAsia="Calibri" w:hAnsi="Arial" w:cs="Arial"/>
          <w:color w:val="000000"/>
          <w:kern w:val="0"/>
          <w:shd w:val="clear" w:color="auto" w:fill="FFFFFF"/>
          <w:lang w:val="en-AU"/>
          <w14:ligatures w14:val="none"/>
        </w:rPr>
        <w:t xml:space="preserve">(Moran et al., 2022; Vanderpant </w:t>
      </w:r>
      <w:r w:rsidRPr="00A0771C">
        <w:rPr>
          <w:rFonts w:ascii="Arial" w:eastAsia="Calibri" w:hAnsi="Arial" w:cs="Arial"/>
          <w:i/>
          <w:iCs/>
          <w:color w:val="000000"/>
          <w:kern w:val="0"/>
          <w:shd w:val="clear" w:color="auto" w:fill="FFFFFF"/>
          <w:lang w:val="en-AU"/>
          <w14:ligatures w14:val="none"/>
        </w:rPr>
        <w:t>et al</w:t>
      </w:r>
      <w:r w:rsidRPr="003B5333">
        <w:rPr>
          <w:rFonts w:ascii="Arial" w:eastAsia="Calibri" w:hAnsi="Arial" w:cs="Arial"/>
          <w:color w:val="000000"/>
          <w:kern w:val="0"/>
          <w:shd w:val="clear" w:color="auto" w:fill="FFFFFF"/>
          <w:lang w:val="en-AU"/>
          <w14:ligatures w14:val="none"/>
        </w:rPr>
        <w:t>., 2024)</w:t>
      </w:r>
      <w:r w:rsidRPr="003B5333">
        <w:rPr>
          <w:rFonts w:ascii="Arial" w:eastAsia="Times New Roman" w:hAnsi="Arial" w:cs="Arial"/>
          <w:kern w:val="0"/>
          <w:szCs w:val="24"/>
          <w:lang w:val="en-US"/>
          <w14:ligatures w14:val="none"/>
        </w:rPr>
        <w:t>.</w:t>
      </w:r>
    </w:p>
    <w:p w14:paraId="028C77EB" w14:textId="77777777" w:rsidR="003B5333" w:rsidRPr="003B5333" w:rsidRDefault="003B5333"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3" w:name="_Toc242022004"/>
      <w:r w:rsidRPr="003B5333">
        <w:rPr>
          <w:rFonts w:ascii="Arial" w:eastAsia="Times New Roman" w:hAnsi="Arial" w:cs="Times New Roman"/>
          <w:b/>
          <w:bCs/>
          <w:color w:val="2E74B5"/>
          <w:kern w:val="0"/>
          <w:sz w:val="28"/>
          <w:szCs w:val="28"/>
          <w:lang w:val="en-US"/>
          <w14:ligatures w14:val="none"/>
        </w:rPr>
        <w:lastRenderedPageBreak/>
        <w:t>Glucose + oxygen in cellular metabolism</w:t>
      </w:r>
      <w:bookmarkEnd w:id="3"/>
    </w:p>
    <w:p w14:paraId="61E12027"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One of the major sources of energy for cells is glucose. Aerobic cellular respiration involves the slow oxidation of glucose, where oxygen enables the efficient production of adenosine triphosphate (ATP), which acts as the main source of energy in the cell. The chemical equation for the whole process can be expressed as:</w:t>
      </w:r>
    </w:p>
    <w:p w14:paraId="149B5157"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b/>
          <w:bCs/>
          <w:kern w:val="0"/>
          <w:szCs w:val="24"/>
          <w:lang w:val="en-US"/>
          <w14:ligatures w14:val="none"/>
        </w:rPr>
        <w:t>Glucose + oxygen → carbon dioxide + water + ATP</w:t>
      </w:r>
    </w:p>
    <w:p w14:paraId="258C2091"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The first step is glycolysis that occurs in the cytoplasm; this reaction leads to glucose molecule degradation into pyruvate molecules as well as synthesis of some ATP molecules. In case there is enough oxygen, pyruvate is transported to the mitochondria; there it transforms into acetyl-CoA. The citric acid cycle occurs in acetyl-CoA, and the result is reduced coenzymes providing electrons for the electron transport chain. Oxygen is used as the final acceptor in oxidative phosphorylation; this leads to ATP formation.</w:t>
      </w:r>
    </w:p>
    <w:p w14:paraId="0BCA29BB"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Therefore, it can be stated that physiology shows the interaction of circulatory, respiratory and endocrine systems. Respiratory system provides oxygen, circulatory system transports oxygen and glucose to cells, and insulin regulates the glucose level in the blood. Skeletal muscles are of great importance due to the fact that physical activity stimulates glucose consumption and need for energy. In case of diabetes, disorders in glucose metabolism influence the supply of metabolic substrates; chronic hyperglycemia may affect cardiovascular system and other metabolic organs </w:t>
      </w:r>
      <w:r w:rsidRPr="003B5333">
        <w:rPr>
          <w:rFonts w:ascii="Arial" w:eastAsia="Calibri" w:hAnsi="Arial" w:cs="Arial"/>
          <w:color w:val="000000"/>
          <w:kern w:val="0"/>
          <w:shd w:val="clear" w:color="auto" w:fill="FFFFFF"/>
          <w:lang w:val="en-AU"/>
          <w14:ligatures w14:val="none"/>
        </w:rPr>
        <w:t>(NHS, 2025b)</w:t>
      </w:r>
      <w:r w:rsidRPr="003B5333">
        <w:rPr>
          <w:rFonts w:ascii="Arial" w:eastAsia="Times New Roman" w:hAnsi="Arial" w:cs="Arial"/>
          <w:kern w:val="0"/>
          <w:szCs w:val="24"/>
          <w:lang w:val="en-US"/>
          <w14:ligatures w14:val="none"/>
        </w:rPr>
        <w:t>.</w:t>
      </w:r>
    </w:p>
    <w:p w14:paraId="1391A58A" w14:textId="77777777" w:rsidR="009C53D8" w:rsidRDefault="009C53D8"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4" w:name="_Toc242022005"/>
    </w:p>
    <w:p w14:paraId="65AF903F" w14:textId="0C898A77" w:rsidR="003B5333" w:rsidRPr="003B5333" w:rsidRDefault="003B5333"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r w:rsidRPr="003B5333">
        <w:rPr>
          <w:rFonts w:ascii="Arial" w:eastAsia="Times New Roman" w:hAnsi="Arial" w:cs="Times New Roman"/>
          <w:b/>
          <w:bCs/>
          <w:color w:val="2E74B5"/>
          <w:kern w:val="0"/>
          <w:sz w:val="28"/>
          <w:szCs w:val="28"/>
          <w:lang w:val="en-US"/>
          <w14:ligatures w14:val="none"/>
        </w:rPr>
        <w:t>Blood-glucose recording and tracking</w:t>
      </w:r>
      <w:bookmarkEnd w:id="4"/>
    </w:p>
    <w:p w14:paraId="1B3DAC43" w14:textId="161C590E"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The assessment of blood glucose levels could prove beneficial to those with type 2 diabetes in helping understand the impact of food, physical exercises, medications, and illnesses on blood glucose levels. The assessment of blood glucose includes capillary glucose testing, while the assessment of continuous glucose is done using sensors to measure glucose patterns. An HbA1c test provides an overview of average glycaemia and assists in assessing the glucose control without necessarily taking into consideration glucose level individually.</w:t>
      </w:r>
      <w:r w:rsidR="000608A7">
        <w:rPr>
          <w:rFonts w:ascii="Arial" w:eastAsia="Times New Roman" w:hAnsi="Arial" w:cs="Times New Roman"/>
          <w:kern w:val="0"/>
          <w:szCs w:val="24"/>
          <w:lang w:val="en-US"/>
          <w14:ligatures w14:val="none"/>
        </w:rPr>
        <w:t xml:space="preserve"> Glucose and insulin levels can be impacted by other underlying conditions such as asthma</w:t>
      </w:r>
      <w:r w:rsidR="00D51A4B">
        <w:rPr>
          <w:rFonts w:ascii="Arial" w:eastAsia="Times New Roman" w:hAnsi="Arial" w:cs="Times New Roman"/>
          <w:kern w:val="0"/>
          <w:szCs w:val="24"/>
          <w:lang w:val="en-US"/>
          <w14:ligatures w14:val="none"/>
        </w:rPr>
        <w:t>, where use of CTCs</w:t>
      </w:r>
      <w:r w:rsidR="00860648">
        <w:rPr>
          <w:rFonts w:ascii="Arial" w:eastAsia="Times New Roman" w:hAnsi="Arial" w:cs="Times New Roman"/>
          <w:kern w:val="0"/>
          <w:szCs w:val="24"/>
          <w:lang w:val="en-US"/>
          <w14:ligatures w14:val="none"/>
        </w:rPr>
        <w:t>, inhalers</w:t>
      </w:r>
      <w:r w:rsidR="00D51A4B">
        <w:rPr>
          <w:rFonts w:ascii="Arial" w:eastAsia="Times New Roman" w:hAnsi="Arial" w:cs="Times New Roman"/>
          <w:kern w:val="0"/>
          <w:szCs w:val="24"/>
          <w:lang w:val="en-US"/>
          <w14:ligatures w14:val="none"/>
        </w:rPr>
        <w:t xml:space="preserve"> and steroids increases insulin levels.</w:t>
      </w:r>
    </w:p>
    <w:p w14:paraId="280644FB"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lastRenderedPageBreak/>
        <w:t xml:space="preserve">The value of monitoring can be best achieved through analyzing the data and not simply recording the data. For example, an elevated level of glucose following a specific meal can aid in having a discussion on portion size, consumption of carbohydrates or timing the meal. Likewise, an observation of high level of glucose following no physical activity will be good motivation to perform more exercise. Monitoring can also serve a purpose for those individuals receiving insulin and drugs associated with hypoglycemia as a safety measure. As per current guidelines, frequency of monitoring will vary according to the individual </w:t>
      </w:r>
      <w:r w:rsidRPr="003B5333">
        <w:rPr>
          <w:rFonts w:ascii="Arial" w:eastAsia="Calibri" w:hAnsi="Arial" w:cs="Arial"/>
          <w:color w:val="000000"/>
          <w:kern w:val="0"/>
          <w:shd w:val="clear" w:color="auto" w:fill="FFFFFF"/>
          <w:lang w:val="en-AU"/>
          <w14:ligatures w14:val="none"/>
        </w:rPr>
        <w:t>(NICE, 2022)</w:t>
      </w:r>
      <w:r w:rsidRPr="003B5333">
        <w:rPr>
          <w:rFonts w:ascii="Arial" w:eastAsia="Times New Roman" w:hAnsi="Arial" w:cs="Arial"/>
          <w:kern w:val="0"/>
          <w:szCs w:val="24"/>
          <w:lang w:val="en-US"/>
          <w14:ligatures w14:val="none"/>
        </w:rPr>
        <w:t>.</w:t>
      </w:r>
    </w:p>
    <w:p w14:paraId="13912555" w14:textId="007216A4"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However, excess testing may not necessarily be beneficial for all individuals with type 2 diabetes. Testing alone can be an overwhelming procedure without information. </w:t>
      </w:r>
      <w:r w:rsidR="00340E43">
        <w:rPr>
          <w:rFonts w:ascii="Arial" w:eastAsia="Times New Roman" w:hAnsi="Arial" w:cs="Times New Roman"/>
          <w:kern w:val="0"/>
          <w:szCs w:val="24"/>
          <w:lang w:val="en-US"/>
          <w14:ligatures w14:val="none"/>
        </w:rPr>
        <w:t xml:space="preserve">It is </w:t>
      </w:r>
      <w:r w:rsidRPr="003B5333">
        <w:rPr>
          <w:rFonts w:ascii="Arial" w:eastAsia="Times New Roman" w:hAnsi="Arial" w:cs="Times New Roman"/>
          <w:kern w:val="0"/>
          <w:szCs w:val="24"/>
          <w:lang w:val="en-US"/>
          <w14:ligatures w14:val="none"/>
        </w:rPr>
        <w:t>crucial that the healthcare providers explain the significance of the test results to the patients and assist them in finding some patterns in the test results. NICE guidelines also provide advice on carrying out HbA1c tests regularly, depending on the stability of treatment and blood glucose levels (NICE, 2026).</w:t>
      </w:r>
    </w:p>
    <w:p w14:paraId="6B4BAB87" w14:textId="77777777" w:rsidR="009C53D8" w:rsidRDefault="009C53D8"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5" w:name="_Toc242022006"/>
    </w:p>
    <w:p w14:paraId="4251E0AE" w14:textId="55885C59" w:rsidR="003B5333" w:rsidRPr="003B5333" w:rsidRDefault="003B5333"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r w:rsidRPr="003B5333">
        <w:rPr>
          <w:rFonts w:ascii="Arial" w:eastAsia="Times New Roman" w:hAnsi="Arial" w:cs="Times New Roman"/>
          <w:b/>
          <w:bCs/>
          <w:color w:val="2E74B5"/>
          <w:kern w:val="0"/>
          <w:sz w:val="28"/>
          <w:szCs w:val="28"/>
          <w:lang w:val="en-US"/>
          <w14:ligatures w14:val="none"/>
        </w:rPr>
        <w:t>Evidence-based diet, exercise, weight-management and smoking recommendations</w:t>
      </w:r>
      <w:bookmarkEnd w:id="5"/>
    </w:p>
    <w:p w14:paraId="5A2552E5" w14:textId="29A12AE0"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Lifestyle management is a key component in the prevention and therapy for type 2 diabetes. The nutrition advice is not meant to follow one particular restrictive </w:t>
      </w:r>
      <w:r w:rsidR="004C00A8" w:rsidRPr="003B5333">
        <w:rPr>
          <w:rFonts w:ascii="Arial" w:eastAsia="Times New Roman" w:hAnsi="Arial" w:cs="Times New Roman"/>
          <w:kern w:val="0"/>
          <w:szCs w:val="24"/>
          <w:lang w:val="en-US"/>
          <w14:ligatures w14:val="none"/>
        </w:rPr>
        <w:t>diet</w:t>
      </w:r>
      <w:r w:rsidR="004C00A8">
        <w:rPr>
          <w:rFonts w:ascii="Arial" w:eastAsia="Times New Roman" w:hAnsi="Arial" w:cs="Times New Roman"/>
          <w:kern w:val="0"/>
          <w:szCs w:val="24"/>
          <w:lang w:val="en-US"/>
          <w14:ligatures w14:val="none"/>
        </w:rPr>
        <w:t>,</w:t>
      </w:r>
      <w:r w:rsidR="004C00A8" w:rsidRPr="003B5333">
        <w:rPr>
          <w:rFonts w:ascii="Arial" w:eastAsia="Times New Roman" w:hAnsi="Arial" w:cs="Times New Roman"/>
          <w:kern w:val="0"/>
          <w:szCs w:val="24"/>
          <w:lang w:val="en-US"/>
          <w14:ligatures w14:val="none"/>
        </w:rPr>
        <w:t xml:space="preserve"> but</w:t>
      </w:r>
      <w:r w:rsidRPr="003B5333">
        <w:rPr>
          <w:rFonts w:ascii="Arial" w:eastAsia="Times New Roman" w:hAnsi="Arial" w:cs="Times New Roman"/>
          <w:kern w:val="0"/>
          <w:szCs w:val="24"/>
          <w:lang w:val="en-US"/>
          <w14:ligatures w14:val="none"/>
        </w:rPr>
        <w:t xml:space="preserve"> is rather recommended on an individual basis. A healthy diet will contain a lot of fruits, vegetables, beans, whole grain and other minimally processed foods, but will exclude foods rich in free sugars, unhealthy fats and excessive amounts of salt </w:t>
      </w:r>
      <w:r w:rsidRPr="003B5333">
        <w:rPr>
          <w:rFonts w:ascii="Arial" w:eastAsia="Calibri" w:hAnsi="Arial" w:cs="Arial"/>
          <w:color w:val="000000"/>
          <w:kern w:val="0"/>
          <w:shd w:val="clear" w:color="auto" w:fill="FFFFFF"/>
          <w:lang w:val="en-AU"/>
          <w14:ligatures w14:val="none"/>
        </w:rPr>
        <w:t>(Diabetes UK, 2026a)</w:t>
      </w:r>
      <w:r w:rsidRPr="003B5333">
        <w:rPr>
          <w:rFonts w:ascii="Arial" w:eastAsia="Times New Roman" w:hAnsi="Arial" w:cs="Arial"/>
          <w:kern w:val="0"/>
          <w:szCs w:val="24"/>
          <w:lang w:val="en-US"/>
          <w14:ligatures w14:val="none"/>
        </w:rPr>
        <w:t>.</w:t>
      </w:r>
      <w:r w:rsidRPr="003B5333">
        <w:rPr>
          <w:rFonts w:ascii="Arial" w:eastAsia="Times New Roman" w:hAnsi="Arial" w:cs="Times New Roman"/>
          <w:kern w:val="0"/>
          <w:szCs w:val="24"/>
          <w:lang w:val="en-US"/>
          <w14:ligatures w14:val="none"/>
        </w:rPr>
        <w:t xml:space="preserve"> It is recommended to replace sweetened beverages with water and consume fibre-rich carbohydrates to increase overall nutrition and glucose regulation.</w:t>
      </w:r>
    </w:p>
    <w:p w14:paraId="64E9F34E"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Another factor that must be considered is the significance of regular exercises because the skeletal muscles need glucose for energy. Exercising might increase the insulin sensitivity, and combining both aerobic exercises such as brisk walking and strength training could improve glucose levels and heart condition </w:t>
      </w:r>
      <w:r w:rsidRPr="003B5333">
        <w:rPr>
          <w:rFonts w:ascii="Arial" w:eastAsia="Calibri" w:hAnsi="Arial" w:cs="Times New Roman"/>
          <w:kern w:val="0"/>
          <w:lang w:val="en-AU"/>
          <w14:ligatures w14:val="none"/>
        </w:rPr>
        <w:t>(Department of Health and Social Care, 2026).</w:t>
      </w:r>
    </w:p>
    <w:p w14:paraId="7E27E88D" w14:textId="6B269B60"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Weight control must always be carried out with care and reality. In situations where a person is overweight or obese, then clinically approved weight loss helps to increase insulin sensitivity and </w:t>
      </w:r>
      <w:r w:rsidRPr="003B5333">
        <w:rPr>
          <w:rFonts w:ascii="Arial" w:eastAsia="Times New Roman" w:hAnsi="Arial" w:cs="Times New Roman"/>
          <w:kern w:val="0"/>
          <w:szCs w:val="24"/>
          <w:lang w:val="en-US"/>
          <w14:ligatures w14:val="none"/>
        </w:rPr>
        <w:lastRenderedPageBreak/>
        <w:t xml:space="preserve">lower the metabolic risks. The goals </w:t>
      </w:r>
      <w:r w:rsidR="004C00A8" w:rsidRPr="003B5333">
        <w:rPr>
          <w:rFonts w:ascii="Arial" w:eastAsia="Times New Roman" w:hAnsi="Arial" w:cs="Times New Roman"/>
          <w:kern w:val="0"/>
          <w:szCs w:val="24"/>
          <w:lang w:val="en-US"/>
          <w14:ligatures w14:val="none"/>
        </w:rPr>
        <w:t>must</w:t>
      </w:r>
      <w:r w:rsidRPr="003B5333">
        <w:rPr>
          <w:rFonts w:ascii="Arial" w:eastAsia="Times New Roman" w:hAnsi="Arial" w:cs="Times New Roman"/>
          <w:kern w:val="0"/>
          <w:szCs w:val="24"/>
          <w:lang w:val="en-US"/>
          <w14:ligatures w14:val="none"/>
        </w:rPr>
        <w:t xml:space="preserve"> be considered with personal circumstances and availability of proper food and environmental factors</w:t>
      </w:r>
      <w:r w:rsidRPr="003B5333">
        <w:rPr>
          <w:rFonts w:ascii="Calibri" w:eastAsia="Calibri" w:hAnsi="Calibri" w:cs="Calibri"/>
          <w:color w:val="000000"/>
          <w:kern w:val="0"/>
          <w:shd w:val="clear" w:color="auto" w:fill="FFFFFF"/>
          <w:lang w:val="en-AU"/>
          <w14:ligatures w14:val="none"/>
        </w:rPr>
        <w:t xml:space="preserve"> </w:t>
      </w:r>
      <w:r w:rsidRPr="003B5333">
        <w:rPr>
          <w:rFonts w:ascii="Arial" w:eastAsia="Calibri" w:hAnsi="Arial" w:cs="Times New Roman"/>
          <w:kern w:val="0"/>
          <w:lang w:val="en-AU"/>
          <w14:ligatures w14:val="none"/>
        </w:rPr>
        <w:t>(NHS England, 2026).</w:t>
      </w:r>
      <w:r w:rsidR="004C00A8">
        <w:rPr>
          <w:rFonts w:ascii="Arial" w:eastAsia="Calibri" w:hAnsi="Arial" w:cs="Times New Roman"/>
          <w:kern w:val="0"/>
          <w:lang w:val="en-AU"/>
          <w14:ligatures w14:val="none"/>
        </w:rPr>
        <w:t xml:space="preserve"> </w:t>
      </w:r>
      <w:r w:rsidR="00C404EE">
        <w:rPr>
          <w:rFonts w:ascii="Arial" w:eastAsia="Calibri" w:hAnsi="Arial" w:cs="Times New Roman"/>
          <w:kern w:val="0"/>
          <w:lang w:val="en-AU"/>
          <w14:ligatures w14:val="none"/>
        </w:rPr>
        <w:t xml:space="preserve">The </w:t>
      </w:r>
      <w:r w:rsidR="00C404EE" w:rsidRPr="003B5333">
        <w:rPr>
          <w:rFonts w:ascii="Arial" w:eastAsia="Times New Roman" w:hAnsi="Arial" w:cs="Times New Roman"/>
          <w:kern w:val="0"/>
          <w:szCs w:val="24"/>
          <w:lang w:val="en-US"/>
          <w14:ligatures w14:val="none"/>
        </w:rPr>
        <w:t>NICE</w:t>
      </w:r>
      <w:r w:rsidRPr="003B5333">
        <w:rPr>
          <w:rFonts w:ascii="Arial" w:eastAsia="Times New Roman" w:hAnsi="Arial" w:cs="Times New Roman"/>
          <w:kern w:val="0"/>
          <w:szCs w:val="24"/>
          <w:lang w:val="en-US"/>
          <w14:ligatures w14:val="none"/>
        </w:rPr>
        <w:t xml:space="preserve"> recommends that </w:t>
      </w:r>
      <w:r w:rsidR="004C00A8" w:rsidRPr="003B5333">
        <w:rPr>
          <w:rFonts w:ascii="Arial" w:eastAsia="Times New Roman" w:hAnsi="Arial" w:cs="Times New Roman"/>
          <w:kern w:val="0"/>
          <w:szCs w:val="24"/>
          <w:lang w:val="en-US"/>
          <w14:ligatures w14:val="none"/>
        </w:rPr>
        <w:t>patients</w:t>
      </w:r>
      <w:r w:rsidRPr="003B5333">
        <w:rPr>
          <w:rFonts w:ascii="Arial" w:eastAsia="Times New Roman" w:hAnsi="Arial" w:cs="Times New Roman"/>
          <w:kern w:val="0"/>
          <w:szCs w:val="24"/>
          <w:lang w:val="en-US"/>
          <w14:ligatures w14:val="none"/>
        </w:rPr>
        <w:t xml:space="preserve"> be educated on diet and exercises along with medication</w:t>
      </w:r>
      <w:r w:rsidR="007368B5">
        <w:rPr>
          <w:rFonts w:ascii="Arial" w:eastAsia="Times New Roman" w:hAnsi="Arial" w:cs="Times New Roman"/>
          <w:kern w:val="0"/>
          <w:szCs w:val="24"/>
          <w:lang w:val="en-US"/>
          <w14:ligatures w14:val="none"/>
        </w:rPr>
        <w:t xml:space="preserve"> </w:t>
      </w:r>
      <w:r w:rsidRPr="003B5333">
        <w:rPr>
          <w:rFonts w:ascii="Arial" w:eastAsia="Times New Roman" w:hAnsi="Arial" w:cs="Times New Roman"/>
          <w:kern w:val="0"/>
          <w:szCs w:val="24"/>
          <w:lang w:val="en-US"/>
          <w14:ligatures w14:val="none"/>
        </w:rPr>
        <w:t>(NICE, 2026).</w:t>
      </w:r>
    </w:p>
    <w:p w14:paraId="5C1154AB" w14:textId="77777777" w:rsidR="003B5333" w:rsidRDefault="003B5333" w:rsidP="003B5333">
      <w:pPr>
        <w:spacing w:before="100" w:beforeAutospacing="1" w:after="100" w:afterAutospacing="1" w:line="360" w:lineRule="auto"/>
        <w:jc w:val="both"/>
        <w:rPr>
          <w:rFonts w:ascii="Arial" w:eastAsia="Calibri" w:hAnsi="Arial" w:cs="Times New Roman"/>
          <w:kern w:val="0"/>
          <w:lang w:val="en-AU"/>
          <w14:ligatures w14:val="none"/>
        </w:rPr>
      </w:pPr>
      <w:r w:rsidRPr="003B5333">
        <w:rPr>
          <w:rFonts w:ascii="Arial" w:eastAsia="Times New Roman" w:hAnsi="Arial" w:cs="Times New Roman"/>
          <w:kern w:val="0"/>
          <w:szCs w:val="24"/>
          <w:lang w:val="en-US"/>
          <w14:ligatures w14:val="none"/>
        </w:rPr>
        <w:t>It is important to encourage individuals to stop smoking because smoking can make the cardiovascular system more strained and can even have an effect on diabetes. Individuals require some assistance rather than just being told that they should stop smoking. It is generally important that any change in lifestyle requires behavioral changes and education</w:t>
      </w:r>
      <w:r w:rsidRPr="003B5333">
        <w:rPr>
          <w:rFonts w:ascii="Arial" w:eastAsia="Calibri" w:hAnsi="Arial" w:cs="Times New Roman"/>
          <w:kern w:val="0"/>
          <w:lang w:val="en-AU"/>
          <w14:ligatures w14:val="none"/>
        </w:rPr>
        <w:t xml:space="preserve"> (Diabetes UK, 2026b).</w:t>
      </w:r>
    </w:p>
    <w:p w14:paraId="49A44700" w14:textId="77777777" w:rsidR="00E64BF3" w:rsidRPr="003B5333" w:rsidRDefault="00E64BF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p>
    <w:p w14:paraId="1FEA103F" w14:textId="77777777" w:rsidR="003B5333" w:rsidRPr="003B5333" w:rsidRDefault="003B5333"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6" w:name="_Toc242022007"/>
      <w:r w:rsidRPr="003B5333">
        <w:rPr>
          <w:rFonts w:ascii="Arial" w:eastAsia="Times New Roman" w:hAnsi="Arial" w:cs="Times New Roman"/>
          <w:b/>
          <w:bCs/>
          <w:color w:val="2E74B5"/>
          <w:kern w:val="0"/>
          <w:sz w:val="28"/>
          <w:szCs w:val="28"/>
          <w:lang w:val="en-US"/>
          <w14:ligatures w14:val="none"/>
        </w:rPr>
        <w:t>Critical links between anatomy, physiology and patient care</w:t>
      </w:r>
      <w:bookmarkEnd w:id="6"/>
    </w:p>
    <w:p w14:paraId="717DF87B" w14:textId="5A8AD6C2"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The body systems responsible for the development of diabetes are useful for safe and effective management of patients. The organs that play a crucial role in this condition are the pancreas, since its endocrine islets have beta and alpha cells. That </w:t>
      </w:r>
      <w:r w:rsidR="004C00A8" w:rsidRPr="003B5333">
        <w:rPr>
          <w:rFonts w:ascii="Arial" w:eastAsia="Times New Roman" w:hAnsi="Arial" w:cs="Times New Roman"/>
          <w:kern w:val="0"/>
          <w:szCs w:val="24"/>
          <w:lang w:val="en-US"/>
          <w14:ligatures w14:val="none"/>
        </w:rPr>
        <w:t>produces</w:t>
      </w:r>
      <w:r w:rsidRPr="003B5333">
        <w:rPr>
          <w:rFonts w:ascii="Arial" w:eastAsia="Times New Roman" w:hAnsi="Arial" w:cs="Times New Roman"/>
          <w:kern w:val="0"/>
          <w:szCs w:val="24"/>
          <w:lang w:val="en-US"/>
          <w14:ligatures w14:val="none"/>
        </w:rPr>
        <w:t xml:space="preserve"> insulin and glucagon correspondingly; the liver, which plays an important role in storing glycogen and releasing glucose when fasting; muscular tissue, which absorbs glucose and spends energy and the fat tissue, which is responsible for storing energy and metabolic regulations.</w:t>
      </w:r>
    </w:p>
    <w:p w14:paraId="08B27E59"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Such an understanding of the relationships between various aspects in managing diabetes will help healthcare professionals gain more insight into symptoms and monitoring results. The long-term high levels of blood glucose are explained by poor reaction to insulin, the increased amount of glucose produced by the liver and the inefficient function of the beta-cells. That is why the treatment of this disorder includes a variety of approaches, not one of them.</w:t>
      </w:r>
    </w:p>
    <w:p w14:paraId="42A5D2F4" w14:textId="5E54B6CE" w:rsid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The management of the patient should include the potential impact of both high and low blood sugar levels as well. The current approach to diabetes management requires individual targets for glycaemia due to the necessity to balance the glycaemia control with the threat of hypoglycemia </w:t>
      </w:r>
      <w:r w:rsidRPr="003B5333">
        <w:rPr>
          <w:rFonts w:ascii="Arial" w:eastAsia="Calibri" w:hAnsi="Arial" w:cs="Times New Roman"/>
          <w:kern w:val="0"/>
          <w:lang w:val="en-AU"/>
          <w14:ligatures w14:val="none"/>
        </w:rPr>
        <w:t xml:space="preserve">(Office for Health Improvement and Disparities, 2025). That </w:t>
      </w:r>
      <w:r w:rsidRPr="003B5333">
        <w:rPr>
          <w:rFonts w:ascii="Arial" w:eastAsia="Times New Roman" w:hAnsi="Arial" w:cs="Times New Roman"/>
          <w:kern w:val="0"/>
          <w:szCs w:val="24"/>
          <w:lang w:val="en-US"/>
          <w14:ligatures w14:val="none"/>
        </w:rPr>
        <w:t xml:space="preserve">is why it is crucial for health care professionals to instruct their patients regarding their therapy, perform monitoring and detect any patterns that require medical intervention. It shows how </w:t>
      </w:r>
      <w:r w:rsidR="00F61D1E" w:rsidRPr="003B5333">
        <w:rPr>
          <w:rFonts w:ascii="Arial" w:eastAsia="Times New Roman" w:hAnsi="Arial" w:cs="Times New Roman"/>
          <w:kern w:val="0"/>
          <w:szCs w:val="24"/>
          <w:lang w:val="en-US"/>
          <w14:ligatures w14:val="none"/>
        </w:rPr>
        <w:t>knowledge</w:t>
      </w:r>
      <w:r w:rsidRPr="003B5333">
        <w:rPr>
          <w:rFonts w:ascii="Arial" w:eastAsia="Times New Roman" w:hAnsi="Arial" w:cs="Times New Roman"/>
          <w:kern w:val="0"/>
          <w:szCs w:val="24"/>
          <w:lang w:val="en-US"/>
          <w14:ligatures w14:val="none"/>
        </w:rPr>
        <w:t xml:space="preserve"> of the anatomy and physiology is essential for assessment, education, prevention and proper self-management.</w:t>
      </w:r>
    </w:p>
    <w:p w14:paraId="6C3AC957" w14:textId="77777777" w:rsidR="00E64BF3" w:rsidRPr="003B5333" w:rsidRDefault="00E64BF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p>
    <w:p w14:paraId="6E9AC470" w14:textId="77777777" w:rsidR="003B5333" w:rsidRPr="003B5333" w:rsidRDefault="003B5333" w:rsidP="003B5333">
      <w:pPr>
        <w:keepNext/>
        <w:keepLines/>
        <w:tabs>
          <w:tab w:val="num" w:pos="720"/>
        </w:tabs>
        <w:spacing w:before="480" w:after="0" w:line="360" w:lineRule="auto"/>
        <w:ind w:left="720" w:hanging="720"/>
        <w:contextualSpacing/>
        <w:jc w:val="both"/>
        <w:outlineLvl w:val="0"/>
        <w:rPr>
          <w:rFonts w:ascii="Arial" w:eastAsia="Times New Roman" w:hAnsi="Arial" w:cs="Times New Roman"/>
          <w:b/>
          <w:bCs/>
          <w:color w:val="2E74B5"/>
          <w:kern w:val="0"/>
          <w:sz w:val="28"/>
          <w:szCs w:val="28"/>
          <w:lang w:val="en-US"/>
          <w14:ligatures w14:val="none"/>
        </w:rPr>
      </w:pPr>
      <w:bookmarkStart w:id="7" w:name="_Toc242022008"/>
      <w:r w:rsidRPr="003B5333">
        <w:rPr>
          <w:rFonts w:ascii="Arial" w:eastAsia="Times New Roman" w:hAnsi="Arial" w:cs="Times New Roman"/>
          <w:b/>
          <w:bCs/>
          <w:color w:val="2E74B5"/>
          <w:kern w:val="0"/>
          <w:sz w:val="28"/>
          <w:szCs w:val="28"/>
          <w:lang w:val="en-US"/>
          <w14:ligatures w14:val="none"/>
        </w:rPr>
        <w:lastRenderedPageBreak/>
        <w:t>Conclusion</w:t>
      </w:r>
      <w:bookmarkEnd w:id="7"/>
    </w:p>
    <w:p w14:paraId="426EE8CF"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Diabetes mellitus is a complex metabolic disease that involves the interplay of the pancreas, liver, skeletal muscles, fats and many other systems of the body. Glucose regulation depends largely on the cooperation of insulin and glucagon hormones, while glucose and oxygen play an essential role in ATP production through aerobic metabolism in the cells. Type 2 diabetes, where there is both insulin resistance and impairment of the production of insulin, causes disruption of this process, resulting in hyperglycemia</w:t>
      </w:r>
      <w:r w:rsidRPr="003B5333">
        <w:rPr>
          <w:rFonts w:ascii="Calibri" w:eastAsia="Calibri" w:hAnsi="Calibri" w:cs="Calibri"/>
          <w:color w:val="000000"/>
          <w:kern w:val="0"/>
          <w:shd w:val="clear" w:color="auto" w:fill="FFFFFF"/>
          <w:lang w:val="en-AU"/>
          <w14:ligatures w14:val="none"/>
        </w:rPr>
        <w:t xml:space="preserve"> </w:t>
      </w:r>
      <w:r w:rsidRPr="003B5333">
        <w:rPr>
          <w:rFonts w:ascii="Arial" w:eastAsia="Calibri" w:hAnsi="Arial" w:cs="Times New Roman"/>
          <w:kern w:val="0"/>
          <w:lang w:val="en-AU"/>
          <w14:ligatures w14:val="none"/>
        </w:rPr>
        <w:t>(NICE, 2026).</w:t>
      </w:r>
    </w:p>
    <w:p w14:paraId="33E62B3C" w14:textId="77777777" w:rsidR="003B5333" w:rsidRPr="003B5333" w:rsidRDefault="003B5333" w:rsidP="003B5333">
      <w:pPr>
        <w:spacing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Testing for blood glucose level is another source of information that will give information concerning the influence of meals, exercises, and therapy on a person's body; however, it should be individualized and supported by education. The evidence-based approach to lifestyle management should include a healthy diet, physical activity, weight control, and stop smoking if needed. In addition to that, the proper diabetes management should involve using the knowledge that healthcare professionals have on the topic of anatomy and physiology of human body.</w:t>
      </w:r>
    </w:p>
    <w:p w14:paraId="20157511" w14:textId="77777777" w:rsidR="003B5333" w:rsidRPr="003B5333" w:rsidRDefault="003B5333" w:rsidP="003B5333">
      <w:pPr>
        <w:spacing w:line="360" w:lineRule="auto"/>
        <w:jc w:val="both"/>
        <w:rPr>
          <w:rFonts w:ascii="Arial" w:eastAsia="Calibri" w:hAnsi="Arial" w:cs="Times New Roman"/>
          <w:kern w:val="0"/>
          <w:lang w:val="en-AU"/>
          <w14:ligatures w14:val="none"/>
        </w:rPr>
      </w:pPr>
      <w:r w:rsidRPr="003B5333">
        <w:rPr>
          <w:rFonts w:ascii="Arial" w:eastAsia="Calibri" w:hAnsi="Arial" w:cs="Times New Roman"/>
          <w:kern w:val="0"/>
          <w:lang w:val="en-AU"/>
          <w14:ligatures w14:val="none"/>
        </w:rPr>
        <w:t>In this situation, the patients will have more information on the disease, and therefore, will be able to notice any change in the blood sugar levels and take action towards managing the disease. Therefore, knowing the structure and functions of the body help in decision-making towards proper management of diabetes without complications.</w:t>
      </w:r>
    </w:p>
    <w:p w14:paraId="7238BF9A" w14:textId="77777777" w:rsidR="003B5333" w:rsidRPr="003B5333" w:rsidRDefault="003B5333" w:rsidP="003B5333">
      <w:pPr>
        <w:rPr>
          <w:rFonts w:ascii="Arial" w:eastAsia="Calibri" w:hAnsi="Arial" w:cs="Times New Roman"/>
          <w:kern w:val="0"/>
          <w:lang w:val="en-AU"/>
          <w14:ligatures w14:val="none"/>
        </w:rPr>
      </w:pPr>
      <w:r w:rsidRPr="003B5333">
        <w:rPr>
          <w:rFonts w:ascii="Arial" w:eastAsia="Calibri" w:hAnsi="Arial" w:cs="Times New Roman"/>
          <w:kern w:val="0"/>
          <w:lang w:val="en-AU"/>
          <w14:ligatures w14:val="none"/>
        </w:rPr>
        <w:br w:type="page"/>
      </w:r>
    </w:p>
    <w:p w14:paraId="061B5A27" w14:textId="77777777" w:rsidR="003B5333" w:rsidRPr="003B5333" w:rsidRDefault="003B5333" w:rsidP="003B5333">
      <w:pPr>
        <w:keepNext/>
        <w:keepLines/>
        <w:tabs>
          <w:tab w:val="num" w:pos="720"/>
        </w:tabs>
        <w:spacing w:before="480" w:after="0" w:line="276" w:lineRule="auto"/>
        <w:ind w:left="720" w:hanging="720"/>
        <w:contextualSpacing/>
        <w:jc w:val="both"/>
        <w:outlineLvl w:val="0"/>
        <w:rPr>
          <w:rFonts w:ascii="Times New Roman" w:eastAsia="Times New Roman" w:hAnsi="Times New Roman" w:cs="Times New Roman"/>
          <w:b/>
          <w:bCs/>
          <w:color w:val="2E74B5"/>
          <w:kern w:val="0"/>
          <w:sz w:val="28"/>
          <w:szCs w:val="28"/>
          <w:lang w:val="en-US"/>
          <w14:ligatures w14:val="none"/>
        </w:rPr>
      </w:pPr>
      <w:bookmarkStart w:id="8" w:name="_Toc242022009"/>
      <w:r w:rsidRPr="003B5333">
        <w:rPr>
          <w:rFonts w:ascii="Arial" w:eastAsia="Times New Roman" w:hAnsi="Arial" w:cs="Times New Roman"/>
          <w:b/>
          <w:bCs/>
          <w:color w:val="2E74B5"/>
          <w:kern w:val="0"/>
          <w:sz w:val="28"/>
          <w:szCs w:val="28"/>
          <w:lang w:val="en-AU"/>
          <w14:ligatures w14:val="none"/>
        </w:rPr>
        <w:lastRenderedPageBreak/>
        <w:t>References</w:t>
      </w:r>
      <w:bookmarkEnd w:id="8"/>
    </w:p>
    <w:p w14:paraId="625E5086" w14:textId="77777777" w:rsidR="003B5333" w:rsidRPr="003B5333" w:rsidRDefault="003B5333" w:rsidP="002F6261">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Department of Health and Social Care (2026) UK Chief Medical Officers' physical activity guidelines. GOV.UK. Available at: </w:t>
      </w:r>
      <w:hyperlink r:id="rId8" w:history="1">
        <w:r w:rsidRPr="003B5333">
          <w:rPr>
            <w:rFonts w:ascii="Arial" w:eastAsia="Times New Roman" w:hAnsi="Arial" w:cs="Times New Roman"/>
            <w:color w:val="0563C1"/>
            <w:kern w:val="0"/>
            <w:szCs w:val="24"/>
            <w:u w:val="single"/>
            <w:lang w:val="en-US"/>
            <w14:ligatures w14:val="none"/>
          </w:rPr>
          <w:t>https://www.gov.uk/government/publications/physical-activity-guidelines-uk-chief-medical-officers-report/uk-chief-medical-officers-physical-activity-guidelines</w:t>
        </w:r>
      </w:hyperlink>
      <w:r w:rsidRPr="003B5333">
        <w:rPr>
          <w:rFonts w:ascii="Arial" w:eastAsia="Times New Roman" w:hAnsi="Arial" w:cs="Times New Roman"/>
          <w:kern w:val="0"/>
          <w:szCs w:val="24"/>
          <w:lang w:val="en-US"/>
          <w14:ligatures w14:val="none"/>
        </w:rPr>
        <w:t xml:space="preserve">  (Accessed: 4 October 2026).</w:t>
      </w:r>
    </w:p>
    <w:p w14:paraId="57441406"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Diabetes UK (2026a) 10 tips for healthy eating with diabetes. Available at: </w:t>
      </w:r>
      <w:hyperlink r:id="rId9" w:history="1">
        <w:r w:rsidRPr="003B5333">
          <w:rPr>
            <w:rFonts w:ascii="Arial" w:eastAsia="Times New Roman" w:hAnsi="Arial" w:cs="Times New Roman"/>
            <w:color w:val="0563C1"/>
            <w:kern w:val="0"/>
            <w:szCs w:val="24"/>
            <w:u w:val="single"/>
            <w:lang w:val="en-US"/>
            <w14:ligatures w14:val="none"/>
          </w:rPr>
          <w:t>https://www.diabetes.org.uk/living-with-diabetes/eating/10-ways-to-eat-well-with-diabetes</w:t>
        </w:r>
      </w:hyperlink>
      <w:r w:rsidRPr="003B5333">
        <w:rPr>
          <w:rFonts w:ascii="Arial" w:eastAsia="Times New Roman" w:hAnsi="Arial" w:cs="Times New Roman"/>
          <w:kern w:val="0"/>
          <w:szCs w:val="24"/>
          <w:lang w:val="en-US"/>
          <w14:ligatures w14:val="none"/>
        </w:rPr>
        <w:t xml:space="preserve">  (Accessed: 4 October 2026).</w:t>
      </w:r>
    </w:p>
    <w:p w14:paraId="69C100DF"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Diabetes UK (2026b) Help with giving up smoking. Available at: </w:t>
      </w:r>
      <w:hyperlink r:id="rId10" w:history="1">
        <w:r w:rsidRPr="003B5333">
          <w:rPr>
            <w:rFonts w:ascii="Arial" w:eastAsia="Times New Roman" w:hAnsi="Arial" w:cs="Times New Roman"/>
            <w:color w:val="0563C1"/>
            <w:kern w:val="0"/>
            <w:szCs w:val="24"/>
            <w:u w:val="single"/>
            <w:lang w:val="en-US"/>
            <w14:ligatures w14:val="none"/>
          </w:rPr>
          <w:t>https://www.diabetes.org.uk/living-with-diabetes/life-with-diabetes/help-with-giving-up-smoking</w:t>
        </w:r>
      </w:hyperlink>
      <w:r w:rsidRPr="003B5333">
        <w:rPr>
          <w:rFonts w:ascii="Arial" w:eastAsia="Times New Roman" w:hAnsi="Arial" w:cs="Times New Roman"/>
          <w:kern w:val="0"/>
          <w:szCs w:val="24"/>
          <w:lang w:val="en-US"/>
          <w14:ligatures w14:val="none"/>
        </w:rPr>
        <w:t xml:space="preserve">  (Accessed: 4 October 2026).</w:t>
      </w:r>
    </w:p>
    <w:p w14:paraId="2C4B4AEC" w14:textId="31AC1C61"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Moran, G.M., </w:t>
      </w:r>
      <w:proofErr w:type="spellStart"/>
      <w:r w:rsidRPr="003B5333">
        <w:rPr>
          <w:rFonts w:ascii="Arial" w:eastAsia="Times New Roman" w:hAnsi="Arial" w:cs="Times New Roman"/>
          <w:kern w:val="0"/>
          <w:szCs w:val="24"/>
          <w:lang w:val="en-US"/>
          <w14:ligatures w14:val="none"/>
        </w:rPr>
        <w:t>Bakhai</w:t>
      </w:r>
      <w:proofErr w:type="spellEnd"/>
      <w:r w:rsidRPr="003B5333">
        <w:rPr>
          <w:rFonts w:ascii="Arial" w:eastAsia="Times New Roman" w:hAnsi="Arial" w:cs="Times New Roman"/>
          <w:kern w:val="0"/>
          <w:szCs w:val="24"/>
          <w:lang w:val="en-US"/>
          <w14:ligatures w14:val="none"/>
        </w:rPr>
        <w:t>, C., Song, S.H. and Agwu, J.C. (</w:t>
      </w:r>
      <w:r w:rsidR="00884EB9" w:rsidRPr="003B5333">
        <w:rPr>
          <w:rFonts w:ascii="Arial" w:eastAsia="Times New Roman" w:hAnsi="Arial" w:cs="Times New Roman"/>
          <w:kern w:val="0"/>
          <w:szCs w:val="24"/>
          <w:lang w:val="en-US"/>
          <w14:ligatures w14:val="none"/>
        </w:rPr>
        <w:t xml:space="preserve">2022) </w:t>
      </w:r>
      <w:r w:rsidRPr="003B5333">
        <w:rPr>
          <w:rFonts w:ascii="Arial" w:eastAsia="Times New Roman" w:hAnsi="Arial" w:cs="Times New Roman"/>
          <w:kern w:val="0"/>
          <w:szCs w:val="24"/>
          <w:lang w:val="en-US"/>
          <w14:ligatures w14:val="none"/>
        </w:rPr>
        <w:t xml:space="preserve">Type 2 diabetes: summary of updated NICE guidance’, The BMJ, 377, o775. Available at: </w:t>
      </w:r>
      <w:hyperlink r:id="rId11" w:history="1">
        <w:r w:rsidRPr="003B5333">
          <w:rPr>
            <w:rFonts w:ascii="Arial" w:eastAsia="Times New Roman" w:hAnsi="Arial" w:cs="Times New Roman"/>
            <w:color w:val="0563C1"/>
            <w:kern w:val="0"/>
            <w:szCs w:val="24"/>
            <w:u w:val="single"/>
            <w:lang w:val="en-US"/>
            <w14:ligatures w14:val="none"/>
          </w:rPr>
          <w:t>https://www.bmj.com/content/377/bmj.o775</w:t>
        </w:r>
      </w:hyperlink>
      <w:r w:rsidRPr="003B5333">
        <w:rPr>
          <w:rFonts w:ascii="Arial" w:eastAsia="Times New Roman" w:hAnsi="Arial" w:cs="Times New Roman"/>
          <w:kern w:val="0"/>
          <w:szCs w:val="24"/>
          <w:lang w:val="en-US"/>
          <w14:ligatures w14:val="none"/>
        </w:rPr>
        <w:t xml:space="preserve">  (Accessed: 4 October 2026). </w:t>
      </w:r>
    </w:p>
    <w:p w14:paraId="5F860664"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National Institute for Health and Care Excellence (NICE) (2022) Type 1 diabetes in adults: diagnosis and management (NG17). Available at: </w:t>
      </w:r>
      <w:hyperlink r:id="rId12" w:history="1">
        <w:r w:rsidRPr="003B5333">
          <w:rPr>
            <w:rFonts w:ascii="Arial" w:eastAsia="Times New Roman" w:hAnsi="Arial" w:cs="Times New Roman"/>
            <w:color w:val="0563C1"/>
            <w:kern w:val="0"/>
            <w:szCs w:val="24"/>
            <w:u w:val="single"/>
            <w:lang w:val="en-US"/>
            <w14:ligatures w14:val="none"/>
          </w:rPr>
          <w:t>https://www.nice.org.uk/guidance/ng17</w:t>
        </w:r>
      </w:hyperlink>
      <w:r w:rsidRPr="003B5333">
        <w:rPr>
          <w:rFonts w:ascii="Arial" w:eastAsia="Times New Roman" w:hAnsi="Arial" w:cs="Times New Roman"/>
          <w:kern w:val="0"/>
          <w:szCs w:val="24"/>
          <w:lang w:val="en-US"/>
          <w14:ligatures w14:val="none"/>
        </w:rPr>
        <w:t xml:space="preserve">  (Accessed: 4 October 2026).</w:t>
      </w:r>
    </w:p>
    <w:p w14:paraId="33B00F2F"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National Institute for Health and Care Excellence (NICE) (2026) Type 2 diabetes in adults: management (NG28). Available at: </w:t>
      </w:r>
      <w:hyperlink r:id="rId13" w:history="1">
        <w:r w:rsidRPr="003B5333">
          <w:rPr>
            <w:rFonts w:ascii="Arial" w:eastAsia="Times New Roman" w:hAnsi="Arial" w:cs="Times New Roman"/>
            <w:color w:val="0563C1"/>
            <w:kern w:val="0"/>
            <w:szCs w:val="24"/>
            <w:u w:val="single"/>
            <w:lang w:val="en-US"/>
            <w14:ligatures w14:val="none"/>
          </w:rPr>
          <w:t>https://www.nice.org.uk/guidance/ng28</w:t>
        </w:r>
      </w:hyperlink>
      <w:r w:rsidRPr="003B5333">
        <w:rPr>
          <w:rFonts w:ascii="Arial" w:eastAsia="Times New Roman" w:hAnsi="Arial" w:cs="Times New Roman"/>
          <w:kern w:val="0"/>
          <w:szCs w:val="24"/>
          <w:lang w:val="en-US"/>
          <w14:ligatures w14:val="none"/>
        </w:rPr>
        <w:t xml:space="preserve">  (Accessed: 4 October 2026).</w:t>
      </w:r>
    </w:p>
    <w:p w14:paraId="04434449"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NHS (2025a) What is type 2 diabetes? Available at: </w:t>
      </w:r>
      <w:hyperlink r:id="rId14" w:history="1">
        <w:r w:rsidRPr="003B5333">
          <w:rPr>
            <w:rFonts w:ascii="Arial" w:eastAsia="Times New Roman" w:hAnsi="Arial" w:cs="Times New Roman"/>
            <w:color w:val="0563C1"/>
            <w:kern w:val="0"/>
            <w:szCs w:val="24"/>
            <w:u w:val="single"/>
            <w:lang w:val="en-US"/>
            <w14:ligatures w14:val="none"/>
          </w:rPr>
          <w:t>https://www.nhs.uk/conditions/type-2-diabetes/what-is-type-2-diabetes/</w:t>
        </w:r>
      </w:hyperlink>
      <w:r w:rsidRPr="003B5333">
        <w:rPr>
          <w:rFonts w:ascii="Arial" w:eastAsia="Times New Roman" w:hAnsi="Arial" w:cs="Times New Roman"/>
          <w:kern w:val="0"/>
          <w:szCs w:val="24"/>
          <w:lang w:val="en-US"/>
          <w14:ligatures w14:val="none"/>
        </w:rPr>
        <w:t xml:space="preserve">  (Accessed: 4 October 2026).</w:t>
      </w:r>
    </w:p>
    <w:p w14:paraId="239F5F91"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NHS (2025b) Symptoms of type 2 diabetes and how it's diagnosed. Available at: </w:t>
      </w:r>
      <w:hyperlink r:id="rId15" w:history="1">
        <w:r w:rsidRPr="003B5333">
          <w:rPr>
            <w:rFonts w:ascii="Arial" w:eastAsia="Times New Roman" w:hAnsi="Arial" w:cs="Times New Roman"/>
            <w:color w:val="0563C1"/>
            <w:kern w:val="0"/>
            <w:szCs w:val="24"/>
            <w:u w:val="single"/>
            <w:lang w:val="en-US"/>
            <w14:ligatures w14:val="none"/>
          </w:rPr>
          <w:t>https://www.nhs.uk/conditions/type-2-diabetes/symptoms/</w:t>
        </w:r>
      </w:hyperlink>
      <w:r w:rsidRPr="003B5333">
        <w:rPr>
          <w:rFonts w:ascii="Arial" w:eastAsia="Times New Roman" w:hAnsi="Arial" w:cs="Times New Roman"/>
          <w:kern w:val="0"/>
          <w:szCs w:val="24"/>
          <w:lang w:val="en-US"/>
          <w14:ligatures w14:val="none"/>
        </w:rPr>
        <w:t xml:space="preserve">  (Accessed: 4 October 2026).</w:t>
      </w:r>
    </w:p>
    <w:p w14:paraId="3421F63F"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NHS (2025c) Treatment for type 2 diabetes. Available at: </w:t>
      </w:r>
      <w:hyperlink r:id="rId16" w:history="1">
        <w:r w:rsidRPr="003B5333">
          <w:rPr>
            <w:rFonts w:ascii="Arial" w:eastAsia="Times New Roman" w:hAnsi="Arial" w:cs="Times New Roman"/>
            <w:color w:val="0563C1"/>
            <w:kern w:val="0"/>
            <w:szCs w:val="24"/>
            <w:u w:val="single"/>
            <w:lang w:val="en-US"/>
            <w14:ligatures w14:val="none"/>
          </w:rPr>
          <w:t>https://www.nhs.uk/conditions/type-2-diabetes/treatment/</w:t>
        </w:r>
      </w:hyperlink>
      <w:r w:rsidRPr="003B5333">
        <w:rPr>
          <w:rFonts w:ascii="Arial" w:eastAsia="Times New Roman" w:hAnsi="Arial" w:cs="Times New Roman"/>
          <w:kern w:val="0"/>
          <w:szCs w:val="24"/>
          <w:lang w:val="en-US"/>
          <w14:ligatures w14:val="none"/>
        </w:rPr>
        <w:t xml:space="preserve">  (Accessed: 4 October 2026).</w:t>
      </w:r>
    </w:p>
    <w:p w14:paraId="15F0AE0C"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lastRenderedPageBreak/>
        <w:t xml:space="preserve">NHS England (2026) NHS Type 2 Diabetes Path to Remission </w:t>
      </w:r>
      <w:proofErr w:type="spellStart"/>
      <w:r w:rsidRPr="003B5333">
        <w:rPr>
          <w:rFonts w:ascii="Arial" w:eastAsia="Times New Roman" w:hAnsi="Arial" w:cs="Times New Roman"/>
          <w:kern w:val="0"/>
          <w:szCs w:val="24"/>
          <w:lang w:val="en-US"/>
          <w14:ligatures w14:val="none"/>
        </w:rPr>
        <w:t>Programme</w:t>
      </w:r>
      <w:proofErr w:type="spellEnd"/>
      <w:r w:rsidRPr="003B5333">
        <w:rPr>
          <w:rFonts w:ascii="Arial" w:eastAsia="Times New Roman" w:hAnsi="Arial" w:cs="Times New Roman"/>
          <w:kern w:val="0"/>
          <w:szCs w:val="24"/>
          <w:lang w:val="en-US"/>
          <w14:ligatures w14:val="none"/>
        </w:rPr>
        <w:t xml:space="preserve">. Available at: </w:t>
      </w:r>
      <w:hyperlink r:id="rId17" w:history="1">
        <w:r w:rsidRPr="003B5333">
          <w:rPr>
            <w:rFonts w:ascii="Arial" w:eastAsia="Times New Roman" w:hAnsi="Arial" w:cs="Times New Roman"/>
            <w:color w:val="0563C1"/>
            <w:kern w:val="0"/>
            <w:szCs w:val="24"/>
            <w:u w:val="single"/>
            <w:lang w:val="en-US"/>
            <w14:ligatures w14:val="none"/>
          </w:rPr>
          <w:t>https://www.england.nhs.uk/diabetes/treatment-care/diabetes-remission/</w:t>
        </w:r>
      </w:hyperlink>
      <w:r w:rsidRPr="003B5333">
        <w:rPr>
          <w:rFonts w:ascii="Arial" w:eastAsia="Times New Roman" w:hAnsi="Arial" w:cs="Times New Roman"/>
          <w:kern w:val="0"/>
          <w:szCs w:val="24"/>
          <w:lang w:val="en-US"/>
          <w14:ligatures w14:val="none"/>
        </w:rPr>
        <w:t xml:space="preserve"> (Accessed: 4 October 2026).</w:t>
      </w:r>
    </w:p>
    <w:p w14:paraId="4D51D00F" w14:textId="77777777"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 xml:space="preserve">Office for Health Improvement and Disparities (2025) Diabetes profile: statistical commentary, March 2025. GOV.UK. Available at: </w:t>
      </w:r>
      <w:hyperlink r:id="rId18" w:history="1">
        <w:r w:rsidRPr="003B5333">
          <w:rPr>
            <w:rFonts w:ascii="Arial" w:eastAsia="Times New Roman" w:hAnsi="Arial" w:cs="Times New Roman"/>
            <w:color w:val="0563C1"/>
            <w:kern w:val="0"/>
            <w:szCs w:val="24"/>
            <w:u w:val="single"/>
            <w:lang w:val="en-US"/>
            <w14:ligatures w14:val="none"/>
          </w:rPr>
          <w:t>https://www.gov.uk/government/statistics/diabetes-profile-update-march-2025/diabetes-profile-statistical-commentary-march-2025</w:t>
        </w:r>
      </w:hyperlink>
      <w:r w:rsidRPr="003B5333">
        <w:rPr>
          <w:rFonts w:ascii="Arial" w:eastAsia="Times New Roman" w:hAnsi="Arial" w:cs="Times New Roman"/>
          <w:kern w:val="0"/>
          <w:szCs w:val="24"/>
          <w:lang w:val="en-US"/>
          <w14:ligatures w14:val="none"/>
        </w:rPr>
        <w:t xml:space="preserve"> (Accessed: 4 October 2026).</w:t>
      </w:r>
    </w:p>
    <w:p w14:paraId="56A7B726" w14:textId="5ADEADE9" w:rsidR="003B5333" w:rsidRPr="003B5333" w:rsidRDefault="003B5333" w:rsidP="003B5333">
      <w:pPr>
        <w:spacing w:before="100" w:beforeAutospacing="1" w:after="100" w:afterAutospacing="1" w:line="360" w:lineRule="auto"/>
        <w:jc w:val="both"/>
        <w:rPr>
          <w:rFonts w:ascii="Arial" w:eastAsia="Times New Roman" w:hAnsi="Arial" w:cs="Times New Roman"/>
          <w:kern w:val="0"/>
          <w:szCs w:val="24"/>
          <w:lang w:val="en-US"/>
          <w14:ligatures w14:val="none"/>
        </w:rPr>
      </w:pPr>
      <w:r w:rsidRPr="003B5333">
        <w:rPr>
          <w:rFonts w:ascii="Arial" w:eastAsia="Times New Roman" w:hAnsi="Arial" w:cs="Times New Roman"/>
          <w:kern w:val="0"/>
          <w:szCs w:val="24"/>
          <w:lang w:val="en-US"/>
          <w14:ligatures w14:val="none"/>
        </w:rPr>
        <w:t>Vanderpant, N., Ward, E., Farrell, E. and Theodoraki, A. (</w:t>
      </w:r>
      <w:r w:rsidR="00976898" w:rsidRPr="003B5333">
        <w:rPr>
          <w:rFonts w:ascii="Arial" w:eastAsia="Times New Roman" w:hAnsi="Arial" w:cs="Times New Roman"/>
          <w:kern w:val="0"/>
          <w:szCs w:val="24"/>
          <w:lang w:val="en-US"/>
          <w14:ligatures w14:val="none"/>
        </w:rPr>
        <w:t xml:space="preserve">2024) </w:t>
      </w:r>
      <w:r w:rsidRPr="003B5333">
        <w:rPr>
          <w:rFonts w:ascii="Arial" w:eastAsia="Times New Roman" w:hAnsi="Arial" w:cs="Times New Roman"/>
          <w:kern w:val="0"/>
          <w:szCs w:val="24"/>
          <w:lang w:val="en-US"/>
          <w14:ligatures w14:val="none"/>
        </w:rPr>
        <w:t xml:space="preserve">Insulin for people with type 2 diabetes mellitus’, The BMJ, 386, e078015. Available at: </w:t>
      </w:r>
      <w:hyperlink r:id="rId19" w:history="1">
        <w:r w:rsidRPr="003B5333">
          <w:rPr>
            <w:rFonts w:ascii="Arial" w:eastAsia="Times New Roman" w:hAnsi="Arial" w:cs="Times New Roman"/>
            <w:color w:val="0563C1"/>
            <w:kern w:val="0"/>
            <w:szCs w:val="24"/>
            <w:u w:val="single"/>
            <w:lang w:val="en-US"/>
            <w14:ligatures w14:val="none"/>
          </w:rPr>
          <w:t>https://www.bmj.com/content/386/bmj-2023-078015</w:t>
        </w:r>
      </w:hyperlink>
      <w:r w:rsidRPr="003B5333">
        <w:rPr>
          <w:rFonts w:ascii="Arial" w:eastAsia="Times New Roman" w:hAnsi="Arial" w:cs="Times New Roman"/>
          <w:kern w:val="0"/>
          <w:szCs w:val="24"/>
          <w:lang w:val="en-US"/>
          <w14:ligatures w14:val="none"/>
        </w:rPr>
        <w:t xml:space="preserve">  (Accessed: 4 October 2026).</w:t>
      </w:r>
    </w:p>
    <w:p w14:paraId="217DAD60" w14:textId="77777777" w:rsidR="00D029D8" w:rsidRDefault="00D029D8"/>
    <w:sectPr w:rsidR="00D029D8" w:rsidSect="003B5333">
      <w:footerReference w:type="defaul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EF009" w14:textId="77777777" w:rsidR="0082077E" w:rsidRDefault="0082077E">
      <w:pPr>
        <w:spacing w:after="0" w:line="240" w:lineRule="auto"/>
      </w:pPr>
      <w:r>
        <w:separator/>
      </w:r>
    </w:p>
  </w:endnote>
  <w:endnote w:type="continuationSeparator" w:id="0">
    <w:p w14:paraId="48759DAC" w14:textId="77777777" w:rsidR="0082077E" w:rsidRDefault="00820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2A15A0" w14:textId="77777777" w:rsidR="003B5333" w:rsidRDefault="003B5333">
    <w:pPr>
      <w:pStyle w:val="Footer"/>
      <w:jc w:val="right"/>
    </w:pPr>
  </w:p>
  <w:p w14:paraId="188C9FC0" w14:textId="77777777" w:rsidR="003B5333" w:rsidRDefault="003B53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4398827"/>
      <w:docPartObj>
        <w:docPartGallery w:val="Page Numbers (Bottom of Page)"/>
        <w:docPartUnique/>
      </w:docPartObj>
    </w:sdtPr>
    <w:sdtEndPr>
      <w:rPr>
        <w:noProof/>
      </w:rPr>
    </w:sdtEndPr>
    <w:sdtContent>
      <w:p w14:paraId="5CD3AD1E" w14:textId="77777777" w:rsidR="003B5333" w:rsidRDefault="003B5333">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3FA533FC" w14:textId="77777777" w:rsidR="003B5333" w:rsidRDefault="003B5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639EC" w14:textId="77777777" w:rsidR="0082077E" w:rsidRDefault="0082077E">
      <w:pPr>
        <w:spacing w:after="0" w:line="240" w:lineRule="auto"/>
      </w:pPr>
      <w:r>
        <w:separator/>
      </w:r>
    </w:p>
  </w:footnote>
  <w:footnote w:type="continuationSeparator" w:id="0">
    <w:p w14:paraId="75A9BF7D" w14:textId="77777777" w:rsidR="0082077E" w:rsidRDefault="008207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333"/>
    <w:rsid w:val="000608A7"/>
    <w:rsid w:val="00083456"/>
    <w:rsid w:val="00104899"/>
    <w:rsid w:val="001676EA"/>
    <w:rsid w:val="00170447"/>
    <w:rsid w:val="001B772B"/>
    <w:rsid w:val="001C5068"/>
    <w:rsid w:val="00226C5C"/>
    <w:rsid w:val="002A6CCF"/>
    <w:rsid w:val="002F6261"/>
    <w:rsid w:val="00340E43"/>
    <w:rsid w:val="0034576F"/>
    <w:rsid w:val="0036706D"/>
    <w:rsid w:val="00386A68"/>
    <w:rsid w:val="003B5333"/>
    <w:rsid w:val="0047059E"/>
    <w:rsid w:val="004C00A8"/>
    <w:rsid w:val="004D27CD"/>
    <w:rsid w:val="004D4B57"/>
    <w:rsid w:val="00520C2F"/>
    <w:rsid w:val="005F203B"/>
    <w:rsid w:val="00607CC2"/>
    <w:rsid w:val="0061094D"/>
    <w:rsid w:val="00677EBE"/>
    <w:rsid w:val="007233C0"/>
    <w:rsid w:val="007368B5"/>
    <w:rsid w:val="00754160"/>
    <w:rsid w:val="007B555C"/>
    <w:rsid w:val="007E3C1D"/>
    <w:rsid w:val="0082077E"/>
    <w:rsid w:val="00835708"/>
    <w:rsid w:val="008603D0"/>
    <w:rsid w:val="00860648"/>
    <w:rsid w:val="00877FB9"/>
    <w:rsid w:val="00884EB9"/>
    <w:rsid w:val="008F2E32"/>
    <w:rsid w:val="0090497E"/>
    <w:rsid w:val="00976898"/>
    <w:rsid w:val="009C53D8"/>
    <w:rsid w:val="009F6A05"/>
    <w:rsid w:val="00A0771C"/>
    <w:rsid w:val="00A111C3"/>
    <w:rsid w:val="00A13CA5"/>
    <w:rsid w:val="00AA0CCC"/>
    <w:rsid w:val="00AA6E5D"/>
    <w:rsid w:val="00B019D7"/>
    <w:rsid w:val="00B134D4"/>
    <w:rsid w:val="00B22F42"/>
    <w:rsid w:val="00B4722A"/>
    <w:rsid w:val="00BA3F4D"/>
    <w:rsid w:val="00BA4124"/>
    <w:rsid w:val="00C2093F"/>
    <w:rsid w:val="00C404EE"/>
    <w:rsid w:val="00C41CB8"/>
    <w:rsid w:val="00C536F2"/>
    <w:rsid w:val="00C61909"/>
    <w:rsid w:val="00CF0739"/>
    <w:rsid w:val="00D029D8"/>
    <w:rsid w:val="00D31F55"/>
    <w:rsid w:val="00D33D4A"/>
    <w:rsid w:val="00D51A4B"/>
    <w:rsid w:val="00E64BF3"/>
    <w:rsid w:val="00EF7362"/>
    <w:rsid w:val="00F0385A"/>
    <w:rsid w:val="00F35954"/>
    <w:rsid w:val="00F61D1E"/>
    <w:rsid w:val="00FC2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AABAB"/>
  <w15:chartTrackingRefBased/>
  <w15:docId w15:val="{D52E3CC1-C16F-448A-AAED-95BA5251C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3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53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3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3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3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3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3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3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3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3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53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3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3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3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3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3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3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333"/>
    <w:rPr>
      <w:rFonts w:eastAsiaTheme="majorEastAsia" w:cstheme="majorBidi"/>
      <w:color w:val="272727" w:themeColor="text1" w:themeTint="D8"/>
    </w:rPr>
  </w:style>
  <w:style w:type="paragraph" w:styleId="Title">
    <w:name w:val="Title"/>
    <w:basedOn w:val="Normal"/>
    <w:next w:val="Normal"/>
    <w:link w:val="TitleChar"/>
    <w:uiPriority w:val="10"/>
    <w:qFormat/>
    <w:rsid w:val="003B53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3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3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3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333"/>
    <w:pPr>
      <w:spacing w:before="160"/>
      <w:jc w:val="center"/>
    </w:pPr>
    <w:rPr>
      <w:i/>
      <w:iCs/>
      <w:color w:val="404040" w:themeColor="text1" w:themeTint="BF"/>
    </w:rPr>
  </w:style>
  <w:style w:type="character" w:customStyle="1" w:styleId="QuoteChar">
    <w:name w:val="Quote Char"/>
    <w:basedOn w:val="DefaultParagraphFont"/>
    <w:link w:val="Quote"/>
    <w:uiPriority w:val="29"/>
    <w:rsid w:val="003B5333"/>
    <w:rPr>
      <w:i/>
      <w:iCs/>
      <w:color w:val="404040" w:themeColor="text1" w:themeTint="BF"/>
    </w:rPr>
  </w:style>
  <w:style w:type="paragraph" w:styleId="ListParagraph">
    <w:name w:val="List Paragraph"/>
    <w:basedOn w:val="Normal"/>
    <w:uiPriority w:val="34"/>
    <w:qFormat/>
    <w:rsid w:val="003B5333"/>
    <w:pPr>
      <w:ind w:left="720"/>
      <w:contextualSpacing/>
    </w:pPr>
  </w:style>
  <w:style w:type="character" w:styleId="IntenseEmphasis">
    <w:name w:val="Intense Emphasis"/>
    <w:basedOn w:val="DefaultParagraphFont"/>
    <w:uiPriority w:val="21"/>
    <w:qFormat/>
    <w:rsid w:val="003B5333"/>
    <w:rPr>
      <w:i/>
      <w:iCs/>
      <w:color w:val="0F4761" w:themeColor="accent1" w:themeShade="BF"/>
    </w:rPr>
  </w:style>
  <w:style w:type="paragraph" w:styleId="IntenseQuote">
    <w:name w:val="Intense Quote"/>
    <w:basedOn w:val="Normal"/>
    <w:next w:val="Normal"/>
    <w:link w:val="IntenseQuoteChar"/>
    <w:uiPriority w:val="30"/>
    <w:qFormat/>
    <w:rsid w:val="003B53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333"/>
    <w:rPr>
      <w:i/>
      <w:iCs/>
      <w:color w:val="0F4761" w:themeColor="accent1" w:themeShade="BF"/>
    </w:rPr>
  </w:style>
  <w:style w:type="character" w:styleId="IntenseReference">
    <w:name w:val="Intense Reference"/>
    <w:basedOn w:val="DefaultParagraphFont"/>
    <w:uiPriority w:val="32"/>
    <w:qFormat/>
    <w:rsid w:val="003B5333"/>
    <w:rPr>
      <w:b/>
      <w:bCs/>
      <w:smallCaps/>
      <w:color w:val="0F4761" w:themeColor="accent1" w:themeShade="BF"/>
      <w:spacing w:val="5"/>
    </w:rPr>
  </w:style>
  <w:style w:type="paragraph" w:styleId="Footer">
    <w:name w:val="footer"/>
    <w:basedOn w:val="Normal"/>
    <w:link w:val="FooterChar"/>
    <w:uiPriority w:val="99"/>
    <w:semiHidden/>
    <w:unhideWhenUsed/>
    <w:rsid w:val="003B533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B53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hysical-activity-guidelines-uk-chief-medical-officers-report/uk-chief-medical-officers-physical-activity-guidelines" TargetMode="External"/><Relationship Id="rId13" Type="http://schemas.openxmlformats.org/officeDocument/2006/relationships/hyperlink" Target="https://www.nice.org.uk/guidance/ng28" TargetMode="External"/><Relationship Id="rId18" Type="http://schemas.openxmlformats.org/officeDocument/2006/relationships/hyperlink" Target="https://www.gov.uk/government/statistics/diabetes-profile-update-march-2025/diabetes-profile-statistical-commentary-march-2025"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nice.org.uk/guidance/ng17" TargetMode="External"/><Relationship Id="rId17" Type="http://schemas.openxmlformats.org/officeDocument/2006/relationships/hyperlink" Target="https://www.england.nhs.uk/diabetes/treatment-care/diabetes-remission/" TargetMode="External"/><Relationship Id="rId2" Type="http://schemas.openxmlformats.org/officeDocument/2006/relationships/settings" Target="settings.xml"/><Relationship Id="rId16" Type="http://schemas.openxmlformats.org/officeDocument/2006/relationships/hyperlink" Target="https://www.nhs.uk/conditions/type-2-diabetes/treatment/"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bmj.com/content/377/bmj.o775" TargetMode="External"/><Relationship Id="rId5" Type="http://schemas.openxmlformats.org/officeDocument/2006/relationships/endnotes" Target="endnotes.xml"/><Relationship Id="rId15" Type="http://schemas.openxmlformats.org/officeDocument/2006/relationships/hyperlink" Target="https://www.nhs.uk/conditions/type-2-diabetes/symptoms/" TargetMode="External"/><Relationship Id="rId10" Type="http://schemas.openxmlformats.org/officeDocument/2006/relationships/hyperlink" Target="https://www.diabetes.org.uk/living-with-diabetes/life-with-diabetes/help-with-giving-up-smoking" TargetMode="External"/><Relationship Id="rId19" Type="http://schemas.openxmlformats.org/officeDocument/2006/relationships/hyperlink" Target="https://www.bmj.com/content/386/bmj-2023-078015" TargetMode="External"/><Relationship Id="rId4" Type="http://schemas.openxmlformats.org/officeDocument/2006/relationships/footnotes" Target="footnotes.xml"/><Relationship Id="rId9" Type="http://schemas.openxmlformats.org/officeDocument/2006/relationships/hyperlink" Target="https://www.diabetes.org.uk/living-with-diabetes/eating/10-ways-to-eat-well-with-diabetes" TargetMode="External"/><Relationship Id="rId14" Type="http://schemas.openxmlformats.org/officeDocument/2006/relationships/hyperlink" Target="https://www.nhs.uk/conditions/type-2-diabetes/what-is-type-2-diabet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11</Pages>
  <Words>2774</Words>
  <Characters>15816</Characters>
  <Application>Microsoft Office Word</Application>
  <DocSecurity>0</DocSecurity>
  <Lines>131</Lines>
  <Paragraphs>37</Paragraphs>
  <ScaleCrop>false</ScaleCrop>
  <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Ahlam Bchini (2439423)</dc:creator>
  <cp:keywords/>
  <dc:description/>
  <cp:lastModifiedBy>Ahlam Bchini (2439423)</cp:lastModifiedBy>
  <cp:revision>25</cp:revision>
  <dcterms:created xsi:type="dcterms:W3CDTF">2026-10-14T08:47:00Z</dcterms:created>
  <dcterms:modified xsi:type="dcterms:W3CDTF">2026-10-14T10:20:00Z</dcterms:modified>
</cp:coreProperties>
</file>