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278" w:rsidRDefault="00460278" w:rsidP="002824CB">
      <w:pPr>
        <w:jc w:val="both"/>
      </w:pPr>
      <w:r>
        <w:rPr>
          <w:u w:val="single"/>
        </w:rPr>
        <w:t xml:space="preserve">Court and Society: Character sheet – Kleitos </w:t>
      </w:r>
      <w:proofErr w:type="spellStart"/>
      <w:r>
        <w:rPr>
          <w:u w:val="single"/>
        </w:rPr>
        <w:t>Eupator</w:t>
      </w:r>
      <w:proofErr w:type="spellEnd"/>
    </w:p>
    <w:p w:rsidR="00460278" w:rsidRPr="00460278" w:rsidRDefault="00460278" w:rsidP="002824CB">
      <w:pPr>
        <w:jc w:val="both"/>
      </w:pPr>
      <w:r>
        <w:t>(Total word count: 889)</w:t>
      </w:r>
    </w:p>
    <w:p w:rsidR="007229EF" w:rsidRDefault="00AA13C1" w:rsidP="002824CB">
      <w:pPr>
        <w:jc w:val="both"/>
      </w:pPr>
      <w:r>
        <w:t xml:space="preserve">In order to fully understand the concept of the court society, and therefore put it into practice, one must be able to put these into context.  This can be achieved through the creation of a character, a blank slate that allows them to explore this in detail with relative freedom, in the sense that they are not tied too closely to their respective pasts like their historical counterparts. </w:t>
      </w:r>
      <w:r w:rsidR="007229EF">
        <w:t xml:space="preserve"> To create a character that fits well into the context at hand – The Hellenistic World of the late third century BC – a wide range of background researc</w:t>
      </w:r>
      <w:r w:rsidR="002824CB">
        <w:t>h is to be undertaken as this allows</w:t>
      </w:r>
      <w:r w:rsidR="001D35FD">
        <w:t xml:space="preserve"> the</w:t>
      </w:r>
      <w:r w:rsidR="002824CB">
        <w:t xml:space="preserve"> creative decisions</w:t>
      </w:r>
      <w:r w:rsidR="001D35FD">
        <w:t xml:space="preserve"> involved</w:t>
      </w:r>
      <w:r w:rsidR="002824CB">
        <w:t xml:space="preserve"> to be made on a far more informed basis.</w:t>
      </w:r>
      <w:r w:rsidR="0074464F">
        <w:t xml:space="preserve">  The character created for this purpose, Kleitos </w:t>
      </w:r>
      <w:r w:rsidR="00924552">
        <w:t>Eupator</w:t>
      </w:r>
      <w:r w:rsidR="0074464F">
        <w:t>,</w:t>
      </w:r>
      <w:r w:rsidR="007630CA">
        <w:t xml:space="preserve"> Satrap and </w:t>
      </w:r>
      <w:r w:rsidR="007630CA" w:rsidRPr="00EB378C">
        <w:rPr>
          <w:i/>
        </w:rPr>
        <w:t>Strategoi</w:t>
      </w:r>
      <w:r w:rsidR="007630CA">
        <w:t xml:space="preserve"> [garrison commander] of Koele-Syria and Phoenicia,</w:t>
      </w:r>
      <w:r w:rsidR="0074464F">
        <w:t xml:space="preserve"> was a product of such research.</w:t>
      </w:r>
    </w:p>
    <w:p w:rsidR="0074464F" w:rsidRDefault="00924552" w:rsidP="002824CB">
      <w:pPr>
        <w:jc w:val="both"/>
      </w:pPr>
      <w:r>
        <w:t xml:space="preserve">Before any discussion of his role within the court can be had, it is important to gain a sense of Kleitos’ background, and how it fits into a Hellenistic </w:t>
      </w:r>
      <w:r w:rsidR="00B56B75">
        <w:t>context. Born in 24</w:t>
      </w:r>
      <w:r w:rsidR="00EB378C">
        <w:t>6</w:t>
      </w:r>
      <w:r w:rsidR="00B56B75">
        <w:t xml:space="preserve"> BC i</w:t>
      </w:r>
      <w:r w:rsidR="007630CA">
        <w:t>nto a</w:t>
      </w:r>
      <w:r w:rsidR="002E306D">
        <w:t xml:space="preserve">n aristocratic </w:t>
      </w:r>
      <w:r w:rsidR="007630CA">
        <w:t>family of mixed he</w:t>
      </w:r>
      <w:r w:rsidR="002E306D">
        <w:t>ritage in the city of Damascus, Kleitos had lived a life of relative wealth and stability owing to</w:t>
      </w:r>
      <w:r w:rsidR="00863713">
        <w:t xml:space="preserve"> both</w:t>
      </w:r>
      <w:r w:rsidR="002E306D">
        <w:t xml:space="preserve"> the efforts o</w:t>
      </w:r>
      <w:r w:rsidR="00863713">
        <w:t xml:space="preserve">f his father (and predecessor) – and the patronage of the Ptolemaic court in Alexandria. </w:t>
      </w:r>
      <w:r w:rsidR="00EB378C">
        <w:t xml:space="preserve"> As a career soldier and veteran of </w:t>
      </w:r>
      <w:r w:rsidR="00483C4B">
        <w:t>both the Second (260 – 253) and Third Syrian Wars (246 – 241) Kleitos’ father had gained quite considerable status</w:t>
      </w:r>
      <w:r w:rsidR="007C6166">
        <w:t xml:space="preserve"> as </w:t>
      </w:r>
      <w:r w:rsidR="007C6166">
        <w:rPr>
          <w:i/>
        </w:rPr>
        <w:t xml:space="preserve">Philoi </w:t>
      </w:r>
      <w:r w:rsidR="007C6166">
        <w:t>[friend of the King]</w:t>
      </w:r>
      <w:r w:rsidR="00483C4B">
        <w:t xml:space="preserve"> within the </w:t>
      </w:r>
      <w:r w:rsidR="00752290">
        <w:t xml:space="preserve">settler </w:t>
      </w:r>
      <w:r w:rsidR="00483C4B">
        <w:t>community, and as such was treated well by his peers – of which came with privilege</w:t>
      </w:r>
      <w:r w:rsidR="00752290">
        <w:t>. Among these was the greater integration into the existing indigenous community through his marriage to the daughter of an Aramaic landowner, and later Kleitos’ mother</w:t>
      </w:r>
      <w:r w:rsidR="00FF5507">
        <w:t>; Greek integration into the indigenous communities of North Africa and the Middle East had remained a core objective of Hellenistic colonisation since the late fourth century, and as such this marriage can be considered a continuation of this policy.</w:t>
      </w:r>
      <w:r w:rsidR="00FF5507">
        <w:rPr>
          <w:rStyle w:val="FootnoteReference"/>
        </w:rPr>
        <w:footnoteReference w:id="1"/>
      </w:r>
      <w:r w:rsidR="007C6166">
        <w:t xml:space="preserve"> Conversely, the indigenous elements within the community (such as priests) had begun to gain greater influence within the Royal Court towards end of the third century during the reigns of Ptolemy IV and Ptolemy V, </w:t>
      </w:r>
      <w:r w:rsidR="00001862">
        <w:t>and as such</w:t>
      </w:r>
      <w:r w:rsidR="007C6166">
        <w:t xml:space="preserve"> Kleitos could be considered a physical embodiment in connection to his later status as Satrap.</w:t>
      </w:r>
      <w:r w:rsidR="007C6166">
        <w:rPr>
          <w:rStyle w:val="FootnoteReference"/>
        </w:rPr>
        <w:footnoteReference w:id="2"/>
      </w:r>
      <w:r w:rsidR="00831127">
        <w:t xml:space="preserve"> </w:t>
      </w:r>
      <w:r w:rsidR="00001862">
        <w:t>Given the patronage rewarded to him by his king, Kleitos’ father had decided to send his son to be educated at the Royal Court in Alexandria, who now therefore was provided with the opportunity to observe the principles of kingship, and the finer points of courtly culture first-hand. Although the court itself was multicultural in makeup, it was in fact bound together by Greek culture and custom.</w:t>
      </w:r>
      <w:r w:rsidR="00001862">
        <w:rPr>
          <w:rStyle w:val="FootnoteReference"/>
        </w:rPr>
        <w:footnoteReference w:id="3"/>
      </w:r>
      <w:r w:rsidR="00EA63E8">
        <w:t xml:space="preserve"> </w:t>
      </w:r>
      <w:r w:rsidR="00825D27">
        <w:t xml:space="preserve">His time at the Royal Court gave him a greater perspective as to how these concepts worked in detail. </w:t>
      </w:r>
    </w:p>
    <w:p w:rsidR="009669F4" w:rsidRPr="00831127" w:rsidRDefault="000758B0" w:rsidP="002824CB">
      <w:pPr>
        <w:jc w:val="both"/>
      </w:pPr>
      <w:r>
        <w:t xml:space="preserve">Kleitos’ role within the court, therefore, is a reflection of this – in the sense that as Satrap he must balance both the interests of his superiors in the Royal court, and </w:t>
      </w:r>
      <w:r w:rsidR="000B28D7">
        <w:t xml:space="preserve">of </w:t>
      </w:r>
      <w:r>
        <w:t>those the i</w:t>
      </w:r>
      <w:r w:rsidR="00FA6C21">
        <w:t>ndigenous community within the s</w:t>
      </w:r>
      <w:r>
        <w:t xml:space="preserve">atrapy of Koele-Syria and Phoenicia. The title itself is a product of integration, an adoption of existing Persian infrastructure that has been repurposed for the sole </w:t>
      </w:r>
      <w:r w:rsidR="00FA6C21">
        <w:t>objective</w:t>
      </w:r>
      <w:r>
        <w:t xml:space="preserve"> of expanding (and in turn </w:t>
      </w:r>
      <w:r w:rsidR="00FA6C21">
        <w:t>consolidating</w:t>
      </w:r>
      <w:r>
        <w:t>) Ptole</w:t>
      </w:r>
      <w:r w:rsidR="00FA6C21">
        <w:t xml:space="preserve">maic influence in the region.  Conversely, though a distinct role in and of itself, Kleitos had been appointed Strategoi of Koele-Syria as to allow greater control over the mobilization of garrisons in the area, of which would be raised </w:t>
      </w:r>
      <w:r w:rsidR="00684606">
        <w:t>in the circumstances of the war – alongside his position of Satrap.</w:t>
      </w:r>
      <w:r w:rsidR="007336FC">
        <w:t xml:space="preserve"> Such a practice of appointing satraps as strategoi had begun to gain traction within the Hellenistic courts during the mid-third century, given the ease of control it provided to the kings by </w:t>
      </w:r>
      <w:r w:rsidR="005725C7">
        <w:t>localizing the management of armies.</w:t>
      </w:r>
      <w:r w:rsidR="005725C7">
        <w:rPr>
          <w:rStyle w:val="FootnoteReference"/>
        </w:rPr>
        <w:footnoteReference w:id="4"/>
      </w:r>
      <w:r w:rsidR="000F7E24">
        <w:t xml:space="preserve"> Satraps (and the cities under their command) were therefore afforded a great degree of flexibility on their part, and as such enjoyed reasonable independence from the </w:t>
      </w:r>
      <w:r w:rsidR="00087362">
        <w:t>influence of Kings.</w:t>
      </w:r>
      <w:r w:rsidR="00087362">
        <w:rPr>
          <w:rStyle w:val="FootnoteReference"/>
        </w:rPr>
        <w:footnoteReference w:id="5"/>
      </w:r>
      <w:r w:rsidR="000A18A8">
        <w:t xml:space="preserve"> This relatively “hands-off” relationship still had its conditions however, such as the collection of tributes and land taxes of which was to be then paid to the King – and to support him on campaign.</w:t>
      </w:r>
      <w:r w:rsidR="00725751">
        <w:rPr>
          <w:rStyle w:val="FootnoteReference"/>
        </w:rPr>
        <w:footnoteReference w:id="6"/>
      </w:r>
      <w:r w:rsidR="007E183A">
        <w:t xml:space="preserve"> To put this into a wider context, Kleitos’ main responsibility is to act as an extension of Ptolemaic rule, and to protect their interests within the region – a responsibility that had grown in importance in recent decades as Koele-Syria had become hotly contested between the Ptolemies and the Seleucids.</w:t>
      </w:r>
      <w:r w:rsidR="007E183A">
        <w:rPr>
          <w:rStyle w:val="FootnoteReference"/>
        </w:rPr>
        <w:footnoteReference w:id="7"/>
      </w:r>
      <w:r w:rsidR="007E183A">
        <w:t xml:space="preserve"> </w:t>
      </w:r>
      <w:r w:rsidR="006640E4">
        <w:t xml:space="preserve"> This means that Kleitos has to be proactive in his role as protector, and in turn pay close attention to the management of the resources he has at his disposal; otherwise he faces the risk of being invaded by his Seleucid neighbours</w:t>
      </w:r>
      <w:r w:rsidR="00825D27">
        <w:t xml:space="preserve">. </w:t>
      </w:r>
    </w:p>
    <w:p w:rsidR="00460278" w:rsidRDefault="00460278" w:rsidP="002824CB">
      <w:pPr>
        <w:jc w:val="both"/>
      </w:pPr>
    </w:p>
    <w:p w:rsidR="00460278" w:rsidRDefault="00460278">
      <w:r>
        <w:br w:type="page"/>
      </w:r>
    </w:p>
    <w:p w:rsidR="002824CB" w:rsidRPr="00460278" w:rsidRDefault="00460278" w:rsidP="002824CB">
      <w:pPr>
        <w:jc w:val="both"/>
        <w:rPr>
          <w:u w:val="single"/>
        </w:rPr>
      </w:pPr>
      <w:r w:rsidRPr="00460278">
        <w:rPr>
          <w:u w:val="single"/>
        </w:rPr>
        <w:t>Bibliography</w:t>
      </w:r>
    </w:p>
    <w:p w:rsidR="00460278" w:rsidRPr="00460278" w:rsidRDefault="001C401E" w:rsidP="00460278">
      <w:r>
        <w:t>Dreyer, B.</w:t>
      </w:r>
      <w:r w:rsidR="00460278" w:rsidRPr="00460278">
        <w:t xml:space="preserve">, 2011. </w:t>
      </w:r>
      <w:r>
        <w:t xml:space="preserve">How to Become a "Relative" of </w:t>
      </w:r>
      <w:proofErr w:type="gramStart"/>
      <w:r>
        <w:t>The</w:t>
      </w:r>
      <w:proofErr w:type="gramEnd"/>
      <w:r>
        <w:t xml:space="preserve"> King: Careers and Hierarchy at t</w:t>
      </w:r>
      <w:r w:rsidRPr="00460278">
        <w:t>he Court Of Antiochus III</w:t>
      </w:r>
      <w:r w:rsidR="00460278" w:rsidRPr="00460278">
        <w:t>. </w:t>
      </w:r>
      <w:r w:rsidR="00460278" w:rsidRPr="00460278">
        <w:rPr>
          <w:i/>
          <w:iCs/>
        </w:rPr>
        <w:t>The American Journal of Philology, </w:t>
      </w:r>
      <w:r w:rsidR="00460278" w:rsidRPr="00460278">
        <w:rPr>
          <w:iCs/>
        </w:rPr>
        <w:t>v</w:t>
      </w:r>
      <w:r w:rsidR="00460278" w:rsidRPr="00460278">
        <w:rPr>
          <w:bCs/>
        </w:rPr>
        <w:t>132</w:t>
      </w:r>
      <w:r w:rsidR="00460278" w:rsidRPr="00460278">
        <w:t xml:space="preserve"> (1), pp. 45-57.</w:t>
      </w:r>
    </w:p>
    <w:p w:rsidR="00460278" w:rsidRPr="00460278" w:rsidRDefault="00460278" w:rsidP="00460278">
      <w:r w:rsidRPr="00460278">
        <w:t>SMITH, R.H., 1990. The Southern Levant in the Hellenistic Period. </w:t>
      </w:r>
      <w:r w:rsidRPr="00460278">
        <w:rPr>
          <w:i/>
          <w:iCs/>
        </w:rPr>
        <w:t>The Journal of the Council for British Research in the Levant, </w:t>
      </w:r>
      <w:r>
        <w:rPr>
          <w:iCs/>
        </w:rPr>
        <w:t>v</w:t>
      </w:r>
      <w:r w:rsidRPr="00460278">
        <w:rPr>
          <w:bCs/>
        </w:rPr>
        <w:t>2</w:t>
      </w:r>
      <w:bookmarkStart w:id="0" w:name="_GoBack"/>
      <w:bookmarkEnd w:id="0"/>
      <w:r w:rsidRPr="00460278">
        <w:rPr>
          <w:bCs/>
        </w:rPr>
        <w:t>2</w:t>
      </w:r>
      <w:r w:rsidRPr="00460278">
        <w:t>, pp. 123.</w:t>
      </w:r>
    </w:p>
    <w:p w:rsidR="00460278" w:rsidRPr="00460278" w:rsidRDefault="00460278" w:rsidP="00460278">
      <w:r>
        <w:t>Strootman, R</w:t>
      </w:r>
      <w:r w:rsidRPr="00460278">
        <w:t>., 2007. </w:t>
      </w:r>
      <w:r w:rsidRPr="00460278">
        <w:rPr>
          <w:i/>
          <w:iCs/>
        </w:rPr>
        <w:t>The Hellenistic Royal Court. Court Culture, Ceremonial and Ideology in Greece, Egypt and the Near East, 336-30 BCE</w:t>
      </w:r>
      <w:r w:rsidRPr="00460278">
        <w:t>, Utrecht University</w:t>
      </w:r>
      <w:r>
        <w:t>.</w:t>
      </w:r>
    </w:p>
    <w:p w:rsidR="00356F8E" w:rsidRDefault="00356F8E"/>
    <w:p w:rsidR="00E557C4" w:rsidRDefault="00E557C4"/>
    <w:p w:rsidR="00E557C4" w:rsidRDefault="00E557C4"/>
    <w:sectPr w:rsidR="00E557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507" w:rsidRDefault="00FF5507" w:rsidP="00FF5507">
      <w:pPr>
        <w:spacing w:after="0" w:line="240" w:lineRule="auto"/>
      </w:pPr>
      <w:r>
        <w:separator/>
      </w:r>
    </w:p>
  </w:endnote>
  <w:endnote w:type="continuationSeparator" w:id="0">
    <w:p w:rsidR="00FF5507" w:rsidRDefault="00FF5507" w:rsidP="00FF5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507" w:rsidRDefault="00FF5507" w:rsidP="00FF5507">
      <w:pPr>
        <w:spacing w:after="0" w:line="240" w:lineRule="auto"/>
      </w:pPr>
      <w:r>
        <w:separator/>
      </w:r>
    </w:p>
  </w:footnote>
  <w:footnote w:type="continuationSeparator" w:id="0">
    <w:p w:rsidR="00FF5507" w:rsidRDefault="00FF5507" w:rsidP="00FF5507">
      <w:pPr>
        <w:spacing w:after="0" w:line="240" w:lineRule="auto"/>
      </w:pPr>
      <w:r>
        <w:continuationSeparator/>
      </w:r>
    </w:p>
  </w:footnote>
  <w:footnote w:id="1">
    <w:p w:rsidR="00FF5507" w:rsidRDefault="00FF5507">
      <w:pPr>
        <w:pStyle w:val="FootnoteText"/>
      </w:pPr>
      <w:r>
        <w:rPr>
          <w:rStyle w:val="FootnoteReference"/>
        </w:rPr>
        <w:footnoteRef/>
      </w:r>
      <w:r>
        <w:t xml:space="preserve"> </w:t>
      </w:r>
      <w:r w:rsidR="009669F4">
        <w:t>Dreyer, B</w:t>
      </w:r>
      <w:r w:rsidRPr="00FF5507">
        <w:t>. 2011.</w:t>
      </w:r>
      <w:r w:rsidRPr="00FF5507">
        <w:rPr>
          <w:i/>
          <w:iCs/>
        </w:rPr>
        <w:t> '</w:t>
      </w:r>
      <w:r>
        <w:rPr>
          <w:i/>
          <w:iCs/>
        </w:rPr>
        <w:t xml:space="preserve">How to Become a “Relative” of the King: Careers and Hierarchy at the Court of </w:t>
      </w:r>
      <w:r w:rsidR="005E7785">
        <w:rPr>
          <w:i/>
          <w:iCs/>
        </w:rPr>
        <w:t>Antiochus III</w:t>
      </w:r>
      <w:r w:rsidRPr="00FF5507">
        <w:t xml:space="preserve">, The American Journal of Philology, </w:t>
      </w:r>
      <w:r w:rsidR="009669F4">
        <w:t xml:space="preserve">v132, pp48, </w:t>
      </w:r>
      <w:r w:rsidR="009669F4" w:rsidRPr="009669F4">
        <w:t>S</w:t>
      </w:r>
      <w:r w:rsidR="009669F4">
        <w:t>mith</w:t>
      </w:r>
      <w:r w:rsidR="009669F4" w:rsidRPr="009669F4">
        <w:t>, R.H., 1990. The Southern Levant in the Hellenistic Period. </w:t>
      </w:r>
      <w:r w:rsidR="009669F4" w:rsidRPr="009669F4">
        <w:rPr>
          <w:i/>
          <w:iCs/>
        </w:rPr>
        <w:t>The Journal of the Council for British Research in the Levant,</w:t>
      </w:r>
      <w:r w:rsidR="009669F4">
        <w:rPr>
          <w:iCs/>
        </w:rPr>
        <w:t>v</w:t>
      </w:r>
      <w:r w:rsidR="009669F4">
        <w:rPr>
          <w:bCs/>
        </w:rPr>
        <w:t>22</w:t>
      </w:r>
      <w:r w:rsidR="009669F4" w:rsidRPr="009669F4">
        <w:t>, pp. 123.</w:t>
      </w:r>
    </w:p>
  </w:footnote>
  <w:footnote w:id="2">
    <w:p w:rsidR="007C6166" w:rsidRDefault="007C6166">
      <w:pPr>
        <w:pStyle w:val="FootnoteText"/>
      </w:pPr>
      <w:r>
        <w:rPr>
          <w:rStyle w:val="FootnoteReference"/>
        </w:rPr>
        <w:footnoteRef/>
      </w:r>
      <w:r>
        <w:t xml:space="preserve"> Dreyer, B. 2011, pp48</w:t>
      </w:r>
    </w:p>
  </w:footnote>
  <w:footnote w:id="3">
    <w:p w:rsidR="00001862" w:rsidRDefault="00001862">
      <w:pPr>
        <w:pStyle w:val="FootnoteText"/>
      </w:pPr>
      <w:r>
        <w:rPr>
          <w:rStyle w:val="FootnoteReference"/>
        </w:rPr>
        <w:footnoteRef/>
      </w:r>
      <w:r>
        <w:t xml:space="preserve"> Dreyer, B. 2011, pp49</w:t>
      </w:r>
      <w:r w:rsidR="00B85C81">
        <w:t>, Smith, R.H., 1990, pp124</w:t>
      </w:r>
    </w:p>
  </w:footnote>
  <w:footnote w:id="4">
    <w:p w:rsidR="005725C7" w:rsidRDefault="005725C7">
      <w:pPr>
        <w:pStyle w:val="FootnoteText"/>
      </w:pPr>
      <w:r>
        <w:rPr>
          <w:rStyle w:val="FootnoteReference"/>
        </w:rPr>
        <w:footnoteRef/>
      </w:r>
      <w:r>
        <w:t xml:space="preserve"> </w:t>
      </w:r>
      <w:r w:rsidR="007A4B9C">
        <w:t>Strootman, R</w:t>
      </w:r>
      <w:r w:rsidRPr="005725C7">
        <w:t>., 2007. </w:t>
      </w:r>
      <w:r w:rsidRPr="005725C7">
        <w:rPr>
          <w:i/>
          <w:iCs/>
        </w:rPr>
        <w:t>The Hellenistic Royal Court. Court Culture, Ceremonial and Ideology in Greece, Egypt and the Near East, 336-30 BCE</w:t>
      </w:r>
      <w:r w:rsidRPr="005725C7">
        <w:t>, Utrecht University</w:t>
      </w:r>
      <w:r w:rsidR="00087362">
        <w:t>, pp121</w:t>
      </w:r>
    </w:p>
  </w:footnote>
  <w:footnote w:id="5">
    <w:p w:rsidR="00087362" w:rsidRDefault="00087362">
      <w:pPr>
        <w:pStyle w:val="FootnoteText"/>
      </w:pPr>
      <w:r>
        <w:rPr>
          <w:rStyle w:val="FootnoteReference"/>
        </w:rPr>
        <w:footnoteRef/>
      </w:r>
      <w:r>
        <w:t xml:space="preserve"> Strootman, R., 2007, pp122</w:t>
      </w:r>
    </w:p>
  </w:footnote>
  <w:footnote w:id="6">
    <w:p w:rsidR="00725751" w:rsidRDefault="00725751">
      <w:pPr>
        <w:pStyle w:val="FootnoteText"/>
      </w:pPr>
      <w:r>
        <w:rPr>
          <w:rStyle w:val="FootnoteReference"/>
        </w:rPr>
        <w:footnoteRef/>
      </w:r>
      <w:r>
        <w:t xml:space="preserve"> Smith, R.H., 1990, </w:t>
      </w:r>
      <w:r w:rsidR="00DA1EAC">
        <w:t>pp124,Strootman, R., 2007,</w:t>
      </w:r>
      <w:r>
        <w:t>pp122</w:t>
      </w:r>
    </w:p>
  </w:footnote>
  <w:footnote w:id="7">
    <w:p w:rsidR="007E183A" w:rsidRDefault="007E183A">
      <w:pPr>
        <w:pStyle w:val="FootnoteText"/>
      </w:pPr>
      <w:r>
        <w:rPr>
          <w:rStyle w:val="FootnoteReference"/>
        </w:rPr>
        <w:footnoteRef/>
      </w:r>
      <w:r>
        <w:t xml:space="preserve"> Smith</w:t>
      </w:r>
      <w:r w:rsidR="003455B6">
        <w:t>, R.H.</w:t>
      </w:r>
      <w:r w:rsidR="00DA1EAC">
        <w:t>,</w:t>
      </w:r>
      <w:r w:rsidR="003455B6">
        <w:t xml:space="preserve"> 1990, p</w:t>
      </w:r>
      <w:r w:rsidR="00725751">
        <w:t>p</w:t>
      </w:r>
      <w:r w:rsidR="00DA1EAC">
        <w:t>125,</w:t>
      </w:r>
      <w:r w:rsidR="003455B6">
        <w:t>Strootman, R., 2007</w:t>
      </w:r>
      <w:r w:rsidR="00166671">
        <w:t>,</w:t>
      </w:r>
      <w:r>
        <w:t>pp123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93D"/>
    <w:rsid w:val="00001862"/>
    <w:rsid w:val="000758B0"/>
    <w:rsid w:val="00087362"/>
    <w:rsid w:val="000A18A8"/>
    <w:rsid w:val="000B28D7"/>
    <w:rsid w:val="000F7E24"/>
    <w:rsid w:val="00166671"/>
    <w:rsid w:val="001C401E"/>
    <w:rsid w:val="001D35FD"/>
    <w:rsid w:val="002824CB"/>
    <w:rsid w:val="002E306D"/>
    <w:rsid w:val="003455B6"/>
    <w:rsid w:val="00356F8E"/>
    <w:rsid w:val="003C793D"/>
    <w:rsid w:val="00460278"/>
    <w:rsid w:val="00483C4B"/>
    <w:rsid w:val="004B7949"/>
    <w:rsid w:val="00551442"/>
    <w:rsid w:val="005725C7"/>
    <w:rsid w:val="005E7785"/>
    <w:rsid w:val="006640E4"/>
    <w:rsid w:val="00684606"/>
    <w:rsid w:val="00713C93"/>
    <w:rsid w:val="007229EF"/>
    <w:rsid w:val="00725751"/>
    <w:rsid w:val="007336FC"/>
    <w:rsid w:val="0074464F"/>
    <w:rsid w:val="00752290"/>
    <w:rsid w:val="007630CA"/>
    <w:rsid w:val="007674A0"/>
    <w:rsid w:val="007A4B9C"/>
    <w:rsid w:val="007C6166"/>
    <w:rsid w:val="007E183A"/>
    <w:rsid w:val="00825D27"/>
    <w:rsid w:val="00831127"/>
    <w:rsid w:val="00863713"/>
    <w:rsid w:val="00886E88"/>
    <w:rsid w:val="00924552"/>
    <w:rsid w:val="009669F4"/>
    <w:rsid w:val="0097022D"/>
    <w:rsid w:val="00AA13C1"/>
    <w:rsid w:val="00B56B75"/>
    <w:rsid w:val="00B85C81"/>
    <w:rsid w:val="00C34AFE"/>
    <w:rsid w:val="00D76324"/>
    <w:rsid w:val="00DA1EAC"/>
    <w:rsid w:val="00E557C4"/>
    <w:rsid w:val="00EA63E8"/>
    <w:rsid w:val="00EB378C"/>
    <w:rsid w:val="00FA6C21"/>
    <w:rsid w:val="00FF5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6BC7D"/>
  <w15:docId w15:val="{13761911-4547-4381-9DA8-491FCA9FE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F55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5507"/>
    <w:rPr>
      <w:sz w:val="20"/>
      <w:szCs w:val="20"/>
    </w:rPr>
  </w:style>
  <w:style w:type="character" w:styleId="FootnoteReference">
    <w:name w:val="footnote reference"/>
    <w:basedOn w:val="DefaultParagraphFont"/>
    <w:uiPriority w:val="99"/>
    <w:semiHidden/>
    <w:unhideWhenUsed/>
    <w:rsid w:val="00FF55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858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81AC1-4D4D-4DB5-9BF9-698C4EA33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Hingley (1501141)</dc:creator>
  <cp:lastModifiedBy>Vincent Hingley (1501141)</cp:lastModifiedBy>
  <cp:revision>23</cp:revision>
  <dcterms:created xsi:type="dcterms:W3CDTF">2018-02-13T12:57:00Z</dcterms:created>
  <dcterms:modified xsi:type="dcterms:W3CDTF">2018-02-13T21:35:00Z</dcterms:modified>
</cp:coreProperties>
</file>