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0C358" w14:textId="77777777" w:rsidR="00A33B13" w:rsidRPr="00A33B13" w:rsidRDefault="00A33B13" w:rsidP="00A33B13">
      <w:pPr>
        <w:spacing w:after="80" w:line="360" w:lineRule="auto"/>
        <w:jc w:val="both"/>
        <w:rPr>
          <w:rFonts w:ascii="Arial" w:hAnsi="Arial" w:cs="Arial"/>
          <w:sz w:val="24"/>
          <w:szCs w:val="24"/>
        </w:rPr>
      </w:pPr>
      <w:r w:rsidRPr="00A33B13">
        <w:rPr>
          <w:rFonts w:ascii="Arial" w:hAnsi="Arial" w:cs="Arial"/>
          <w:b/>
          <w:bCs/>
          <w:sz w:val="24"/>
          <w:szCs w:val="24"/>
        </w:rPr>
        <w:t>Course: BSc (Hons) Health and Social Care</w:t>
      </w:r>
    </w:p>
    <w:p w14:paraId="2602F843" w14:textId="77777777" w:rsidR="00A33B13" w:rsidRPr="00A33B13" w:rsidRDefault="00A33B13" w:rsidP="00A33B13">
      <w:pPr>
        <w:spacing w:after="80" w:line="360" w:lineRule="auto"/>
        <w:jc w:val="both"/>
        <w:rPr>
          <w:rFonts w:ascii="Arial" w:hAnsi="Arial" w:cs="Arial"/>
          <w:sz w:val="24"/>
          <w:szCs w:val="24"/>
        </w:rPr>
      </w:pPr>
      <w:r w:rsidRPr="00A33B13">
        <w:rPr>
          <w:rFonts w:ascii="Arial" w:hAnsi="Arial" w:cs="Arial"/>
          <w:b/>
          <w:bCs/>
          <w:sz w:val="24"/>
          <w:szCs w:val="24"/>
        </w:rPr>
        <w:t>Module: Independent Project (BMHP6020)</w:t>
      </w:r>
    </w:p>
    <w:p w14:paraId="5AFAEE64" w14:textId="77777777" w:rsidR="00A33B13" w:rsidRPr="00A33B13" w:rsidRDefault="00A33B13" w:rsidP="00A33B13">
      <w:pPr>
        <w:spacing w:after="80" w:line="360" w:lineRule="auto"/>
        <w:jc w:val="both"/>
        <w:rPr>
          <w:rFonts w:ascii="Arial" w:hAnsi="Arial" w:cs="Arial"/>
          <w:sz w:val="24"/>
          <w:szCs w:val="24"/>
        </w:rPr>
      </w:pPr>
      <w:r w:rsidRPr="00A33B13">
        <w:rPr>
          <w:rFonts w:ascii="Arial" w:hAnsi="Arial" w:cs="Arial"/>
          <w:b/>
          <w:bCs/>
          <w:sz w:val="24"/>
          <w:szCs w:val="24"/>
        </w:rPr>
        <w:t>Component 1: Element 1 – Project Proposal</w:t>
      </w:r>
    </w:p>
    <w:p w14:paraId="67985A2D" w14:textId="6FDF10AB" w:rsidR="00A33B13" w:rsidRPr="00A33B13" w:rsidRDefault="00A33B13" w:rsidP="00A33B13">
      <w:pPr>
        <w:spacing w:after="80" w:line="360" w:lineRule="auto"/>
        <w:jc w:val="both"/>
        <w:rPr>
          <w:rFonts w:ascii="Arial" w:hAnsi="Arial" w:cs="Arial"/>
          <w:sz w:val="24"/>
          <w:szCs w:val="24"/>
        </w:rPr>
      </w:pPr>
      <w:r w:rsidRPr="00A33B13">
        <w:rPr>
          <w:rFonts w:ascii="Arial" w:hAnsi="Arial" w:cs="Arial"/>
          <w:sz w:val="24"/>
          <w:szCs w:val="24"/>
        </w:rPr>
        <w:t>Student ID:</w:t>
      </w:r>
      <w:r w:rsidR="001E2592">
        <w:rPr>
          <w:rFonts w:ascii="Arial" w:hAnsi="Arial" w:cs="Arial"/>
          <w:sz w:val="24"/>
          <w:szCs w:val="24"/>
        </w:rPr>
        <w:t xml:space="preserve"> 2324335</w:t>
      </w:r>
    </w:p>
    <w:p w14:paraId="5AC8671C" w14:textId="745756BD" w:rsidR="00A33B13" w:rsidRDefault="00A33B13" w:rsidP="00A33B13">
      <w:pPr>
        <w:spacing w:line="360" w:lineRule="auto"/>
        <w:jc w:val="both"/>
        <w:rPr>
          <w:rFonts w:ascii="Arial" w:hAnsi="Arial" w:cs="Arial"/>
          <w:sz w:val="24"/>
          <w:szCs w:val="24"/>
        </w:rPr>
      </w:pPr>
      <w:r w:rsidRPr="00A33B13">
        <w:rPr>
          <w:rFonts w:ascii="Arial" w:hAnsi="Arial" w:cs="Arial"/>
          <w:sz w:val="24"/>
          <w:szCs w:val="24"/>
        </w:rPr>
        <w:t>Student Name:</w:t>
      </w:r>
      <w:r w:rsidR="001E2592">
        <w:rPr>
          <w:rFonts w:ascii="Arial" w:hAnsi="Arial" w:cs="Arial"/>
          <w:sz w:val="24"/>
          <w:szCs w:val="24"/>
        </w:rPr>
        <w:t xml:space="preserve"> Shama Aslam</w:t>
      </w:r>
    </w:p>
    <w:p w14:paraId="17C68810" w14:textId="77777777" w:rsidR="00F5605D" w:rsidRPr="00A33B13" w:rsidRDefault="00F5605D" w:rsidP="00A33B13">
      <w:pPr>
        <w:spacing w:line="360" w:lineRule="auto"/>
        <w:jc w:val="both"/>
        <w:rPr>
          <w:rFonts w:ascii="Arial" w:hAnsi="Arial" w:cs="Arial"/>
          <w:sz w:val="24"/>
          <w:szCs w:val="24"/>
        </w:rPr>
      </w:pPr>
    </w:p>
    <w:p w14:paraId="55287330"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Element 1 – Project Proposal</w:t>
      </w:r>
    </w:p>
    <w:p w14:paraId="4AB6FF66" w14:textId="35CF52AE" w:rsidR="00A33B13" w:rsidRPr="00A33B13" w:rsidRDefault="00A33B13" w:rsidP="00A33B13">
      <w:pPr>
        <w:spacing w:line="360" w:lineRule="auto"/>
        <w:jc w:val="both"/>
        <w:rPr>
          <w:rFonts w:ascii="Arial" w:hAnsi="Arial" w:cs="Arial"/>
          <w:sz w:val="24"/>
          <w:szCs w:val="24"/>
        </w:rPr>
      </w:pPr>
      <w:r w:rsidRPr="00A33B13">
        <w:rPr>
          <w:rFonts w:ascii="Arial" w:hAnsi="Arial" w:cs="Arial"/>
          <w:b/>
          <w:bCs/>
          <w:sz w:val="24"/>
          <w:szCs w:val="24"/>
        </w:rPr>
        <w:t xml:space="preserve"> Title: </w:t>
      </w:r>
      <w:r w:rsidRPr="00A33B13">
        <w:rPr>
          <w:rFonts w:ascii="Arial" w:hAnsi="Arial" w:cs="Arial"/>
          <w:sz w:val="24"/>
          <w:szCs w:val="24"/>
        </w:rPr>
        <w:t>How did COVID-19 affect disadvantaged people and the NHS in the UK, and what can be learned to better prepare for future pandemics?</w:t>
      </w:r>
    </w:p>
    <w:p w14:paraId="7656269D" w14:textId="2D3AFADF" w:rsidR="00A33B13" w:rsidRPr="00A33B13" w:rsidRDefault="00A33B13" w:rsidP="00A33B13">
      <w:pPr>
        <w:spacing w:line="360" w:lineRule="auto"/>
        <w:jc w:val="both"/>
        <w:rPr>
          <w:rFonts w:ascii="Arial" w:hAnsi="Arial" w:cs="Arial"/>
          <w:b/>
          <w:bCs/>
          <w:sz w:val="24"/>
          <w:szCs w:val="24"/>
        </w:rPr>
      </w:pPr>
      <w:r w:rsidRPr="00A33B13">
        <w:rPr>
          <w:rFonts w:ascii="Arial" w:hAnsi="Arial" w:cs="Arial"/>
          <w:b/>
          <w:bCs/>
          <w:sz w:val="24"/>
          <w:szCs w:val="24"/>
        </w:rPr>
        <w:t>1) Aim</w:t>
      </w:r>
    </w:p>
    <w:p w14:paraId="62144B7F"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This project seeks to critically review the experience of the COVID-19 pandemic and how this has highlighted and exacerbated health inequalities in the UK and to assess the impact of policy and health responses to the pandemic to inform evidence-based recommendations for reducing health inequalities and enhancing pandemic preparedness.</w:t>
      </w:r>
    </w:p>
    <w:p w14:paraId="3FA127B8" w14:textId="77777777" w:rsidR="00A33B13" w:rsidRPr="00A33B13" w:rsidRDefault="00A33B13" w:rsidP="00A33B13">
      <w:pPr>
        <w:spacing w:line="360" w:lineRule="auto"/>
        <w:jc w:val="both"/>
        <w:rPr>
          <w:rFonts w:ascii="Arial" w:hAnsi="Arial" w:cs="Arial"/>
          <w:b/>
          <w:bCs/>
          <w:sz w:val="24"/>
          <w:szCs w:val="24"/>
        </w:rPr>
      </w:pPr>
      <w:r w:rsidRPr="00A33B13">
        <w:rPr>
          <w:rFonts w:ascii="Arial" w:hAnsi="Arial" w:cs="Arial"/>
          <w:b/>
          <w:bCs/>
          <w:sz w:val="24"/>
          <w:szCs w:val="24"/>
        </w:rPr>
        <w:t>2) Objectives</w:t>
      </w:r>
    </w:p>
    <w:p w14:paraId="247D9CDB" w14:textId="77777777" w:rsidR="00A33B13" w:rsidRPr="00A33B13" w:rsidRDefault="00A33B13" w:rsidP="00A33B13">
      <w:pPr>
        <w:pStyle w:val="ListParagraph"/>
        <w:numPr>
          <w:ilvl w:val="0"/>
          <w:numId w:val="2"/>
        </w:numPr>
        <w:spacing w:line="360" w:lineRule="auto"/>
        <w:jc w:val="both"/>
        <w:rPr>
          <w:rFonts w:ascii="Arial" w:hAnsi="Arial" w:cs="Arial"/>
          <w:sz w:val="24"/>
          <w:szCs w:val="24"/>
        </w:rPr>
      </w:pPr>
      <w:r w:rsidRPr="00A33B13">
        <w:rPr>
          <w:rFonts w:ascii="Arial" w:hAnsi="Arial" w:cs="Arial"/>
          <w:sz w:val="24"/>
          <w:szCs w:val="24"/>
        </w:rPr>
        <w:t>To define and consider the concepts of health inequality and vulnerability with regards to COVID-19 and explore the mortality and morbidity data of the UK and how vulnerable and marginalised groups, especially those in deprived socioeconomic circumstances, from Black, Asian and minority ethnic (BAME) communities, older people and people with pre-existing health conditions have been disproportionately affected.</w:t>
      </w:r>
    </w:p>
    <w:p w14:paraId="01F73D54" w14:textId="77777777" w:rsidR="00A33B13" w:rsidRPr="00A33B13" w:rsidRDefault="00A33B13" w:rsidP="00A33B13">
      <w:pPr>
        <w:pStyle w:val="ListParagraph"/>
        <w:numPr>
          <w:ilvl w:val="0"/>
          <w:numId w:val="2"/>
        </w:numPr>
        <w:spacing w:line="360" w:lineRule="auto"/>
        <w:jc w:val="both"/>
        <w:rPr>
          <w:rFonts w:ascii="Arial" w:hAnsi="Arial" w:cs="Arial"/>
          <w:sz w:val="24"/>
          <w:szCs w:val="24"/>
        </w:rPr>
      </w:pPr>
      <w:r w:rsidRPr="00A33B13">
        <w:rPr>
          <w:rFonts w:ascii="Arial" w:hAnsi="Arial" w:cs="Arial"/>
          <w:sz w:val="24"/>
          <w:szCs w:val="24"/>
        </w:rPr>
        <w:t>To look at how the NHS has been affected by COVID-19 in the short and long-term, using evidence from peer-reviewed literature and NHS datasets such as the elective care backlog, the impact upon the wellbeing of staff and the additional demand from Long COVID and mental health services.</w:t>
      </w:r>
    </w:p>
    <w:p w14:paraId="04F862BC" w14:textId="09FFE20D" w:rsidR="00A33B13" w:rsidRPr="00A33B13" w:rsidRDefault="00A33B13" w:rsidP="00A33B13">
      <w:pPr>
        <w:pStyle w:val="ListParagraph"/>
        <w:numPr>
          <w:ilvl w:val="0"/>
          <w:numId w:val="2"/>
        </w:numPr>
        <w:spacing w:line="360" w:lineRule="auto"/>
        <w:jc w:val="both"/>
        <w:rPr>
          <w:rFonts w:ascii="Arial" w:hAnsi="Arial" w:cs="Arial"/>
          <w:sz w:val="24"/>
          <w:szCs w:val="24"/>
        </w:rPr>
      </w:pPr>
      <w:r w:rsidRPr="00A33B13">
        <w:rPr>
          <w:rFonts w:ascii="Arial" w:hAnsi="Arial" w:cs="Arial"/>
          <w:sz w:val="24"/>
          <w:szCs w:val="24"/>
        </w:rPr>
        <w:t xml:space="preserve">To critically evaluate, through a process of thematic analysis, the effectiveness of the UK government's policy and public health measures in reducing health inequalities and protecting the health of the population during the pandemic, </w:t>
      </w:r>
      <w:r w:rsidRPr="00A33B13">
        <w:rPr>
          <w:rFonts w:ascii="Arial" w:hAnsi="Arial" w:cs="Arial"/>
          <w:sz w:val="24"/>
          <w:szCs w:val="24"/>
        </w:rPr>
        <w:lastRenderedPageBreak/>
        <w:t>such as lockdown measures, the vaccine rollout and the NHS COVID-19 recovery strategy.</w:t>
      </w:r>
    </w:p>
    <w:p w14:paraId="47F08803" w14:textId="77777777" w:rsidR="00A33B13" w:rsidRPr="00A33B13" w:rsidRDefault="00A33B13" w:rsidP="00A33B13">
      <w:pPr>
        <w:pStyle w:val="ListParagraph"/>
        <w:numPr>
          <w:ilvl w:val="0"/>
          <w:numId w:val="2"/>
        </w:numPr>
        <w:spacing w:line="360" w:lineRule="auto"/>
        <w:jc w:val="both"/>
        <w:rPr>
          <w:rFonts w:ascii="Arial" w:hAnsi="Arial" w:cs="Arial"/>
          <w:sz w:val="24"/>
          <w:szCs w:val="24"/>
        </w:rPr>
      </w:pPr>
      <w:r w:rsidRPr="00A33B13">
        <w:rPr>
          <w:rFonts w:ascii="Arial" w:hAnsi="Arial" w:cs="Arial"/>
          <w:sz w:val="24"/>
          <w:szCs w:val="24"/>
        </w:rPr>
        <w:t>To inform and guide the future of pandemic preparedness and recovery in the UK by making recommendations informed by evidence, including the importance of tackling structural health inequalities, improving the resilience of the NHS and improving access to health services for the most vulnerable.</w:t>
      </w:r>
    </w:p>
    <w:p w14:paraId="719EB105" w14:textId="77777777" w:rsidR="00A33B13" w:rsidRPr="00A33B13" w:rsidRDefault="00A33B13" w:rsidP="00A33B13">
      <w:pPr>
        <w:spacing w:line="360" w:lineRule="auto"/>
        <w:jc w:val="both"/>
        <w:rPr>
          <w:rFonts w:ascii="Arial" w:hAnsi="Arial" w:cs="Arial"/>
          <w:b/>
          <w:bCs/>
          <w:sz w:val="24"/>
          <w:szCs w:val="24"/>
        </w:rPr>
      </w:pPr>
      <w:r w:rsidRPr="00A33B13">
        <w:rPr>
          <w:rFonts w:ascii="Arial" w:hAnsi="Arial" w:cs="Arial"/>
          <w:b/>
          <w:bCs/>
          <w:sz w:val="24"/>
          <w:szCs w:val="24"/>
        </w:rPr>
        <w:t>3) Background / Rationale</w:t>
      </w:r>
    </w:p>
    <w:p w14:paraId="6FFA0AD8"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COVID-19 was the largest public health emergency since the start of the 1980s in the United Kingdom. By the end of the restrictions in the UK, over 200,000 people had been killed by COVID-19, and millions have suffered debilitating and ongoing symptoms weeks or months after becoming infected by COVID-19 long COVID (BMA, 2023). But the pandemic had different impacts on different people in society. COVID-19 has been a ‘</w:t>
      </w:r>
      <w:proofErr w:type="spellStart"/>
      <w:r w:rsidRPr="00A33B13">
        <w:rPr>
          <w:rFonts w:ascii="Arial" w:hAnsi="Arial" w:cs="Arial"/>
          <w:sz w:val="24"/>
          <w:szCs w:val="24"/>
        </w:rPr>
        <w:t>syndemic</w:t>
      </w:r>
      <w:proofErr w:type="spellEnd"/>
      <w:r w:rsidRPr="00A33B13">
        <w:rPr>
          <w:rFonts w:ascii="Arial" w:hAnsi="Arial" w:cs="Arial"/>
          <w:sz w:val="24"/>
          <w:szCs w:val="24"/>
        </w:rPr>
        <w:t>' as Bambra et al (2020) have demonstrated in their seminal analysis, where it interacted with and exacerbated pre-existing health inequalities that stem from deprivation, ethnicity and social disadvantage.</w:t>
      </w:r>
    </w:p>
    <w:p w14:paraId="667EEE63"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Black African, Pakistani and black Caribbean individuals had 3.5, 2.7 and 1.7 times the risk of dying compared to white British people, respectively (Wheatle, 2021). Those in the most deprived areas of England also had significantly poorer outcomes and the pandemic added to the existing socioeconomic inequalities in health that were already growing before 2020 (McGowan et al., 2022). The NHS was also facing unprecedented pressures at the same time: NHS England reported 7.5 million fewer elective referrals than in July 2020; and, the population's mental health was negatively impacted (Health Foundation, 2022). This project recognises the need to bring together and critically review the evidence on these inequalities and the policy implications, in a context of debate on how to create a more equitable and resilient health and social care system in the post-pandemic era.</w:t>
      </w:r>
    </w:p>
    <w:p w14:paraId="2E8C37CA" w14:textId="77777777" w:rsidR="00A33B13" w:rsidRPr="00A33B13" w:rsidRDefault="00A33B13" w:rsidP="00A33B13">
      <w:pPr>
        <w:spacing w:line="360" w:lineRule="auto"/>
        <w:jc w:val="both"/>
        <w:rPr>
          <w:rFonts w:ascii="Arial" w:hAnsi="Arial" w:cs="Arial"/>
          <w:b/>
          <w:bCs/>
          <w:sz w:val="24"/>
          <w:szCs w:val="24"/>
        </w:rPr>
      </w:pPr>
      <w:r w:rsidRPr="00A33B13">
        <w:rPr>
          <w:rFonts w:ascii="Arial" w:hAnsi="Arial" w:cs="Arial"/>
          <w:b/>
          <w:bCs/>
          <w:sz w:val="24"/>
          <w:szCs w:val="24"/>
        </w:rPr>
        <w:t>4) Methods</w:t>
      </w:r>
    </w:p>
    <w:p w14:paraId="54450278"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 xml:space="preserve">This project will make use of methods of secondary research including a systematic thematic analysis of literature, government reports and NHS data that have been peer reviewed. Database resources accessed include PubMed/MEDLINE, CINAHL, Google Scholar and resources from UK government (Department of Health &amp; Social Care, Office for National Statistics (ONS)) and NHS England while Policy resources </w:t>
      </w:r>
      <w:r w:rsidRPr="00A33B13">
        <w:rPr>
          <w:rFonts w:ascii="Arial" w:hAnsi="Arial" w:cs="Arial"/>
          <w:sz w:val="24"/>
          <w:szCs w:val="24"/>
        </w:rPr>
        <w:lastRenderedPageBreak/>
        <w:t>accessed are from the British Medical Association (BMA), Health Foundation and King's Fund. Examples of search terms to use when searching databases are: COVID-19 and health inequalities, NHS workforce and Long COVID, pandemic preparedness, health equity and socioeconomic deprivation and public health policy, incorporating Boolean operators (AND/OR). Sources published in English from 2020 to present, with direct relevance to the UK and from reputable health authorities or government documents and peer-reviewed journals, will be included. Exclusion criteria will include: Non-UK studies; Opinion pieces without an evidence base; Sources prior to 2020 (unless they are needed to provide essential background context). These choices will be based on their relevance to the UK context, their academic credibility and their recency. Thematic analysis will be employed to identify and draw together main patterns concerning health inequalities, impact on NHS and health policy responses. Ethical aspects are that Harvard referencing is used throughout, no signs of plagiarism and limitations and possible biases in the use of sources are critically appraised.</w:t>
      </w:r>
    </w:p>
    <w:p w14:paraId="767C975F" w14:textId="77777777" w:rsidR="00A33B13" w:rsidRPr="00A33B13" w:rsidRDefault="00A33B13" w:rsidP="00A33B13">
      <w:pPr>
        <w:spacing w:line="360" w:lineRule="auto"/>
        <w:jc w:val="both"/>
        <w:rPr>
          <w:rFonts w:ascii="Arial" w:hAnsi="Arial" w:cs="Arial"/>
          <w:b/>
          <w:bCs/>
          <w:sz w:val="24"/>
          <w:szCs w:val="24"/>
        </w:rPr>
      </w:pPr>
      <w:r w:rsidRPr="00A33B13">
        <w:rPr>
          <w:rFonts w:ascii="Arial" w:hAnsi="Arial" w:cs="Arial"/>
          <w:b/>
          <w:bCs/>
          <w:sz w:val="24"/>
          <w:szCs w:val="24"/>
        </w:rPr>
        <w:t>5) Resources</w:t>
      </w:r>
    </w:p>
    <w:p w14:paraId="24C8194A" w14:textId="77777777" w:rsidR="00A33B13" w:rsidRPr="00A33B13" w:rsidRDefault="00A33B13" w:rsidP="00A33B13">
      <w:pPr>
        <w:pStyle w:val="ListParagraph"/>
        <w:numPr>
          <w:ilvl w:val="0"/>
          <w:numId w:val="1"/>
        </w:numPr>
        <w:spacing w:line="360" w:lineRule="auto"/>
        <w:jc w:val="both"/>
        <w:rPr>
          <w:rFonts w:ascii="Arial" w:hAnsi="Arial" w:cs="Arial"/>
          <w:sz w:val="24"/>
          <w:szCs w:val="24"/>
        </w:rPr>
      </w:pPr>
      <w:r w:rsidRPr="00A33B13">
        <w:rPr>
          <w:rFonts w:ascii="Arial" w:hAnsi="Arial" w:cs="Arial"/>
          <w:sz w:val="24"/>
          <w:szCs w:val="24"/>
        </w:rPr>
        <w:t>Online academic databases: PubMed/MEDLINE, CINAHL, Google Scholar, JSTOR etc.</w:t>
      </w:r>
    </w:p>
    <w:p w14:paraId="2B7EF670" w14:textId="77777777" w:rsidR="00A33B13" w:rsidRPr="00A33B13" w:rsidRDefault="00A33B13" w:rsidP="00A33B13">
      <w:pPr>
        <w:pStyle w:val="ListParagraph"/>
        <w:numPr>
          <w:ilvl w:val="0"/>
          <w:numId w:val="1"/>
        </w:numPr>
        <w:spacing w:line="360" w:lineRule="auto"/>
        <w:jc w:val="both"/>
        <w:rPr>
          <w:rFonts w:ascii="Arial" w:hAnsi="Arial" w:cs="Arial"/>
          <w:sz w:val="24"/>
          <w:szCs w:val="24"/>
        </w:rPr>
      </w:pPr>
      <w:r w:rsidRPr="00A33B13">
        <w:rPr>
          <w:rFonts w:ascii="Arial" w:hAnsi="Arial" w:cs="Arial"/>
          <w:sz w:val="24"/>
          <w:szCs w:val="24"/>
        </w:rPr>
        <w:t>Publications and reports from the UK Government and NHS e.g. GOV.UK, NHS England, Office for National Statistics (ONS), UK Health Security Agency (UKHSA)</w:t>
      </w:r>
    </w:p>
    <w:p w14:paraId="40C0F643" w14:textId="77777777" w:rsidR="00A33B13" w:rsidRPr="00A33B13" w:rsidRDefault="00A33B13" w:rsidP="00A33B13">
      <w:pPr>
        <w:pStyle w:val="ListParagraph"/>
        <w:numPr>
          <w:ilvl w:val="0"/>
          <w:numId w:val="1"/>
        </w:numPr>
        <w:spacing w:line="360" w:lineRule="auto"/>
        <w:jc w:val="both"/>
        <w:rPr>
          <w:rFonts w:ascii="Arial" w:hAnsi="Arial" w:cs="Arial"/>
          <w:sz w:val="24"/>
          <w:szCs w:val="24"/>
        </w:rPr>
      </w:pPr>
      <w:r w:rsidRPr="00A33B13">
        <w:rPr>
          <w:rFonts w:ascii="Arial" w:hAnsi="Arial" w:cs="Arial"/>
          <w:sz w:val="24"/>
          <w:szCs w:val="24"/>
        </w:rPr>
        <w:t>Apart from the reports that are produced by the professional and research bodies, such as the Health Foundation, the King's Fund, the British Medical Association (BMA) and Nuffield Trust, there are no other reports that are of particular relevance.</w:t>
      </w:r>
    </w:p>
    <w:p w14:paraId="45B43E6F" w14:textId="77777777" w:rsidR="00A33B13" w:rsidRPr="00A33B13" w:rsidRDefault="00A33B13" w:rsidP="00A33B13">
      <w:pPr>
        <w:pStyle w:val="ListParagraph"/>
        <w:numPr>
          <w:ilvl w:val="0"/>
          <w:numId w:val="1"/>
        </w:numPr>
        <w:spacing w:line="360" w:lineRule="auto"/>
        <w:jc w:val="both"/>
        <w:rPr>
          <w:rFonts w:ascii="Arial" w:hAnsi="Arial" w:cs="Arial"/>
          <w:sz w:val="24"/>
          <w:szCs w:val="24"/>
        </w:rPr>
      </w:pPr>
      <w:r w:rsidRPr="00A33B13">
        <w:rPr>
          <w:rFonts w:ascii="Arial" w:hAnsi="Arial" w:cs="Arial"/>
          <w:sz w:val="24"/>
          <w:szCs w:val="24"/>
        </w:rPr>
        <w:t>The students use a library at the University and the reference maker on Harvard and a word processor to write documents, called Microsoft Word.</w:t>
      </w:r>
    </w:p>
    <w:p w14:paraId="2ECBF6DA" w14:textId="725640CF" w:rsidR="00A33B13" w:rsidRPr="00A33B13" w:rsidRDefault="00A33B13" w:rsidP="00A33B13">
      <w:pPr>
        <w:pStyle w:val="ListParagraph"/>
        <w:numPr>
          <w:ilvl w:val="0"/>
          <w:numId w:val="1"/>
        </w:numPr>
        <w:spacing w:line="360" w:lineRule="auto"/>
        <w:jc w:val="both"/>
        <w:rPr>
          <w:rFonts w:ascii="Arial" w:hAnsi="Arial" w:cs="Arial"/>
          <w:sz w:val="24"/>
          <w:szCs w:val="24"/>
        </w:rPr>
      </w:pPr>
      <w:r w:rsidRPr="00A33B13">
        <w:rPr>
          <w:rFonts w:ascii="Arial" w:hAnsi="Arial" w:cs="Arial"/>
          <w:sz w:val="24"/>
          <w:szCs w:val="24"/>
        </w:rPr>
        <w:t>•Support services from the University (such as lecturer support, UWTSD Library support services, Study Skills Service, and Quick Referencing Guide on Moodle)</w:t>
      </w:r>
    </w:p>
    <w:p w14:paraId="34052709" w14:textId="77777777" w:rsidR="00A33B13" w:rsidRPr="00A33B13" w:rsidRDefault="00A33B13" w:rsidP="00A33B13">
      <w:pPr>
        <w:spacing w:line="360" w:lineRule="auto"/>
        <w:jc w:val="both"/>
        <w:rPr>
          <w:rFonts w:ascii="Arial" w:hAnsi="Arial" w:cs="Arial"/>
          <w:b/>
          <w:bCs/>
          <w:sz w:val="24"/>
          <w:szCs w:val="24"/>
        </w:rPr>
      </w:pPr>
      <w:r w:rsidRPr="00A33B13">
        <w:rPr>
          <w:rFonts w:ascii="Arial" w:hAnsi="Arial" w:cs="Arial"/>
          <w:b/>
          <w:bCs/>
          <w:sz w:val="24"/>
          <w:szCs w:val="24"/>
        </w:rPr>
        <w:t>6) Timescale</w:t>
      </w:r>
    </w:p>
    <w:tbl>
      <w:tblPr>
        <w:tblStyle w:val="TableGrid"/>
        <w:tblW w:w="8640" w:type="dxa"/>
        <w:tblBorders>
          <w:top w:val="single" w:sz="4" w:space="0" w:color="2E75B6"/>
          <w:left w:val="single" w:sz="4" w:space="0" w:color="2E75B6"/>
          <w:bottom w:val="single" w:sz="4" w:space="0" w:color="2E75B6"/>
          <w:right w:val="single" w:sz="4" w:space="0" w:color="2E75B6"/>
          <w:insideH w:val="single" w:sz="4" w:space="0" w:color="AAAAAA"/>
          <w:insideV w:val="single" w:sz="4" w:space="0" w:color="2E75B6"/>
        </w:tblBorders>
        <w:tblCellMar>
          <w:top w:w="80" w:type="dxa"/>
          <w:left w:w="120" w:type="dxa"/>
          <w:bottom w:w="80" w:type="dxa"/>
          <w:right w:w="120" w:type="dxa"/>
        </w:tblCellMar>
        <w:tblLook w:val="04A0" w:firstRow="1" w:lastRow="0" w:firstColumn="1" w:lastColumn="0" w:noHBand="0" w:noVBand="1"/>
      </w:tblPr>
      <w:tblGrid>
        <w:gridCol w:w="2160"/>
        <w:gridCol w:w="6480"/>
      </w:tblGrid>
      <w:tr w:rsidR="00A33B13" w:rsidRPr="00A33B13" w14:paraId="3C499716" w14:textId="77777777" w:rsidTr="007F2F21">
        <w:trPr>
          <w:tblHeader/>
        </w:trPr>
        <w:tc>
          <w:tcPr>
            <w:tcW w:w="2160" w:type="dxa"/>
            <w:shd w:val="clear" w:color="auto" w:fill="2E75B6"/>
          </w:tcPr>
          <w:p w14:paraId="44B7503F"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b/>
                <w:color w:val="FFFFFF"/>
                <w:sz w:val="24"/>
                <w:szCs w:val="24"/>
              </w:rPr>
              <w:lastRenderedPageBreak/>
              <w:t>Timeframe</w:t>
            </w:r>
          </w:p>
        </w:tc>
        <w:tc>
          <w:tcPr>
            <w:tcW w:w="6480" w:type="dxa"/>
            <w:shd w:val="clear" w:color="auto" w:fill="2E75B6"/>
          </w:tcPr>
          <w:p w14:paraId="478E61C5"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b/>
                <w:color w:val="FFFFFF"/>
                <w:sz w:val="24"/>
                <w:szCs w:val="24"/>
              </w:rPr>
              <w:t>Activity</w:t>
            </w:r>
          </w:p>
        </w:tc>
      </w:tr>
      <w:tr w:rsidR="00A33B13" w:rsidRPr="00A33B13" w14:paraId="655C4B62" w14:textId="77777777" w:rsidTr="007F2F21">
        <w:tc>
          <w:tcPr>
            <w:tcW w:w="2160" w:type="dxa"/>
            <w:shd w:val="clear" w:color="auto" w:fill="D6E4F0"/>
          </w:tcPr>
          <w:p w14:paraId="6E35FCA2"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b/>
                <w:sz w:val="24"/>
                <w:szCs w:val="24"/>
              </w:rPr>
              <w:t>Weeks 1–2</w:t>
            </w:r>
          </w:p>
        </w:tc>
        <w:tc>
          <w:tcPr>
            <w:tcW w:w="6480" w:type="dxa"/>
          </w:tcPr>
          <w:p w14:paraId="2829C44B" w14:textId="77777777" w:rsidR="00A33B13" w:rsidRPr="00A33B13" w:rsidRDefault="00A33B13" w:rsidP="00A33B13">
            <w:pPr>
              <w:spacing w:line="360" w:lineRule="auto"/>
              <w:jc w:val="both"/>
              <w:rPr>
                <w:rFonts w:ascii="Arial" w:hAnsi="Arial" w:cs="Arial"/>
                <w:sz w:val="24"/>
                <w:szCs w:val="24"/>
              </w:rPr>
            </w:pPr>
            <w:proofErr w:type="spellStart"/>
            <w:r w:rsidRPr="00A33B13">
              <w:rPr>
                <w:rFonts w:ascii="Arial" w:hAnsi="Arial" w:cs="Arial"/>
                <w:sz w:val="24"/>
                <w:szCs w:val="24"/>
              </w:rPr>
              <w:t>Finalise</w:t>
            </w:r>
            <w:proofErr w:type="spellEnd"/>
            <w:r w:rsidRPr="00A33B13">
              <w:rPr>
                <w:rFonts w:ascii="Arial" w:hAnsi="Arial" w:cs="Arial"/>
                <w:sz w:val="24"/>
                <w:szCs w:val="24"/>
              </w:rPr>
              <w:t xml:space="preserve"> project topic, research question and Element 1 proposal; attend taught sessions and begin work on the Academic Methods Poster.</w:t>
            </w:r>
          </w:p>
        </w:tc>
      </w:tr>
      <w:tr w:rsidR="00A33B13" w:rsidRPr="00A33B13" w14:paraId="63F723D7" w14:textId="77777777" w:rsidTr="007F2F21">
        <w:tc>
          <w:tcPr>
            <w:tcW w:w="2160" w:type="dxa"/>
            <w:shd w:val="clear" w:color="auto" w:fill="EBF3FB"/>
          </w:tcPr>
          <w:p w14:paraId="20C4DC26"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b/>
                <w:sz w:val="24"/>
                <w:szCs w:val="24"/>
              </w:rPr>
              <w:t>Week 3</w:t>
            </w:r>
          </w:p>
        </w:tc>
        <w:tc>
          <w:tcPr>
            <w:tcW w:w="6480" w:type="dxa"/>
          </w:tcPr>
          <w:p w14:paraId="3B3E66B6"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Continue developing the Academic Methods Poster (started in Weeks 1–2) alongside initial literature scoping; submit poster after Element 1 in line with the module schedule.</w:t>
            </w:r>
          </w:p>
        </w:tc>
      </w:tr>
      <w:tr w:rsidR="00A33B13" w:rsidRPr="00A33B13" w14:paraId="05993E04" w14:textId="77777777" w:rsidTr="007F2F21">
        <w:tc>
          <w:tcPr>
            <w:tcW w:w="2160" w:type="dxa"/>
            <w:shd w:val="clear" w:color="auto" w:fill="D6E4F0"/>
          </w:tcPr>
          <w:p w14:paraId="1B26D323"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b/>
                <w:sz w:val="24"/>
                <w:szCs w:val="24"/>
              </w:rPr>
              <w:t>Weeks 4–5</w:t>
            </w:r>
          </w:p>
        </w:tc>
        <w:tc>
          <w:tcPr>
            <w:tcW w:w="6480" w:type="dxa"/>
          </w:tcPr>
          <w:p w14:paraId="3B7EAC00"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Conduct literature search and identify key academic and policy sources.</w:t>
            </w:r>
          </w:p>
        </w:tc>
      </w:tr>
      <w:tr w:rsidR="00A33B13" w:rsidRPr="00A33B13" w14:paraId="78A54051" w14:textId="77777777" w:rsidTr="007F2F21">
        <w:tc>
          <w:tcPr>
            <w:tcW w:w="2160" w:type="dxa"/>
            <w:shd w:val="clear" w:color="auto" w:fill="EBF3FB"/>
          </w:tcPr>
          <w:p w14:paraId="62ECD3E7"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b/>
                <w:sz w:val="24"/>
                <w:szCs w:val="24"/>
              </w:rPr>
              <w:t>Weeks 6–7</w:t>
            </w:r>
          </w:p>
        </w:tc>
        <w:tc>
          <w:tcPr>
            <w:tcW w:w="6480" w:type="dxa"/>
          </w:tcPr>
          <w:p w14:paraId="328A2474"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 xml:space="preserve">Review and critically </w:t>
            </w:r>
            <w:proofErr w:type="spellStart"/>
            <w:r w:rsidRPr="00A33B13">
              <w:rPr>
                <w:rFonts w:ascii="Arial" w:hAnsi="Arial" w:cs="Arial"/>
                <w:sz w:val="24"/>
                <w:szCs w:val="24"/>
              </w:rPr>
              <w:t>analyse</w:t>
            </w:r>
            <w:proofErr w:type="spellEnd"/>
            <w:r w:rsidRPr="00A33B13">
              <w:rPr>
                <w:rFonts w:ascii="Arial" w:hAnsi="Arial" w:cs="Arial"/>
                <w:sz w:val="24"/>
                <w:szCs w:val="24"/>
              </w:rPr>
              <w:t xml:space="preserve"> literature; develop themes.</w:t>
            </w:r>
          </w:p>
        </w:tc>
      </w:tr>
      <w:tr w:rsidR="00A33B13" w:rsidRPr="00A33B13" w14:paraId="567A4912" w14:textId="77777777" w:rsidTr="007F2F21">
        <w:tc>
          <w:tcPr>
            <w:tcW w:w="2160" w:type="dxa"/>
            <w:shd w:val="clear" w:color="auto" w:fill="D6E4F0"/>
          </w:tcPr>
          <w:p w14:paraId="76A15CE2"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b/>
                <w:sz w:val="24"/>
                <w:szCs w:val="24"/>
              </w:rPr>
              <w:t>Weeks 8–9</w:t>
            </w:r>
          </w:p>
        </w:tc>
        <w:tc>
          <w:tcPr>
            <w:tcW w:w="6480" w:type="dxa"/>
          </w:tcPr>
          <w:p w14:paraId="277534E0"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Draft Chapter 1 (Introduction) and Chapter 2 (Literature Review).</w:t>
            </w:r>
          </w:p>
        </w:tc>
      </w:tr>
      <w:tr w:rsidR="00A33B13" w:rsidRPr="00A33B13" w14:paraId="64570F0C" w14:textId="77777777" w:rsidTr="007F2F21">
        <w:tc>
          <w:tcPr>
            <w:tcW w:w="2160" w:type="dxa"/>
            <w:shd w:val="clear" w:color="auto" w:fill="EBF3FB"/>
          </w:tcPr>
          <w:p w14:paraId="2C520D42"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b/>
                <w:sz w:val="24"/>
                <w:szCs w:val="24"/>
              </w:rPr>
              <w:t>Weeks 10–11</w:t>
            </w:r>
          </w:p>
        </w:tc>
        <w:tc>
          <w:tcPr>
            <w:tcW w:w="6480" w:type="dxa"/>
          </w:tcPr>
          <w:p w14:paraId="62D36F05"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Draft Chapter 3 (Methods).</w:t>
            </w:r>
          </w:p>
        </w:tc>
      </w:tr>
      <w:tr w:rsidR="00A33B13" w:rsidRPr="00A33B13" w14:paraId="0D0EE7F4" w14:textId="77777777" w:rsidTr="007F2F21">
        <w:tc>
          <w:tcPr>
            <w:tcW w:w="2160" w:type="dxa"/>
            <w:shd w:val="clear" w:color="auto" w:fill="D6E4F0"/>
          </w:tcPr>
          <w:p w14:paraId="7AE91F57"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b/>
                <w:sz w:val="24"/>
                <w:szCs w:val="24"/>
              </w:rPr>
              <w:t>Weeks 12–13</w:t>
            </w:r>
          </w:p>
        </w:tc>
        <w:tc>
          <w:tcPr>
            <w:tcW w:w="6480" w:type="dxa"/>
          </w:tcPr>
          <w:p w14:paraId="5C644098"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Draft Chapter 4 (Results and Discussion).</w:t>
            </w:r>
          </w:p>
        </w:tc>
      </w:tr>
      <w:tr w:rsidR="00A33B13" w:rsidRPr="00A33B13" w14:paraId="1A152B8D" w14:textId="77777777" w:rsidTr="007F2F21">
        <w:tc>
          <w:tcPr>
            <w:tcW w:w="2160" w:type="dxa"/>
            <w:shd w:val="clear" w:color="auto" w:fill="EBF3FB"/>
          </w:tcPr>
          <w:p w14:paraId="0FE5423A"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b/>
                <w:sz w:val="24"/>
                <w:szCs w:val="24"/>
              </w:rPr>
              <w:t>Week 14</w:t>
            </w:r>
          </w:p>
        </w:tc>
        <w:tc>
          <w:tcPr>
            <w:tcW w:w="6480" w:type="dxa"/>
          </w:tcPr>
          <w:p w14:paraId="692A6297"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Draft Chapter 5 (Recommendations and Conclusion).</w:t>
            </w:r>
          </w:p>
        </w:tc>
      </w:tr>
      <w:tr w:rsidR="00A33B13" w:rsidRPr="00A33B13" w14:paraId="256340EC" w14:textId="77777777" w:rsidTr="007F2F21">
        <w:tc>
          <w:tcPr>
            <w:tcW w:w="2160" w:type="dxa"/>
            <w:shd w:val="clear" w:color="auto" w:fill="D6E4F0"/>
          </w:tcPr>
          <w:p w14:paraId="39347AE4"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b/>
                <w:sz w:val="24"/>
                <w:szCs w:val="24"/>
              </w:rPr>
              <w:t>Week 15</w:t>
            </w:r>
          </w:p>
        </w:tc>
        <w:tc>
          <w:tcPr>
            <w:tcW w:w="6480" w:type="dxa"/>
          </w:tcPr>
          <w:p w14:paraId="2D5B5F49"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Editing, proofreading, referencing and lecturer feedback on draft submission ahead of the assessment point.</w:t>
            </w:r>
          </w:p>
        </w:tc>
      </w:tr>
      <w:tr w:rsidR="00A33B13" w:rsidRPr="00A33B13" w14:paraId="14E59CD1" w14:textId="77777777" w:rsidTr="007F2F21">
        <w:tc>
          <w:tcPr>
            <w:tcW w:w="2160" w:type="dxa"/>
            <w:shd w:val="clear" w:color="auto" w:fill="EBF3FB"/>
          </w:tcPr>
          <w:p w14:paraId="6BBE698F"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b/>
                <w:sz w:val="24"/>
                <w:szCs w:val="24"/>
              </w:rPr>
              <w:t>Week 16</w:t>
            </w:r>
          </w:p>
        </w:tc>
        <w:tc>
          <w:tcPr>
            <w:tcW w:w="6480" w:type="dxa"/>
          </w:tcPr>
          <w:p w14:paraId="02E48C43" w14:textId="77777777" w:rsidR="00A33B13" w:rsidRPr="00A33B13" w:rsidRDefault="00A33B13" w:rsidP="00A33B13">
            <w:pPr>
              <w:spacing w:line="360" w:lineRule="auto"/>
              <w:jc w:val="both"/>
              <w:rPr>
                <w:rFonts w:ascii="Arial" w:hAnsi="Arial" w:cs="Arial"/>
                <w:sz w:val="24"/>
                <w:szCs w:val="24"/>
              </w:rPr>
            </w:pPr>
            <w:r w:rsidRPr="00A33B13">
              <w:rPr>
                <w:rFonts w:ascii="Arial" w:hAnsi="Arial" w:cs="Arial"/>
                <w:sz w:val="24"/>
                <w:szCs w:val="24"/>
              </w:rPr>
              <w:t>Final revisions and submission.</w:t>
            </w:r>
          </w:p>
        </w:tc>
      </w:tr>
    </w:tbl>
    <w:p w14:paraId="6B26C687" w14:textId="77777777" w:rsidR="00A33B13" w:rsidRPr="00A33B13" w:rsidRDefault="00A33B13" w:rsidP="00A33B13">
      <w:pPr>
        <w:spacing w:line="360" w:lineRule="auto"/>
        <w:jc w:val="both"/>
        <w:rPr>
          <w:rFonts w:ascii="Arial" w:hAnsi="Arial" w:cs="Arial"/>
          <w:sz w:val="24"/>
          <w:szCs w:val="24"/>
        </w:rPr>
      </w:pPr>
    </w:p>
    <w:p w14:paraId="499B1025" w14:textId="77777777" w:rsidR="00A33B13" w:rsidRPr="00A33B13" w:rsidRDefault="00A33B13" w:rsidP="00A33B13">
      <w:pPr>
        <w:spacing w:line="360" w:lineRule="auto"/>
        <w:jc w:val="both"/>
        <w:rPr>
          <w:rFonts w:ascii="Arial" w:hAnsi="Arial" w:cs="Arial"/>
          <w:b/>
          <w:bCs/>
          <w:sz w:val="24"/>
          <w:szCs w:val="24"/>
        </w:rPr>
      </w:pPr>
      <w:r w:rsidRPr="00A33B13">
        <w:rPr>
          <w:rFonts w:ascii="Arial" w:hAnsi="Arial" w:cs="Arial"/>
          <w:b/>
          <w:bCs/>
          <w:sz w:val="24"/>
          <w:szCs w:val="24"/>
        </w:rPr>
        <w:t>7) Self-Reflection as Researcher</w:t>
      </w:r>
    </w:p>
    <w:p w14:paraId="0752D8CF" w14:textId="0C3C2FD1" w:rsidR="00324C2F" w:rsidRDefault="00A33B13" w:rsidP="00A33B13">
      <w:pPr>
        <w:spacing w:line="360" w:lineRule="auto"/>
        <w:jc w:val="both"/>
        <w:rPr>
          <w:rFonts w:ascii="Arial" w:hAnsi="Arial" w:cs="Arial"/>
          <w:sz w:val="24"/>
          <w:szCs w:val="24"/>
        </w:rPr>
      </w:pPr>
      <w:r w:rsidRPr="00A33B13">
        <w:rPr>
          <w:rFonts w:ascii="Arial" w:hAnsi="Arial" w:cs="Arial"/>
          <w:sz w:val="24"/>
          <w:szCs w:val="24"/>
        </w:rPr>
        <w:t xml:space="preserve">The researcher is keen to conduct this research as the COVID-19 pandemic continues to be a public health issue which has a significant impact on disadvantaged communities and the NHS. The researcher has a good skill in critical reading, academic writing and synthesizing information from diverse and different sources. One constraint is the amount of literature in the field of COVID-19 and the need to identify the most relevant, yet still focus and have a clear scope for literature input. To overcome this, the researcher will document and organise the sources via source tracking tools, set up a structured reading schedule with weekly goals, and </w:t>
      </w:r>
      <w:r w:rsidRPr="00A33B13">
        <w:rPr>
          <w:rFonts w:ascii="Arial" w:hAnsi="Arial" w:cs="Arial"/>
          <w:sz w:val="24"/>
          <w:szCs w:val="24"/>
        </w:rPr>
        <w:lastRenderedPageBreak/>
        <w:t>thematically code findings as they come. Students will be expected to critically analyse the sources they use during the research process and will have to learn how to conduct thematic analysis to identify patterns and findings. The researcher will use only critically evaluated evidence from a variety of perspectives and there will be regular feedback from lecturer support which will seek to minimise bias and improve the quality of the study. This approach will help develop a comprehensive and research</w:t>
      </w:r>
      <w:r>
        <w:rPr>
          <w:rFonts w:ascii="Arial" w:hAnsi="Arial" w:cs="Arial"/>
          <w:sz w:val="24"/>
          <w:szCs w:val="24"/>
        </w:rPr>
        <w:t xml:space="preserve"> and </w:t>
      </w:r>
      <w:r w:rsidRPr="00A33B13">
        <w:rPr>
          <w:rFonts w:ascii="Arial" w:hAnsi="Arial" w:cs="Arial"/>
          <w:sz w:val="24"/>
          <w:szCs w:val="24"/>
        </w:rPr>
        <w:t>education-based project.</w:t>
      </w:r>
    </w:p>
    <w:p w14:paraId="1F2D892F" w14:textId="77777777" w:rsidR="00A33B13" w:rsidRDefault="00A33B13" w:rsidP="00A33B13">
      <w:pPr>
        <w:spacing w:line="360" w:lineRule="auto"/>
        <w:jc w:val="both"/>
        <w:rPr>
          <w:rFonts w:ascii="Arial" w:hAnsi="Arial" w:cs="Arial"/>
          <w:sz w:val="24"/>
          <w:szCs w:val="24"/>
        </w:rPr>
      </w:pPr>
    </w:p>
    <w:p w14:paraId="05A00071" w14:textId="77777777" w:rsidR="00A33B13" w:rsidRDefault="00A33B13">
      <w:pPr>
        <w:rPr>
          <w:rFonts w:ascii="Arial" w:hAnsi="Arial" w:cs="Arial"/>
          <w:b/>
          <w:sz w:val="24"/>
          <w:szCs w:val="24"/>
        </w:rPr>
      </w:pPr>
      <w:r>
        <w:rPr>
          <w:rFonts w:ascii="Arial" w:hAnsi="Arial" w:cs="Arial"/>
          <w:b/>
          <w:sz w:val="24"/>
          <w:szCs w:val="24"/>
        </w:rPr>
        <w:br w:type="page"/>
      </w:r>
    </w:p>
    <w:p w14:paraId="239A9011" w14:textId="7EFB3152" w:rsidR="00A33B13" w:rsidRPr="00580E6E" w:rsidRDefault="00A33B13" w:rsidP="00A33B13">
      <w:pPr>
        <w:spacing w:line="360" w:lineRule="auto"/>
        <w:jc w:val="both"/>
        <w:rPr>
          <w:rFonts w:ascii="Arial" w:hAnsi="Arial" w:cs="Arial"/>
          <w:b/>
          <w:sz w:val="24"/>
          <w:szCs w:val="24"/>
        </w:rPr>
      </w:pPr>
      <w:r>
        <w:rPr>
          <w:rFonts w:ascii="Arial" w:hAnsi="Arial" w:cs="Arial"/>
          <w:b/>
          <w:sz w:val="24"/>
          <w:szCs w:val="24"/>
        </w:rPr>
        <w:lastRenderedPageBreak/>
        <w:t>References</w:t>
      </w:r>
    </w:p>
    <w:p w14:paraId="7B95A60D" w14:textId="77777777" w:rsidR="00A33B13" w:rsidRPr="00580E6E" w:rsidRDefault="00A33B13" w:rsidP="00A33B13">
      <w:pPr>
        <w:spacing w:after="100" w:line="360" w:lineRule="auto"/>
        <w:ind w:left="720" w:hanging="720"/>
        <w:jc w:val="both"/>
        <w:rPr>
          <w:rFonts w:ascii="Arial" w:eastAsia="Arial" w:hAnsi="Arial" w:cs="Arial"/>
          <w:sz w:val="24"/>
          <w:szCs w:val="24"/>
          <w:lang w:eastAsia="en-GB"/>
        </w:rPr>
      </w:pPr>
      <w:r>
        <w:rPr>
          <w:rFonts w:ascii="Arial" w:eastAsia="Arial" w:hAnsi="Arial" w:cs="Arial"/>
          <w:sz w:val="24"/>
          <w:szCs w:val="24"/>
          <w:lang w:eastAsia="en-GB"/>
        </w:rPr>
        <w:t xml:space="preserve">Bambra, C., Riordan, R., Ford, J. and Matthews, F. (2020) ‘The COVID-19 pandemic and health inequalities’, Journal of Epidemiology and Community Health, 74(11), pp. 964–968. </w:t>
      </w:r>
      <w:proofErr w:type="spellStart"/>
      <w:r>
        <w:rPr>
          <w:rFonts w:ascii="Arial" w:eastAsia="Arial" w:hAnsi="Arial" w:cs="Arial"/>
          <w:sz w:val="24"/>
          <w:szCs w:val="24"/>
          <w:lang w:eastAsia="en-GB"/>
        </w:rPr>
        <w:t>doi</w:t>
      </w:r>
      <w:proofErr w:type="spellEnd"/>
      <w:r>
        <w:rPr>
          <w:rFonts w:ascii="Arial" w:eastAsia="Arial" w:hAnsi="Arial" w:cs="Arial"/>
          <w:sz w:val="24"/>
          <w:szCs w:val="24"/>
          <w:lang w:eastAsia="en-GB"/>
        </w:rPr>
        <w:t>: 10.1136/jech-2020-214401.</w:t>
      </w:r>
    </w:p>
    <w:p w14:paraId="371044AC" w14:textId="77777777" w:rsidR="00A33B13" w:rsidRPr="00580E6E" w:rsidRDefault="00A33B13" w:rsidP="00A33B13">
      <w:pPr>
        <w:spacing w:after="100" w:line="360" w:lineRule="auto"/>
        <w:ind w:left="720" w:hanging="720"/>
        <w:jc w:val="both"/>
        <w:rPr>
          <w:rFonts w:ascii="Arial" w:eastAsia="Arial" w:hAnsi="Arial" w:cs="Arial"/>
          <w:sz w:val="24"/>
          <w:szCs w:val="24"/>
          <w:lang w:eastAsia="en-GB"/>
        </w:rPr>
      </w:pPr>
      <w:r>
        <w:rPr>
          <w:rFonts w:ascii="Arial" w:eastAsia="Arial" w:hAnsi="Arial" w:cs="Arial"/>
          <w:sz w:val="24"/>
          <w:szCs w:val="24"/>
          <w:lang w:eastAsia="en-GB"/>
        </w:rPr>
        <w:t>British Medical Association (BMA) (2023) The impact of the pandemic on population health and health inequalities. London: BMA. Available at: https://www.bma.org.uk (Accessed: 22 May 2026).</w:t>
      </w:r>
    </w:p>
    <w:p w14:paraId="06274F62" w14:textId="77777777" w:rsidR="00A33B13" w:rsidRPr="00580E6E" w:rsidRDefault="00A33B13" w:rsidP="00A33B13">
      <w:pPr>
        <w:spacing w:after="100" w:line="360" w:lineRule="auto"/>
        <w:ind w:left="720" w:hanging="720"/>
        <w:jc w:val="both"/>
        <w:rPr>
          <w:rFonts w:ascii="Arial" w:eastAsia="Arial" w:hAnsi="Arial" w:cs="Arial"/>
          <w:sz w:val="24"/>
          <w:szCs w:val="24"/>
          <w:lang w:eastAsia="en-GB"/>
        </w:rPr>
      </w:pPr>
      <w:r>
        <w:rPr>
          <w:rFonts w:ascii="Arial" w:eastAsia="Arial" w:hAnsi="Arial" w:cs="Arial"/>
          <w:sz w:val="24"/>
          <w:szCs w:val="24"/>
          <w:lang w:eastAsia="en-GB"/>
        </w:rPr>
        <w:t>Health Foundation (2022) The continuing impact of COVID-19 on health and inequalities. London: Health Foundation. Available at: https://www.health.org.uk (Accessed: 22 May 2026).</w:t>
      </w:r>
    </w:p>
    <w:p w14:paraId="2D1D0E5C" w14:textId="77777777" w:rsidR="00A33B13" w:rsidRPr="00580E6E" w:rsidRDefault="00A33B13" w:rsidP="00A33B13">
      <w:pPr>
        <w:spacing w:after="100" w:line="360" w:lineRule="auto"/>
        <w:ind w:left="720" w:hanging="720"/>
        <w:jc w:val="both"/>
        <w:rPr>
          <w:rFonts w:ascii="Arial" w:eastAsia="Arial" w:hAnsi="Arial" w:cs="Arial"/>
          <w:sz w:val="24"/>
          <w:szCs w:val="24"/>
          <w:lang w:eastAsia="en-GB"/>
        </w:rPr>
      </w:pPr>
      <w:r>
        <w:rPr>
          <w:rFonts w:ascii="Arial" w:eastAsia="Arial" w:hAnsi="Arial" w:cs="Arial"/>
          <w:sz w:val="24"/>
          <w:szCs w:val="24"/>
          <w:lang w:eastAsia="en-GB"/>
        </w:rPr>
        <w:t xml:space="preserve">Marmot, M., Allen, J., Boyce, T., Goldblatt, P. and Morrison, J. (2020) Health equity in England: </w:t>
      </w:r>
      <w:proofErr w:type="gramStart"/>
      <w:r>
        <w:rPr>
          <w:rFonts w:ascii="Arial" w:eastAsia="Arial" w:hAnsi="Arial" w:cs="Arial"/>
          <w:sz w:val="24"/>
          <w:szCs w:val="24"/>
          <w:lang w:eastAsia="en-GB"/>
        </w:rPr>
        <w:t>the</w:t>
      </w:r>
      <w:proofErr w:type="gramEnd"/>
      <w:r>
        <w:rPr>
          <w:rFonts w:ascii="Arial" w:eastAsia="Arial" w:hAnsi="Arial" w:cs="Arial"/>
          <w:sz w:val="24"/>
          <w:szCs w:val="24"/>
          <w:lang w:eastAsia="en-GB"/>
        </w:rPr>
        <w:t xml:space="preserve"> Marmot Review 10 years on. London: Institute of Health Equity.</w:t>
      </w:r>
    </w:p>
    <w:p w14:paraId="4EBCBC42" w14:textId="77777777" w:rsidR="00A33B13" w:rsidRPr="00580E6E" w:rsidRDefault="00A33B13" w:rsidP="00A33B13">
      <w:pPr>
        <w:spacing w:after="100" w:line="360" w:lineRule="auto"/>
        <w:ind w:left="720" w:hanging="720"/>
        <w:jc w:val="both"/>
        <w:rPr>
          <w:rFonts w:ascii="Arial" w:eastAsia="Arial" w:hAnsi="Arial" w:cs="Arial"/>
          <w:sz w:val="24"/>
          <w:szCs w:val="24"/>
          <w:lang w:eastAsia="en-GB"/>
        </w:rPr>
      </w:pPr>
      <w:r>
        <w:rPr>
          <w:rFonts w:ascii="Arial" w:eastAsia="Arial" w:hAnsi="Arial" w:cs="Arial"/>
          <w:sz w:val="24"/>
          <w:szCs w:val="24"/>
          <w:lang w:eastAsia="en-GB"/>
        </w:rPr>
        <w:t xml:space="preserve">McGowan, V.J., Bambra, C. and Stafford, M. (2022) ‘COVID-19 mortality and deprivation: pandemic, </w:t>
      </w:r>
      <w:proofErr w:type="spellStart"/>
      <w:r>
        <w:rPr>
          <w:rFonts w:ascii="Arial" w:eastAsia="Arial" w:hAnsi="Arial" w:cs="Arial"/>
          <w:sz w:val="24"/>
          <w:szCs w:val="24"/>
          <w:lang w:eastAsia="en-GB"/>
        </w:rPr>
        <w:t>syndemic</w:t>
      </w:r>
      <w:proofErr w:type="spellEnd"/>
      <w:r>
        <w:rPr>
          <w:rFonts w:ascii="Arial" w:eastAsia="Arial" w:hAnsi="Arial" w:cs="Arial"/>
          <w:sz w:val="24"/>
          <w:szCs w:val="24"/>
          <w:lang w:eastAsia="en-GB"/>
        </w:rPr>
        <w:t xml:space="preserve">, and endemic health inequalities’, The Lancet Public Health, 7(11), pp. e966–e975. </w:t>
      </w:r>
      <w:proofErr w:type="spellStart"/>
      <w:r>
        <w:rPr>
          <w:rFonts w:ascii="Arial" w:eastAsia="Arial" w:hAnsi="Arial" w:cs="Arial"/>
          <w:sz w:val="24"/>
          <w:szCs w:val="24"/>
          <w:lang w:eastAsia="en-GB"/>
        </w:rPr>
        <w:t>doi</w:t>
      </w:r>
      <w:proofErr w:type="spellEnd"/>
      <w:r>
        <w:rPr>
          <w:rFonts w:ascii="Arial" w:eastAsia="Arial" w:hAnsi="Arial" w:cs="Arial"/>
          <w:sz w:val="24"/>
          <w:szCs w:val="24"/>
          <w:lang w:eastAsia="en-GB"/>
        </w:rPr>
        <w:t>: 10.1016/S2468-2667(22)00223-7.</w:t>
      </w:r>
    </w:p>
    <w:p w14:paraId="398F0BD7" w14:textId="77777777" w:rsidR="00A33B13" w:rsidRPr="00580E6E" w:rsidRDefault="00A33B13" w:rsidP="00A33B13">
      <w:pPr>
        <w:spacing w:after="100" w:line="360" w:lineRule="auto"/>
        <w:ind w:left="720" w:hanging="720"/>
        <w:jc w:val="both"/>
        <w:rPr>
          <w:rFonts w:ascii="Arial" w:eastAsia="Arial" w:hAnsi="Arial" w:cs="Arial"/>
          <w:sz w:val="24"/>
          <w:szCs w:val="24"/>
          <w:lang w:eastAsia="en-GB"/>
        </w:rPr>
      </w:pPr>
      <w:r>
        <w:rPr>
          <w:rFonts w:ascii="Arial" w:eastAsia="Arial" w:hAnsi="Arial" w:cs="Arial"/>
          <w:sz w:val="24"/>
          <w:szCs w:val="24"/>
          <w:lang w:eastAsia="en-GB"/>
        </w:rPr>
        <w:t xml:space="preserve">Pierce, M., McManus, S., Hope, H., </w:t>
      </w:r>
      <w:proofErr w:type="spellStart"/>
      <w:r>
        <w:rPr>
          <w:rFonts w:ascii="Arial" w:eastAsia="Arial" w:hAnsi="Arial" w:cs="Arial"/>
          <w:sz w:val="24"/>
          <w:szCs w:val="24"/>
          <w:lang w:eastAsia="en-GB"/>
        </w:rPr>
        <w:t>Hotopf</w:t>
      </w:r>
      <w:proofErr w:type="spellEnd"/>
      <w:r>
        <w:rPr>
          <w:rFonts w:ascii="Arial" w:eastAsia="Arial" w:hAnsi="Arial" w:cs="Arial"/>
          <w:sz w:val="24"/>
          <w:szCs w:val="24"/>
          <w:lang w:eastAsia="en-GB"/>
        </w:rPr>
        <w:t xml:space="preserve">, M., Ford, T., Hatch, S.L. and Abel, K.M. (2021) ‘Mental health responses to the COVID-19 pandemic: a latent class trajectory analysis using longitudinal UK data’, The Lancet Psychiatry, 8(7), pp. 610–619. </w:t>
      </w:r>
      <w:proofErr w:type="spellStart"/>
      <w:r>
        <w:rPr>
          <w:rFonts w:ascii="Arial" w:eastAsia="Arial" w:hAnsi="Arial" w:cs="Arial"/>
          <w:sz w:val="24"/>
          <w:szCs w:val="24"/>
          <w:lang w:eastAsia="en-GB"/>
        </w:rPr>
        <w:t>doi</w:t>
      </w:r>
      <w:proofErr w:type="spellEnd"/>
      <w:r>
        <w:rPr>
          <w:rFonts w:ascii="Arial" w:eastAsia="Arial" w:hAnsi="Arial" w:cs="Arial"/>
          <w:sz w:val="24"/>
          <w:szCs w:val="24"/>
          <w:lang w:eastAsia="en-GB"/>
        </w:rPr>
        <w:t>: 10.1016/S2215-0366(21)00151-6.</w:t>
      </w:r>
    </w:p>
    <w:p w14:paraId="3FC6051B" w14:textId="77777777" w:rsidR="00A33B13" w:rsidRPr="00580E6E" w:rsidRDefault="00A33B13" w:rsidP="00A33B13">
      <w:pPr>
        <w:spacing w:after="100" w:line="360" w:lineRule="auto"/>
        <w:ind w:left="720" w:hanging="720"/>
        <w:jc w:val="both"/>
        <w:rPr>
          <w:rFonts w:ascii="Arial" w:eastAsia="Arial" w:hAnsi="Arial" w:cs="Arial"/>
          <w:sz w:val="24"/>
          <w:szCs w:val="24"/>
          <w:lang w:eastAsia="en-GB"/>
        </w:rPr>
      </w:pPr>
      <w:proofErr w:type="spellStart"/>
      <w:r>
        <w:rPr>
          <w:rFonts w:ascii="Arial" w:eastAsia="Arial" w:hAnsi="Arial" w:cs="Arial"/>
          <w:sz w:val="24"/>
          <w:szCs w:val="24"/>
          <w:lang w:eastAsia="en-GB"/>
        </w:rPr>
        <w:t>Sunkersing</w:t>
      </w:r>
      <w:proofErr w:type="spellEnd"/>
      <w:r>
        <w:rPr>
          <w:rFonts w:ascii="Arial" w:eastAsia="Arial" w:hAnsi="Arial" w:cs="Arial"/>
          <w:sz w:val="24"/>
          <w:szCs w:val="24"/>
          <w:lang w:eastAsia="en-GB"/>
        </w:rPr>
        <w:t xml:space="preserve">, D., Ramasawmy, M., Alwan, N.A., Clutterbuck, D., Mu, Y. and </w:t>
      </w:r>
      <w:proofErr w:type="spellStart"/>
      <w:r>
        <w:rPr>
          <w:rFonts w:ascii="Arial" w:eastAsia="Arial" w:hAnsi="Arial" w:cs="Arial"/>
          <w:sz w:val="24"/>
          <w:szCs w:val="24"/>
          <w:lang w:eastAsia="en-GB"/>
        </w:rPr>
        <w:t>Horstmanshof</w:t>
      </w:r>
      <w:proofErr w:type="spellEnd"/>
      <w:r>
        <w:rPr>
          <w:rFonts w:ascii="Arial" w:eastAsia="Arial" w:hAnsi="Arial" w:cs="Arial"/>
          <w:sz w:val="24"/>
          <w:szCs w:val="24"/>
          <w:lang w:eastAsia="en-GB"/>
        </w:rPr>
        <w:t xml:space="preserve">, K. (2024) ‘What is current care for people with Long COVID in England? A qualitative interview study’, BMJ Open, 14(5), p. e080967. </w:t>
      </w:r>
      <w:proofErr w:type="spellStart"/>
      <w:r>
        <w:rPr>
          <w:rFonts w:ascii="Arial" w:eastAsia="Arial" w:hAnsi="Arial" w:cs="Arial"/>
          <w:sz w:val="24"/>
          <w:szCs w:val="24"/>
          <w:lang w:eastAsia="en-GB"/>
        </w:rPr>
        <w:t>doi</w:t>
      </w:r>
      <w:proofErr w:type="spellEnd"/>
      <w:r>
        <w:rPr>
          <w:rFonts w:ascii="Arial" w:eastAsia="Arial" w:hAnsi="Arial" w:cs="Arial"/>
          <w:sz w:val="24"/>
          <w:szCs w:val="24"/>
          <w:lang w:eastAsia="en-GB"/>
        </w:rPr>
        <w:t>: 10.1136/bmjopen-2023-080967.</w:t>
      </w:r>
    </w:p>
    <w:p w14:paraId="2ABEBA05" w14:textId="77777777" w:rsidR="00A33B13" w:rsidRPr="00580E6E" w:rsidRDefault="00A33B13" w:rsidP="00A33B13">
      <w:pPr>
        <w:spacing w:after="100" w:line="360" w:lineRule="auto"/>
        <w:ind w:left="720" w:hanging="720"/>
        <w:jc w:val="both"/>
        <w:rPr>
          <w:rFonts w:ascii="Arial" w:eastAsia="Arial" w:hAnsi="Arial" w:cs="Arial"/>
          <w:sz w:val="24"/>
          <w:szCs w:val="24"/>
          <w:lang w:eastAsia="en-GB"/>
        </w:rPr>
      </w:pPr>
      <w:r>
        <w:rPr>
          <w:rFonts w:ascii="Arial" w:eastAsia="Arial" w:hAnsi="Arial" w:cs="Arial"/>
          <w:sz w:val="24"/>
          <w:szCs w:val="24"/>
          <w:lang w:eastAsia="en-GB"/>
        </w:rPr>
        <w:t xml:space="preserve">Wheatle, M. (2021) ‘COVID-19 highlights health inequalities in individuals from black and minority ethnic backgrounds within the United Kingdom’, Health Promotion Perspectives, 11(2), pp. 120–122. </w:t>
      </w:r>
      <w:proofErr w:type="spellStart"/>
      <w:r>
        <w:rPr>
          <w:rFonts w:ascii="Arial" w:eastAsia="Arial" w:hAnsi="Arial" w:cs="Arial"/>
          <w:sz w:val="24"/>
          <w:szCs w:val="24"/>
          <w:lang w:eastAsia="en-GB"/>
        </w:rPr>
        <w:t>doi</w:t>
      </w:r>
      <w:proofErr w:type="spellEnd"/>
      <w:r>
        <w:rPr>
          <w:rFonts w:ascii="Arial" w:eastAsia="Arial" w:hAnsi="Arial" w:cs="Arial"/>
          <w:sz w:val="24"/>
          <w:szCs w:val="24"/>
          <w:lang w:eastAsia="en-GB"/>
        </w:rPr>
        <w:t>: 10.34172/hpp.2021.15.</w:t>
      </w:r>
    </w:p>
    <w:p w14:paraId="71F32A27" w14:textId="77777777" w:rsidR="00A33B13" w:rsidRPr="00580E6E" w:rsidRDefault="00A33B13" w:rsidP="00A33B13">
      <w:pPr>
        <w:spacing w:line="360" w:lineRule="auto"/>
        <w:jc w:val="both"/>
        <w:rPr>
          <w:rFonts w:ascii="Arial" w:hAnsi="Arial" w:cs="Arial"/>
          <w:sz w:val="24"/>
          <w:szCs w:val="24"/>
        </w:rPr>
      </w:pPr>
    </w:p>
    <w:p w14:paraId="33DF966D" w14:textId="77777777" w:rsidR="00A33B13" w:rsidRPr="00A33B13" w:rsidRDefault="00A33B13" w:rsidP="00A33B13">
      <w:pPr>
        <w:spacing w:line="360" w:lineRule="auto"/>
        <w:jc w:val="both"/>
        <w:rPr>
          <w:rFonts w:ascii="Arial" w:hAnsi="Arial" w:cs="Arial"/>
          <w:sz w:val="24"/>
          <w:szCs w:val="24"/>
        </w:rPr>
      </w:pPr>
    </w:p>
    <w:sectPr w:rsidR="00A33B13" w:rsidRPr="00A33B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FD5A06"/>
    <w:multiLevelType w:val="hybridMultilevel"/>
    <w:tmpl w:val="DF067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643BDB"/>
    <w:multiLevelType w:val="hybridMultilevel"/>
    <w:tmpl w:val="F5B4B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2616655">
    <w:abstractNumId w:val="1"/>
  </w:num>
  <w:num w:numId="2" w16cid:durableId="1738235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B13"/>
    <w:rsid w:val="001E2592"/>
    <w:rsid w:val="00324C2F"/>
    <w:rsid w:val="005B1FBB"/>
    <w:rsid w:val="00A33B13"/>
    <w:rsid w:val="00D9456C"/>
    <w:rsid w:val="00F56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920A8"/>
  <w15:chartTrackingRefBased/>
  <w15:docId w15:val="{E55E2790-026E-451C-A9A0-C0BC9D1BF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B1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33B1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33B1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3B1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3B1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3B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B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B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B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B1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33B1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33B1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33B1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33B1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33B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B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B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B13"/>
    <w:rPr>
      <w:rFonts w:eastAsiaTheme="majorEastAsia" w:cstheme="majorBidi"/>
      <w:color w:val="272727" w:themeColor="text1" w:themeTint="D8"/>
    </w:rPr>
  </w:style>
  <w:style w:type="paragraph" w:styleId="Title">
    <w:name w:val="Title"/>
    <w:basedOn w:val="Normal"/>
    <w:next w:val="Normal"/>
    <w:link w:val="TitleChar"/>
    <w:uiPriority w:val="10"/>
    <w:qFormat/>
    <w:rsid w:val="00A33B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B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B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B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B13"/>
    <w:pPr>
      <w:spacing w:before="160"/>
      <w:jc w:val="center"/>
    </w:pPr>
    <w:rPr>
      <w:i/>
      <w:iCs/>
      <w:color w:val="404040" w:themeColor="text1" w:themeTint="BF"/>
    </w:rPr>
  </w:style>
  <w:style w:type="character" w:customStyle="1" w:styleId="QuoteChar">
    <w:name w:val="Quote Char"/>
    <w:basedOn w:val="DefaultParagraphFont"/>
    <w:link w:val="Quote"/>
    <w:uiPriority w:val="29"/>
    <w:rsid w:val="00A33B13"/>
    <w:rPr>
      <w:i/>
      <w:iCs/>
      <w:color w:val="404040" w:themeColor="text1" w:themeTint="BF"/>
    </w:rPr>
  </w:style>
  <w:style w:type="paragraph" w:styleId="ListParagraph">
    <w:name w:val="List Paragraph"/>
    <w:basedOn w:val="Normal"/>
    <w:uiPriority w:val="34"/>
    <w:qFormat/>
    <w:rsid w:val="00A33B13"/>
    <w:pPr>
      <w:ind w:left="720"/>
      <w:contextualSpacing/>
    </w:pPr>
  </w:style>
  <w:style w:type="character" w:styleId="IntenseEmphasis">
    <w:name w:val="Intense Emphasis"/>
    <w:basedOn w:val="DefaultParagraphFont"/>
    <w:uiPriority w:val="21"/>
    <w:qFormat/>
    <w:rsid w:val="00A33B13"/>
    <w:rPr>
      <w:i/>
      <w:iCs/>
      <w:color w:val="2F5496" w:themeColor="accent1" w:themeShade="BF"/>
    </w:rPr>
  </w:style>
  <w:style w:type="paragraph" w:styleId="IntenseQuote">
    <w:name w:val="Intense Quote"/>
    <w:basedOn w:val="Normal"/>
    <w:next w:val="Normal"/>
    <w:link w:val="IntenseQuoteChar"/>
    <w:uiPriority w:val="30"/>
    <w:qFormat/>
    <w:rsid w:val="00A33B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3B13"/>
    <w:rPr>
      <w:i/>
      <w:iCs/>
      <w:color w:val="2F5496" w:themeColor="accent1" w:themeShade="BF"/>
    </w:rPr>
  </w:style>
  <w:style w:type="character" w:styleId="IntenseReference">
    <w:name w:val="Intense Reference"/>
    <w:basedOn w:val="DefaultParagraphFont"/>
    <w:uiPriority w:val="32"/>
    <w:qFormat/>
    <w:rsid w:val="00A33B13"/>
    <w:rPr>
      <w:b/>
      <w:bCs/>
      <w:smallCaps/>
      <w:color w:val="2F5496" w:themeColor="accent1" w:themeShade="BF"/>
      <w:spacing w:val="5"/>
    </w:rPr>
  </w:style>
  <w:style w:type="table" w:styleId="TableGrid">
    <w:name w:val="Table Grid"/>
    <w:basedOn w:val="TableNormal"/>
    <w:uiPriority w:val="59"/>
    <w:rsid w:val="00A33B13"/>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1461</Words>
  <Characters>8331</Characters>
  <Application>Microsoft Office Word</Application>
  <DocSecurity>0</DocSecurity>
  <Lines>69</Lines>
  <Paragraphs>19</Paragraphs>
  <ScaleCrop>false</ScaleCrop>
  <Company/>
  <LinksUpToDate>false</LinksUpToDate>
  <CharactersWithSpaces>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Shama Aslam (2324335)</cp:lastModifiedBy>
  <cp:revision>4</cp:revision>
  <dcterms:created xsi:type="dcterms:W3CDTF">2026-06-21T00:21:00Z</dcterms:created>
  <dcterms:modified xsi:type="dcterms:W3CDTF">2026-06-21T00:23:00Z</dcterms:modified>
</cp:coreProperties>
</file>