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90ACEB" w14:textId="4844608E" w:rsidR="00BD2C25" w:rsidRDefault="00BD2C25" w:rsidP="00BD2C25">
      <w:pPr>
        <w:spacing w:line="360" w:lineRule="auto"/>
        <w:jc w:val="center"/>
        <w:rPr>
          <w:rFonts w:ascii="Times New Roman" w:hAnsi="Times New Roman" w:cs="Times New Roman"/>
          <w:u w:val="single"/>
        </w:rPr>
      </w:pPr>
      <w:r>
        <w:rPr>
          <w:rFonts w:ascii="Times New Roman" w:hAnsi="Times New Roman" w:cs="Times New Roman"/>
          <w:u w:val="single"/>
        </w:rPr>
        <w:t>To what extent is ou</w:t>
      </w:r>
      <w:r w:rsidR="0025211A">
        <w:rPr>
          <w:rFonts w:ascii="Times New Roman" w:hAnsi="Times New Roman" w:cs="Times New Roman"/>
          <w:u w:val="single"/>
        </w:rPr>
        <w:t>r</w:t>
      </w:r>
      <w:r>
        <w:rPr>
          <w:rFonts w:ascii="Times New Roman" w:hAnsi="Times New Roman" w:cs="Times New Roman"/>
          <w:u w:val="single"/>
        </w:rPr>
        <w:t xml:space="preserve"> behaviour a product of ou</w:t>
      </w:r>
      <w:r w:rsidR="0025211A">
        <w:rPr>
          <w:rFonts w:ascii="Times New Roman" w:hAnsi="Times New Roman" w:cs="Times New Roman"/>
          <w:u w:val="single"/>
        </w:rPr>
        <w:t>r</w:t>
      </w:r>
      <w:r>
        <w:rPr>
          <w:rFonts w:ascii="Times New Roman" w:hAnsi="Times New Roman" w:cs="Times New Roman"/>
          <w:u w:val="single"/>
        </w:rPr>
        <w:t xml:space="preserve"> biology or our environment? Discuss </w:t>
      </w:r>
    </w:p>
    <w:p w14:paraId="3131484F" w14:textId="439AD64E" w:rsidR="00BD2C25" w:rsidRDefault="00BD2C25" w:rsidP="00A40FA9">
      <w:pPr>
        <w:spacing w:line="360" w:lineRule="auto"/>
        <w:jc w:val="both"/>
        <w:rPr>
          <w:rFonts w:ascii="Times New Roman" w:hAnsi="Times New Roman" w:cs="Times New Roman"/>
          <w:u w:val="single"/>
        </w:rPr>
      </w:pPr>
    </w:p>
    <w:p w14:paraId="477A4B20" w14:textId="4061589E" w:rsid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The biological approach believes that all human behaviour can be explained in term of our genetic make-up. Genes are defined as “the mechanisms and phenomena of heredity and the laws that determine inherited traits” (APA Dictionary of Psychology, 2020). Meanwhile, the behaviourist approach takes an opposing stance, suggesting that we are all born neutral, in the sense that our brain is a ‘tabula rasa’ (blank slate), and it is our environment which shapes whom we become and how we behave (Flanagan et al., 2015). Furthermore, epigenetics considers both biology and behaviourism by investigating how our environment influences our genes, especially the cell bodies which have certain responsibilities over them (Eaton-Thomas, 2020). This essay will discuss whether or not our behaviour is determined by our genetic makeup, our environment, or both. </w:t>
      </w:r>
    </w:p>
    <w:p w14:paraId="719177BE" w14:textId="77777777" w:rsidR="000D09D1" w:rsidRPr="0085439F" w:rsidRDefault="000D09D1" w:rsidP="0085439F">
      <w:pPr>
        <w:spacing w:line="360" w:lineRule="auto"/>
        <w:jc w:val="both"/>
        <w:rPr>
          <w:rFonts w:ascii="Times New Roman" w:hAnsi="Times New Roman" w:cs="Times New Roman"/>
        </w:rPr>
      </w:pPr>
    </w:p>
    <w:p w14:paraId="39A0F71F" w14:textId="74ABA5C3" w:rsid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The biological approach consists of three main assumptions, namely evolutionary influences, localisation of brain function and neurotransmitters. Each assumption provides an explanation for human behaviour, for example, evolutionary influences suggest that the human mind has evolved throughout the generations, adapting to the changes in our environment for a better chance of survival (Flanagan et al., 2015). Charles Darwin’s theory of natural selection suggested that only a small amount of each generation will survive and reproduce, and every generation will have some amount of variation which can be passed onto the next generation (Eaton-Thomas, 2020). </w:t>
      </w:r>
    </w:p>
    <w:p w14:paraId="78031FD9" w14:textId="77777777" w:rsidR="000D09D1" w:rsidRPr="0085439F" w:rsidRDefault="000D09D1" w:rsidP="0085439F">
      <w:pPr>
        <w:spacing w:line="360" w:lineRule="auto"/>
        <w:jc w:val="both"/>
        <w:rPr>
          <w:rFonts w:ascii="Times New Roman" w:hAnsi="Times New Roman" w:cs="Times New Roman"/>
        </w:rPr>
      </w:pPr>
    </w:p>
    <w:p w14:paraId="6F353AB3"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Furthermore, according to Flanagan et al., (2015), localisation of brain function is based on the various roles that different parts of the brain are responsible for, and how this determines our behaviour. This assumption encouraged a lot of research using brain imaging such as PET scans, MRI scans and fMRI scans. One example is the classic study “Brain abnormalities in murderers indicated by positron emission tomography (PET)” by Raine, Buchsbaum and LaCasse (1997). Raine et al. (1997) stated that “murderers pleading not guilty by reasons of insanity (NGRI) are thought to have brain dysfunction” therefore, they used PET scans and a continuous performance task on 41 murderers pleading NGRI, and on a control group of the same size (matched on age and gender). They found that the murderers’ brains showed reduced activity in the left side of the brain, and also in areas linked to violence, such as the prefrontal cortex and the corpus callosum (Flanagan et al., 2015). According to Flanagan, Raine et al. concluded that </w:t>
      </w:r>
      <w:r w:rsidRPr="0085439F">
        <w:rPr>
          <w:rFonts w:ascii="Times New Roman" w:hAnsi="Times New Roman" w:cs="Times New Roman"/>
        </w:rPr>
        <w:lastRenderedPageBreak/>
        <w:t>their findings suggested a connection between brain abnormalities and a “predisposition towards violence”, therefore supporting that human behaviour is determined by our biological make-up.</w:t>
      </w:r>
    </w:p>
    <w:p w14:paraId="6819C815" w14:textId="2AE9CB55" w:rsid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Moreover, the third assumption explains that neurotransmitters have a significant role to play with human emotions which, of course, has a major influence on behaviour (Flanagan et al., 2015). One example is the association between dopamine and pleasure-seeking or reward-driven behaviour such as the formation of relationships. They stated that forming relationships gives us a “natural high” or a “hit of dopamine”, which is why humans are so driven to find a partner. Nevertheless, irregular levels of neurotransmitters can majorly affect mental health, for example, low levels of serotonin – also known as the ‘happy hormone’ – are present in individuals suffering from depression, whereas high levels are associated with schizophrenia (Flanagan et al., 2015).  </w:t>
      </w:r>
    </w:p>
    <w:p w14:paraId="662A4D53" w14:textId="77777777" w:rsidR="000D09D1" w:rsidRPr="0085439F" w:rsidRDefault="000D09D1" w:rsidP="0085439F">
      <w:pPr>
        <w:spacing w:line="360" w:lineRule="auto"/>
        <w:jc w:val="both"/>
        <w:rPr>
          <w:rFonts w:ascii="Times New Roman" w:hAnsi="Times New Roman" w:cs="Times New Roman"/>
        </w:rPr>
      </w:pPr>
    </w:p>
    <w:p w14:paraId="401DAC90" w14:textId="7FE553FF" w:rsid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Flanagan et al. discussed that having irregular levels of neurotransmitters can also predispose individuals to criminal behaviour, for example, Linnoila et al., (1983, as cited in Cherek et al., 2002) stated that there is a great deal of support for the link between serotonin and human aggression and impulsivity. Cherek et al., (2002) investigated this association in their study “effects of chronic paroxetine administration on measures of aggressive and impulsive responses of adult males with a history of conduct disorder”. They studied 12 males with a history of criminal behaviour, half receiving a dose of paroxetine (SSRI anti-depressant), and the other half receiving both placebo and paroxetine. Their findings showed that the six who received paroxetine demonstrated a dramatic decrease in aggressive and impulsive behaviour over the course of the 21 days, suggesting that their criminal behaviour could have been predisposed by their genetics (Cherek et al., 2002).</w:t>
      </w:r>
    </w:p>
    <w:p w14:paraId="1BD45E97" w14:textId="77777777" w:rsidR="000D09D1" w:rsidRPr="0085439F" w:rsidRDefault="000D09D1" w:rsidP="0085439F">
      <w:pPr>
        <w:spacing w:line="360" w:lineRule="auto"/>
        <w:jc w:val="both"/>
        <w:rPr>
          <w:rFonts w:ascii="Times New Roman" w:hAnsi="Times New Roman" w:cs="Times New Roman"/>
        </w:rPr>
      </w:pPr>
    </w:p>
    <w:p w14:paraId="4D71EF79" w14:textId="0D65F606"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Other evidence which has supported the biological basis of behaviour comes from twin studies, such as the McGuffin et al. (1996) “Hospital-based twin register of the heritability of DSM-IV unipolar depression” study. They examined 177 probands who suffered from a major depressive disorder, and their </w:t>
      </w:r>
      <w:r w:rsidR="000D09D1" w:rsidRPr="0085439F">
        <w:rPr>
          <w:rFonts w:ascii="Times New Roman" w:hAnsi="Times New Roman" w:cs="Times New Roman"/>
        </w:rPr>
        <w:t>same sex</w:t>
      </w:r>
      <w:r w:rsidRPr="0085439F">
        <w:rPr>
          <w:rFonts w:ascii="Times New Roman" w:hAnsi="Times New Roman" w:cs="Times New Roman"/>
        </w:rPr>
        <w:t xml:space="preserve"> cotwins, however, the zygosity and information about the other twin were unknown to them whilst carrying out the diagnostic assessments and interviews (McGuffin et al., 1996). McGuffin et al. stated that their findings showed 46% concordance for major depression in </w:t>
      </w:r>
      <w:r w:rsidR="000D09D1">
        <w:rPr>
          <w:rFonts w:ascii="Times New Roman" w:hAnsi="Times New Roman" w:cs="Times New Roman"/>
        </w:rPr>
        <w:t xml:space="preserve">monozygotic </w:t>
      </w:r>
      <w:r w:rsidRPr="0085439F">
        <w:rPr>
          <w:rFonts w:ascii="Times New Roman" w:hAnsi="Times New Roman" w:cs="Times New Roman"/>
        </w:rPr>
        <w:t xml:space="preserve">twins, compared to 20% in </w:t>
      </w:r>
      <w:r w:rsidR="000D09D1">
        <w:rPr>
          <w:rFonts w:ascii="Times New Roman" w:hAnsi="Times New Roman" w:cs="Times New Roman"/>
        </w:rPr>
        <w:t>dizygotic</w:t>
      </w:r>
      <w:r w:rsidRPr="0085439F">
        <w:rPr>
          <w:rFonts w:ascii="Times New Roman" w:hAnsi="Times New Roman" w:cs="Times New Roman"/>
        </w:rPr>
        <w:t xml:space="preserve"> twins, and “no evidence of a sex difference in heritability or of shared environmental effects”. They found the estimates of heritability for major depression were between 48% and 75%, and </w:t>
      </w:r>
      <w:r w:rsidRPr="0085439F">
        <w:rPr>
          <w:rFonts w:ascii="Times New Roman" w:hAnsi="Times New Roman" w:cs="Times New Roman"/>
        </w:rPr>
        <w:lastRenderedPageBreak/>
        <w:t xml:space="preserve">that durations of episodes that lasted 13 months or less increased the probability of depression in the other twin (McGuffin et al., 1996). </w:t>
      </w:r>
    </w:p>
    <w:p w14:paraId="26FCC2A9" w14:textId="77777777" w:rsidR="0085439F" w:rsidRPr="0085439F" w:rsidRDefault="0085439F" w:rsidP="0085439F">
      <w:pPr>
        <w:spacing w:line="360" w:lineRule="auto"/>
        <w:jc w:val="both"/>
        <w:rPr>
          <w:rFonts w:ascii="Times New Roman" w:hAnsi="Times New Roman" w:cs="Times New Roman"/>
        </w:rPr>
      </w:pPr>
    </w:p>
    <w:p w14:paraId="49C48EBB"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They concluded that there is no evidence for a shared family environment as a causal factor for DSM-IV and major depression, but it does have a significant heritable component. McGuffin et al. added that “some proband characteristics, especially shorter duration of episodes, may be associated with a larger degree of genetic determination”. Therefore, it can be said that human behaviour is a product of biology since our hereditary can predispose us to disorders such as depression, which significantly impacts our behaviour. </w:t>
      </w:r>
    </w:p>
    <w:p w14:paraId="14A484C3" w14:textId="77777777" w:rsidR="0085439F" w:rsidRPr="0085439F" w:rsidRDefault="0085439F" w:rsidP="0085439F">
      <w:pPr>
        <w:spacing w:line="360" w:lineRule="auto"/>
        <w:jc w:val="both"/>
        <w:rPr>
          <w:rFonts w:ascii="Times New Roman" w:hAnsi="Times New Roman" w:cs="Times New Roman"/>
        </w:rPr>
      </w:pPr>
    </w:p>
    <w:p w14:paraId="0685E4BD"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One main strength of the biological approach is that it is scientific – its ideas are measurable, for example, PET and MRI scans are used to study and understand the brain, providing detailed images of its structures, and showing the areas which are active during certain tasks (Gross, 2010). The approach has successful applications to real life, such as providing therapies to treat mental and psychological disorders (Gross, 2010). The research from studying the brains of criminals has also meant that pharmacological treatments are available to criminals, which has ultimately reduced recidivism (Flanagan et al., 2015). Despite this, the approach is criticized for being reductionist since it over-simplifies the complexity of human behaviour, leading to a lack of true understanding (Flanagan et al., 2015). It focuses solely on biology as the product of human behaviour and disregards any influence that nurture may have, such as the associations we make from our environmental experiences (Gross, 2010). Lastly, Flanagan et al., (2015) stated that the approach is nomothetic since it ignores individual differences by making generalisations which apply to everyone, for example, it “assumes that everyone’s biological systems behave in the same way”.</w:t>
      </w:r>
    </w:p>
    <w:p w14:paraId="59A4ED77" w14:textId="77777777" w:rsidR="0085439F" w:rsidRPr="0085439F" w:rsidRDefault="0085439F" w:rsidP="0085439F">
      <w:pPr>
        <w:spacing w:line="360" w:lineRule="auto"/>
        <w:jc w:val="both"/>
        <w:rPr>
          <w:rFonts w:ascii="Times New Roman" w:hAnsi="Times New Roman" w:cs="Times New Roman"/>
        </w:rPr>
      </w:pPr>
    </w:p>
    <w:p w14:paraId="2736E106"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According to Flanagan, the first assumption of behaviourism is that ‘humans are born like a blank slate’, which suggests that all our behaviour is learned through social interactions and life experiences.  This idea is known as “environmental determinism” which means that the environment can pre-determine behaviours, for example, we make assumptions based on our previous experiences, and this can influence future behaviour (Flanagan et al., 2015). One theory which is based on these ideas is social learning theory (SLT) which was formed from the work of Albert Bandura (Gross, 2010).  Bandura believed that humans can learn behaviour by observing someone else’s and explained that it occurs in four-steps – attention, retention, reproduction and motivation. Attention is where the individual will notice something, and </w:t>
      </w:r>
      <w:r w:rsidRPr="0085439F">
        <w:rPr>
          <w:rFonts w:ascii="Times New Roman" w:hAnsi="Times New Roman" w:cs="Times New Roman"/>
        </w:rPr>
        <w:lastRenderedPageBreak/>
        <w:t xml:space="preserve">retention is remembering what they saw. They then reproduce whatever they had noticed and finally, they will either be reinforced or punished for their action (Eaton-Thomas, 2020). </w:t>
      </w:r>
    </w:p>
    <w:p w14:paraId="7F636124" w14:textId="77777777" w:rsidR="0085439F" w:rsidRPr="0085439F" w:rsidRDefault="0085439F" w:rsidP="0085439F">
      <w:pPr>
        <w:spacing w:line="360" w:lineRule="auto"/>
        <w:jc w:val="both"/>
        <w:rPr>
          <w:rFonts w:ascii="Times New Roman" w:hAnsi="Times New Roman" w:cs="Times New Roman"/>
        </w:rPr>
      </w:pPr>
    </w:p>
    <w:p w14:paraId="2292AA99"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Bandura demonstrated observant learning through his study “the bobo-doll experiment”, which exposed young children to aggressive and non-aggressive behaviour before analysing them for their amount of “imitative learning in a new situation” (Bandura et al., 1961).  There were three conditions in the experiment; one where the adult model played aggressively with the doll; another where the model showed non-aggressive behaviour, and a control group (Bandura et al., 1961). Bandura et al. predicted that the children who were exposed to aggressive models would reproduce their behaviour, differing to the children who were either exposed to non-aggressive behaviour or none at all. The findings supported their prediction, showing that children in the aggressive condition imitated both the physical and verbally aggressive behaviour shown by the models, while subjects in the non-aggressive condition and control group showed “virtually no imitative aggression” (Bandura et al., 1961). The children were also more likely to imitate the behaviour of same-sex models, and boys were more likely than girls to be aggressive (Gross, 2010). This experiment demonstrated that much of human behaviour is learned through our environment, and we often imitate the things or people we deem admirable, especially when we are young. </w:t>
      </w:r>
    </w:p>
    <w:p w14:paraId="6FA7879F" w14:textId="77777777" w:rsidR="0085439F" w:rsidRPr="0085439F" w:rsidRDefault="0085439F" w:rsidP="0085439F">
      <w:pPr>
        <w:spacing w:line="360" w:lineRule="auto"/>
        <w:jc w:val="both"/>
        <w:rPr>
          <w:rFonts w:ascii="Times New Roman" w:hAnsi="Times New Roman" w:cs="Times New Roman"/>
        </w:rPr>
      </w:pPr>
    </w:p>
    <w:p w14:paraId="090AC904"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Another assumption of the behaviourist approach is that behaviour is learned through conditioning (Flanagan et al., 2015). According to Flanagan et al., there are two forms of conditioning, namely classical conditioning (behaviours are learned via association) and operant conditioning (behaviours are learned through reinforcement). Classical conditioning was formed based on two investigations - Watson’s (1903) ‘Law of Exercise’ which suggested that associations can be made between a stimulus and response by “repeating the two together often enough”, and Pavlov’s (1903) investigation into the conditioning of reflexes as responses to new stimuli (Hayes, 1994, p. 846). </w:t>
      </w:r>
    </w:p>
    <w:p w14:paraId="7DCE4171" w14:textId="77777777" w:rsidR="0085439F" w:rsidRPr="0085439F" w:rsidRDefault="0085439F" w:rsidP="0085439F">
      <w:pPr>
        <w:spacing w:line="360" w:lineRule="auto"/>
        <w:jc w:val="both"/>
        <w:rPr>
          <w:rFonts w:ascii="Times New Roman" w:hAnsi="Times New Roman" w:cs="Times New Roman"/>
        </w:rPr>
      </w:pPr>
    </w:p>
    <w:p w14:paraId="6CB18595"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Hayes (1994) discussed how Pavlov’s (1903) experiment demonstrated that he could condition dogs to salivate at the sound of a bell. Since the dog’s natural response to the presence of food (unconditioned stimulus) was to salivate (unconditioned response), Pavlov decided to pair the food with the sound of a bell (neutral stimulus). After some time, the dogs would begin to salivate when they heard the sound of a bell because they had formed the association between a bell and food. This meant that after conditioning, the neutral stimulus (sound of a bell) became the conditioned stimulus, and salivation became the </w:t>
      </w:r>
      <w:r w:rsidRPr="0085439F">
        <w:rPr>
          <w:rFonts w:ascii="Times New Roman" w:hAnsi="Times New Roman" w:cs="Times New Roman"/>
        </w:rPr>
        <w:lastRenderedPageBreak/>
        <w:t xml:space="preserve">conditioned response (Hayes, 1994). Moreover, Pavlov discovered that the response was generalisable to other stimuli, for example, it is possible to train animals to “discriminate between similar stimuli if one was reinforced by being present with food while the other was not”. </w:t>
      </w:r>
    </w:p>
    <w:p w14:paraId="715E96F1" w14:textId="77777777" w:rsidR="0085439F" w:rsidRPr="0085439F" w:rsidRDefault="0085439F" w:rsidP="0085439F">
      <w:pPr>
        <w:spacing w:line="360" w:lineRule="auto"/>
        <w:jc w:val="both"/>
        <w:rPr>
          <w:rFonts w:ascii="Times New Roman" w:hAnsi="Times New Roman" w:cs="Times New Roman"/>
        </w:rPr>
      </w:pPr>
    </w:p>
    <w:p w14:paraId="54D19875"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Even though Pavlov’s classical conditioning study focused on animals rather than humans, there are many examples of classical conditioning in everyday life. According to Flanagan et al. (2015), humans tend to like people that they share pleasant experiences with and even those whom they associate with a pleasant experience. For example, it is said that if we meet new people when we are feeling happy, there is a much higher chance of us liking them, compared to if we met them when we were feeling unhappy (Flanagan et al., 2015). Furthermore, if we combine these ideas with the findings from Pavlov’s experiment, and other conditioning studies such as “Little Albert” (Watson &amp; Rayner 1920) and Skinner’s (1948) rat experiment, it would be clear to say that much of human behaviour can be explained by the associations we make with stimuli in our environment, and how we react to the reinforcement we obtain from various behaviours.</w:t>
      </w:r>
    </w:p>
    <w:p w14:paraId="07D2928E" w14:textId="77777777" w:rsidR="0085439F" w:rsidRPr="0085439F" w:rsidRDefault="0085439F" w:rsidP="0085439F">
      <w:pPr>
        <w:spacing w:line="360" w:lineRule="auto"/>
        <w:jc w:val="both"/>
        <w:rPr>
          <w:rFonts w:ascii="Times New Roman" w:hAnsi="Times New Roman" w:cs="Times New Roman"/>
        </w:rPr>
      </w:pPr>
    </w:p>
    <w:p w14:paraId="344D0117"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Overall, behaviourism has been very useful, even within modern psychology since it still relies on the ideas proposed by Watson (Eaton-Thomas, 2020). Flanagan et al. (2015) stated that a major strength is that it is scientific since it only studies observable and measurable behaviour. This is significant since using scientific method enables psychologists to “analyse, quantify and compare behaviour”, and turn their theories into facts (Flanagan et al., 2015). Another strength is that the ideas of behaviourism have been successfully applied to the real world. For example, the ideas regarding classical conditioning have been able to form therapies such as systematic desensitisation, which aims to help people overcome their phobias, and aversion therapy for addictions (Flanagan et al., 2015). Nevertheless, the approach is deemed as deterministic and reductionist since it does not accept ideas concerning free will, and it disregards the complexity of human behaviour, for example, it ignores that our emotions have an impact on our behaviour (Eaton-Thomas, 2020). In addition to this, it fails to acknowledge evidence from the biological approach which shows that some of our behaviour is caused by innate factors, such as genetics, and has also been criticized for generalising results from non-human animal studies to human behaviour (Eaton-Thomas, 2020). </w:t>
      </w:r>
    </w:p>
    <w:p w14:paraId="092FAF58" w14:textId="77777777" w:rsidR="0085439F" w:rsidRPr="0085439F" w:rsidRDefault="0085439F" w:rsidP="0085439F">
      <w:pPr>
        <w:spacing w:line="360" w:lineRule="auto"/>
        <w:jc w:val="both"/>
        <w:rPr>
          <w:rFonts w:ascii="Times New Roman" w:hAnsi="Times New Roman" w:cs="Times New Roman"/>
        </w:rPr>
      </w:pPr>
    </w:p>
    <w:p w14:paraId="05666A3C"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lastRenderedPageBreak/>
        <w:t xml:space="preserve">Moreover, an area of scientific research which considers elements of both nature and nature is epigenetics. While genetics demonstrates how our DNA is transferred from one generation to another, epigenetics considers the role of gene expression by looking at our phenotypes, or in other words, our behaviours, and shows that environmental experiences can influence our genes (Harvard University, n.d.). During childhood development, our DNA gathers chemical marks, namely, epigenomes, which decide how much of each gene is expressed, and these can be rearranged by certain life experiences. McKie (2013, as cited in Gross, 2020), stated that monozygotic twins who inherit the same genome can “develop different epigenomes which then produce different phenotypes”, explaining why identical twins can demonstrate very different behaviours.   </w:t>
      </w:r>
    </w:p>
    <w:p w14:paraId="45063A2B" w14:textId="77777777" w:rsidR="0085439F" w:rsidRPr="0085439F" w:rsidRDefault="0085439F" w:rsidP="0085439F">
      <w:pPr>
        <w:spacing w:line="360" w:lineRule="auto"/>
        <w:jc w:val="both"/>
        <w:rPr>
          <w:rFonts w:ascii="Times New Roman" w:hAnsi="Times New Roman" w:cs="Times New Roman"/>
        </w:rPr>
      </w:pPr>
    </w:p>
    <w:p w14:paraId="1AF24A35"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Methylation is a “key environmental process involved in epigenetics” (Gross, 2020). According to Gross, methyl is a chemical in our cells which attaches to DNA and can control a gene’s activity, potentially preventing it from creating a particular version of a protein. He stated that numerous life events such as ageing, illnesses, drugs and alcohol consumption can impact the levels of DNA methylation in the body (Gross, 2020). Furthermore, according to Eaton-Thomas (2020), when a pregnant woman experiences stress, anxiety, malnutrition, etc. the stress response can impact the developing child via DNA methylation. The stress on the foetus will impact the mother’s epigenetics and thus, the expression of her genes.  The effects from this can ultimately lead to neurobehavioral outcomes in adulthood such as antisocial behaviour, schizophrenia, autism, anxiety and depression, or even cognitive outcomes like impaired attention, lower intelligence or dementia (Eaton-Thomas, 2020). </w:t>
      </w:r>
    </w:p>
    <w:p w14:paraId="5C158AC6" w14:textId="77777777" w:rsidR="0085439F" w:rsidRPr="0085439F" w:rsidRDefault="0085439F" w:rsidP="0085439F">
      <w:pPr>
        <w:spacing w:line="360" w:lineRule="auto"/>
        <w:jc w:val="both"/>
        <w:rPr>
          <w:rFonts w:ascii="Times New Roman" w:hAnsi="Times New Roman" w:cs="Times New Roman"/>
        </w:rPr>
      </w:pPr>
    </w:p>
    <w:p w14:paraId="4179BE9F"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Furthermore, Gross (2020) stated that differences found in methylation are now being associated with the differences in behaviour. Pilcher (2013, as cited in Gross, 2020) provided the examples of two twins - one being a “danger-defying journalist” and the other an office manager. He stated that there were differences discovered in a gene associated with stress and anxiety, however, Gross (2020) added that because the evidence was merely correlational, it left the possibility that methylation differences were not the cause, but the result of their opposing occupations. He then stated that most epigenetic variability is caused by a wide variety of both post-natal and prenatal environmental factors. </w:t>
      </w:r>
    </w:p>
    <w:p w14:paraId="7692BACA" w14:textId="77777777" w:rsidR="0085439F" w:rsidRPr="0085439F" w:rsidRDefault="0085439F" w:rsidP="0085439F">
      <w:pPr>
        <w:spacing w:line="360" w:lineRule="auto"/>
        <w:jc w:val="both"/>
        <w:rPr>
          <w:rFonts w:ascii="Times New Roman" w:hAnsi="Times New Roman" w:cs="Times New Roman"/>
        </w:rPr>
      </w:pPr>
    </w:p>
    <w:p w14:paraId="299C0B5F" w14:textId="7614E033" w:rsidR="0041161E"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In conclusion, while biology views that genetics are at the heart of human behaviour, behaviourism states that it is our environment which shapes us. However, both of these theories have been disproven by </w:t>
      </w:r>
      <w:r w:rsidRPr="0085439F">
        <w:rPr>
          <w:rFonts w:ascii="Times New Roman" w:hAnsi="Times New Roman" w:cs="Times New Roman"/>
        </w:rPr>
        <w:lastRenderedPageBreak/>
        <w:t>research which provides evidence that demonstrates it is often, if not always, both genetic and environmental factors which cause human behaviour. This is highlighted by epigenetics which demonstrates how environmental factors can alter our genes, which is often seen when comparing the behaviours of identical twins. Furthermore, as Ceci and Williams (1999, as cited in Gross, 2020) once stated, the influences that biology has on human development aren’t always genetic. For example, sometimes, factors of the intrauterine environment can have an impact, however, these are often mistaken as genetics.  In other words, biology is not necessarily genetics, since the environment can also refer to biological influences, as well as social and cultural ones. Overall, it can be said that nature and nurture are beginning to come together in explaining human behaviour, rather than attempting this independently.</w:t>
      </w:r>
    </w:p>
    <w:p w14:paraId="5E8F6234" w14:textId="3DB75ECD" w:rsidR="008A7F7E" w:rsidRDefault="008A7F7E" w:rsidP="00BD2C25">
      <w:pPr>
        <w:spacing w:line="360" w:lineRule="auto"/>
        <w:jc w:val="both"/>
        <w:rPr>
          <w:rFonts w:ascii="Times New Roman" w:hAnsi="Times New Roman" w:cs="Times New Roman"/>
        </w:rPr>
      </w:pPr>
    </w:p>
    <w:p w14:paraId="3EBCA641" w14:textId="6642E5E6" w:rsidR="008A7F7E" w:rsidRDefault="008A7F7E" w:rsidP="00BD2C25">
      <w:pPr>
        <w:spacing w:line="360" w:lineRule="auto"/>
        <w:jc w:val="both"/>
        <w:rPr>
          <w:rFonts w:ascii="Times New Roman" w:hAnsi="Times New Roman" w:cs="Times New Roman"/>
        </w:rPr>
      </w:pPr>
    </w:p>
    <w:p w14:paraId="2F7AA40A" w14:textId="0EF3D44D" w:rsidR="008A7F7E" w:rsidRDefault="008A7F7E" w:rsidP="00BD2C25">
      <w:pPr>
        <w:spacing w:line="360" w:lineRule="auto"/>
        <w:jc w:val="both"/>
        <w:rPr>
          <w:rFonts w:ascii="Times New Roman" w:hAnsi="Times New Roman" w:cs="Times New Roman"/>
        </w:rPr>
      </w:pPr>
    </w:p>
    <w:p w14:paraId="3B243815" w14:textId="77885A9D" w:rsidR="008A7F7E" w:rsidRDefault="008A7F7E" w:rsidP="00BD2C25">
      <w:pPr>
        <w:spacing w:line="360" w:lineRule="auto"/>
        <w:jc w:val="both"/>
        <w:rPr>
          <w:rFonts w:ascii="Times New Roman" w:hAnsi="Times New Roman" w:cs="Times New Roman"/>
        </w:rPr>
      </w:pPr>
    </w:p>
    <w:p w14:paraId="450922D5" w14:textId="0A8A3181" w:rsidR="008A7F7E" w:rsidRDefault="008A7F7E" w:rsidP="00BD2C25">
      <w:pPr>
        <w:spacing w:line="360" w:lineRule="auto"/>
        <w:jc w:val="both"/>
        <w:rPr>
          <w:rFonts w:ascii="Times New Roman" w:hAnsi="Times New Roman" w:cs="Times New Roman"/>
        </w:rPr>
      </w:pPr>
    </w:p>
    <w:p w14:paraId="7299D975" w14:textId="1338552B" w:rsidR="008A7F7E" w:rsidRDefault="008A7F7E" w:rsidP="00BD2C25">
      <w:pPr>
        <w:spacing w:line="360" w:lineRule="auto"/>
        <w:jc w:val="both"/>
        <w:rPr>
          <w:rFonts w:ascii="Times New Roman" w:hAnsi="Times New Roman" w:cs="Times New Roman"/>
        </w:rPr>
      </w:pPr>
    </w:p>
    <w:p w14:paraId="7328093E" w14:textId="61F77952" w:rsidR="008A7F7E" w:rsidRDefault="008A7F7E" w:rsidP="00BD2C25">
      <w:pPr>
        <w:spacing w:line="360" w:lineRule="auto"/>
        <w:jc w:val="both"/>
        <w:rPr>
          <w:rFonts w:ascii="Times New Roman" w:hAnsi="Times New Roman" w:cs="Times New Roman"/>
        </w:rPr>
      </w:pPr>
    </w:p>
    <w:p w14:paraId="6DF62AE8" w14:textId="17D90A9B" w:rsidR="008A7F7E" w:rsidRDefault="008A7F7E" w:rsidP="00BD2C25">
      <w:pPr>
        <w:spacing w:line="360" w:lineRule="auto"/>
        <w:jc w:val="both"/>
        <w:rPr>
          <w:rFonts w:ascii="Times New Roman" w:hAnsi="Times New Roman" w:cs="Times New Roman"/>
        </w:rPr>
      </w:pPr>
    </w:p>
    <w:p w14:paraId="7C78ADC1" w14:textId="3CAEAFF6" w:rsidR="008A7F7E" w:rsidRDefault="008A7F7E" w:rsidP="00BD2C25">
      <w:pPr>
        <w:spacing w:line="360" w:lineRule="auto"/>
        <w:jc w:val="both"/>
        <w:rPr>
          <w:rFonts w:ascii="Times New Roman" w:hAnsi="Times New Roman" w:cs="Times New Roman"/>
        </w:rPr>
      </w:pPr>
    </w:p>
    <w:p w14:paraId="14A14B1C" w14:textId="0ACB2361" w:rsidR="008A7F7E" w:rsidRDefault="008A7F7E" w:rsidP="00BD2C25">
      <w:pPr>
        <w:spacing w:line="360" w:lineRule="auto"/>
        <w:jc w:val="both"/>
        <w:rPr>
          <w:rFonts w:ascii="Times New Roman" w:hAnsi="Times New Roman" w:cs="Times New Roman"/>
        </w:rPr>
      </w:pPr>
    </w:p>
    <w:p w14:paraId="2E18E82D" w14:textId="0C8FD912" w:rsidR="008A7F7E" w:rsidRDefault="008A7F7E" w:rsidP="00BD2C25">
      <w:pPr>
        <w:spacing w:line="360" w:lineRule="auto"/>
        <w:jc w:val="both"/>
        <w:rPr>
          <w:rFonts w:ascii="Times New Roman" w:hAnsi="Times New Roman" w:cs="Times New Roman"/>
        </w:rPr>
      </w:pPr>
    </w:p>
    <w:p w14:paraId="05874F66" w14:textId="32FDB6F3" w:rsidR="008A7F7E" w:rsidRDefault="008A7F7E" w:rsidP="00BD2C25">
      <w:pPr>
        <w:spacing w:line="360" w:lineRule="auto"/>
        <w:jc w:val="both"/>
        <w:rPr>
          <w:rFonts w:ascii="Times New Roman" w:hAnsi="Times New Roman" w:cs="Times New Roman"/>
        </w:rPr>
      </w:pPr>
    </w:p>
    <w:p w14:paraId="4A605946" w14:textId="6D4DB9D4" w:rsidR="008A7F7E" w:rsidRDefault="008A7F7E" w:rsidP="00BD2C25">
      <w:pPr>
        <w:spacing w:line="360" w:lineRule="auto"/>
        <w:jc w:val="both"/>
        <w:rPr>
          <w:rFonts w:ascii="Times New Roman" w:hAnsi="Times New Roman" w:cs="Times New Roman"/>
        </w:rPr>
      </w:pPr>
    </w:p>
    <w:p w14:paraId="59DEED54" w14:textId="58439E55" w:rsidR="008A7F7E" w:rsidRDefault="008A7F7E" w:rsidP="00BD2C25">
      <w:pPr>
        <w:spacing w:line="360" w:lineRule="auto"/>
        <w:jc w:val="both"/>
        <w:rPr>
          <w:rFonts w:ascii="Times New Roman" w:hAnsi="Times New Roman" w:cs="Times New Roman"/>
        </w:rPr>
      </w:pPr>
    </w:p>
    <w:p w14:paraId="351E1585" w14:textId="5E2C65B5" w:rsidR="008A7F7E" w:rsidRDefault="008A7F7E" w:rsidP="00BD2C25">
      <w:pPr>
        <w:spacing w:line="360" w:lineRule="auto"/>
        <w:jc w:val="both"/>
        <w:rPr>
          <w:rFonts w:ascii="Times New Roman" w:hAnsi="Times New Roman" w:cs="Times New Roman"/>
        </w:rPr>
      </w:pPr>
    </w:p>
    <w:p w14:paraId="6846BB26" w14:textId="7C869E4E" w:rsidR="008A7F7E" w:rsidRDefault="008A7F7E" w:rsidP="00BD2C25">
      <w:pPr>
        <w:spacing w:line="360" w:lineRule="auto"/>
        <w:jc w:val="both"/>
        <w:rPr>
          <w:rFonts w:ascii="Times New Roman" w:hAnsi="Times New Roman" w:cs="Times New Roman"/>
        </w:rPr>
      </w:pPr>
    </w:p>
    <w:p w14:paraId="5374200E" w14:textId="28FE8D88" w:rsidR="008A7F7E" w:rsidRDefault="008A7F7E" w:rsidP="00BD2C25">
      <w:pPr>
        <w:spacing w:line="360" w:lineRule="auto"/>
        <w:jc w:val="both"/>
        <w:rPr>
          <w:rFonts w:ascii="Times New Roman" w:hAnsi="Times New Roman" w:cs="Times New Roman"/>
        </w:rPr>
      </w:pPr>
    </w:p>
    <w:p w14:paraId="48886915" w14:textId="343419D4" w:rsidR="008A7F7E" w:rsidRDefault="008A7F7E" w:rsidP="00BD2C25">
      <w:pPr>
        <w:spacing w:line="360" w:lineRule="auto"/>
        <w:jc w:val="both"/>
        <w:rPr>
          <w:rFonts w:ascii="Times New Roman" w:hAnsi="Times New Roman" w:cs="Times New Roman"/>
        </w:rPr>
      </w:pPr>
    </w:p>
    <w:p w14:paraId="4DCFB3A1" w14:textId="342B0A9F" w:rsidR="008A7F7E" w:rsidRDefault="008A7F7E" w:rsidP="00BD2C25">
      <w:pPr>
        <w:spacing w:line="360" w:lineRule="auto"/>
        <w:jc w:val="both"/>
        <w:rPr>
          <w:rFonts w:ascii="Times New Roman" w:hAnsi="Times New Roman" w:cs="Times New Roman"/>
        </w:rPr>
      </w:pPr>
    </w:p>
    <w:p w14:paraId="72433526" w14:textId="175AE646" w:rsidR="008A7F7E" w:rsidRDefault="008A7F7E" w:rsidP="00BD2C25">
      <w:pPr>
        <w:spacing w:line="360" w:lineRule="auto"/>
        <w:jc w:val="both"/>
        <w:rPr>
          <w:rFonts w:ascii="Times New Roman" w:hAnsi="Times New Roman" w:cs="Times New Roman"/>
        </w:rPr>
      </w:pPr>
    </w:p>
    <w:p w14:paraId="1540BB76" w14:textId="6F6461E6" w:rsidR="008A7F7E" w:rsidRDefault="008A7F7E" w:rsidP="00BD2C25">
      <w:pPr>
        <w:spacing w:line="360" w:lineRule="auto"/>
        <w:jc w:val="both"/>
        <w:rPr>
          <w:rFonts w:ascii="Times New Roman" w:hAnsi="Times New Roman" w:cs="Times New Roman"/>
        </w:rPr>
      </w:pPr>
    </w:p>
    <w:p w14:paraId="790CB20E" w14:textId="7717CCE0" w:rsidR="008A7F7E" w:rsidRDefault="008A7F7E" w:rsidP="00BD2C25">
      <w:pPr>
        <w:spacing w:line="360" w:lineRule="auto"/>
        <w:jc w:val="both"/>
        <w:rPr>
          <w:rFonts w:ascii="Times New Roman" w:hAnsi="Times New Roman" w:cs="Times New Roman"/>
        </w:rPr>
      </w:pPr>
    </w:p>
    <w:p w14:paraId="038229D7" w14:textId="782197DD" w:rsidR="00521536" w:rsidRPr="00E93F66" w:rsidRDefault="00521536" w:rsidP="00BD2C25">
      <w:pPr>
        <w:spacing w:line="360" w:lineRule="auto"/>
        <w:jc w:val="both"/>
        <w:rPr>
          <w:rFonts w:ascii="Times New Roman" w:hAnsi="Times New Roman" w:cs="Times New Roman"/>
        </w:rPr>
      </w:pPr>
      <w:r>
        <w:rPr>
          <w:rFonts w:ascii="Times New Roman" w:hAnsi="Times New Roman" w:cs="Times New Roman"/>
          <w:u w:val="single"/>
        </w:rPr>
        <w:lastRenderedPageBreak/>
        <w:t>References:</w:t>
      </w:r>
    </w:p>
    <w:p w14:paraId="6A2F3FCB" w14:textId="77777777" w:rsidR="003E76D8" w:rsidRPr="000A6364" w:rsidRDefault="003E76D8" w:rsidP="000A6364">
      <w:pPr>
        <w:spacing w:line="360" w:lineRule="auto"/>
        <w:rPr>
          <w:rFonts w:ascii="Times New Roman" w:hAnsi="Times New Roman" w:cs="Times New Roman"/>
          <w:u w:val="single"/>
        </w:rPr>
      </w:pPr>
    </w:p>
    <w:p w14:paraId="7AAF0023" w14:textId="37155D60" w:rsidR="00246438" w:rsidRPr="000A6364" w:rsidRDefault="003E76D8" w:rsidP="000A6364">
      <w:pPr>
        <w:spacing w:line="360" w:lineRule="auto"/>
        <w:rPr>
          <w:rStyle w:val="Hyperlink"/>
          <w:rFonts w:ascii="Times New Roman" w:hAnsi="Times New Roman" w:cs="Times New Roman"/>
        </w:rPr>
      </w:pPr>
      <w:r w:rsidRPr="000A6364">
        <w:rPr>
          <w:rStyle w:val="Hyperlink"/>
          <w:rFonts w:ascii="Times New Roman" w:hAnsi="Times New Roman" w:cs="Times New Roman"/>
          <w:color w:val="000000" w:themeColor="text1"/>
          <w:u w:val="none"/>
        </w:rPr>
        <w:t xml:space="preserve">APA Dictionary of Psychology. (2020).  </w:t>
      </w:r>
      <w:hyperlink r:id="rId6" w:history="1">
        <w:r w:rsidRPr="000A6364">
          <w:rPr>
            <w:rStyle w:val="Hyperlink"/>
            <w:rFonts w:ascii="Times New Roman" w:hAnsi="Times New Roman" w:cs="Times New Roman"/>
          </w:rPr>
          <w:t>https://dictionary.apa.org</w:t>
        </w:r>
      </w:hyperlink>
    </w:p>
    <w:p w14:paraId="49AC081D" w14:textId="0DB35813" w:rsidR="00553771" w:rsidRPr="000A6364" w:rsidRDefault="00553771" w:rsidP="000A6364">
      <w:pPr>
        <w:spacing w:line="360" w:lineRule="auto"/>
        <w:rPr>
          <w:rStyle w:val="Hyperlink"/>
          <w:rFonts w:ascii="Times New Roman" w:hAnsi="Times New Roman" w:cs="Times New Roman"/>
          <w:color w:val="000000" w:themeColor="text1"/>
          <w:u w:val="none"/>
        </w:rPr>
      </w:pPr>
      <w:r w:rsidRPr="000A6364">
        <w:rPr>
          <w:rStyle w:val="Hyperlink"/>
          <w:rFonts w:ascii="Times New Roman" w:hAnsi="Times New Roman" w:cs="Times New Roman"/>
          <w:color w:val="000000" w:themeColor="text1"/>
          <w:u w:val="none"/>
        </w:rPr>
        <w:t xml:space="preserve">Bandura, A., Ross, D., &amp; Ross, A, S. </w:t>
      </w:r>
      <w:r w:rsidR="00D94B4E" w:rsidRPr="000A6364">
        <w:rPr>
          <w:rStyle w:val="Hyperlink"/>
          <w:rFonts w:ascii="Times New Roman" w:hAnsi="Times New Roman" w:cs="Times New Roman"/>
          <w:color w:val="000000" w:themeColor="text1"/>
          <w:u w:val="none"/>
        </w:rPr>
        <w:t xml:space="preserve">(1961). Transmission of aggression through imitation of aggressive models. </w:t>
      </w:r>
      <w:r w:rsidR="00D94B4E" w:rsidRPr="000A6364">
        <w:rPr>
          <w:rStyle w:val="Hyperlink"/>
          <w:rFonts w:ascii="Times New Roman" w:hAnsi="Times New Roman" w:cs="Times New Roman"/>
          <w:i/>
          <w:iCs/>
          <w:color w:val="000000" w:themeColor="text1"/>
          <w:u w:val="none"/>
        </w:rPr>
        <w:t>Journal of abnormal and social psychology, 63</w:t>
      </w:r>
      <w:r w:rsidR="00D94B4E" w:rsidRPr="000A6364">
        <w:rPr>
          <w:rStyle w:val="Hyperlink"/>
          <w:rFonts w:ascii="Times New Roman" w:hAnsi="Times New Roman" w:cs="Times New Roman"/>
          <w:color w:val="000000" w:themeColor="text1"/>
          <w:u w:val="none"/>
        </w:rPr>
        <w:t xml:space="preserve">(3), 575-582. </w:t>
      </w:r>
      <w:hyperlink r:id="rId7" w:history="1">
        <w:r w:rsidR="00D94B4E" w:rsidRPr="000A6364">
          <w:rPr>
            <w:rStyle w:val="Hyperlink"/>
            <w:rFonts w:ascii="Times New Roman" w:hAnsi="Times New Roman" w:cs="Times New Roman"/>
          </w:rPr>
          <w:t>https://pdfs.semanticscholar.org/3706/7acd33ad2ba2ed384baada06e7d74b800399.pdf</w:t>
        </w:r>
      </w:hyperlink>
    </w:p>
    <w:p w14:paraId="6CF67C71" w14:textId="2E931B8D" w:rsidR="00246438" w:rsidRPr="000A6364" w:rsidRDefault="00246438" w:rsidP="000A6364">
      <w:pPr>
        <w:spacing w:line="360" w:lineRule="auto"/>
        <w:rPr>
          <w:rStyle w:val="Hyperlink"/>
          <w:rFonts w:ascii="Times New Roman" w:eastAsia="Times New Roman" w:hAnsi="Times New Roman" w:cs="Times New Roman"/>
          <w:color w:val="000000" w:themeColor="text1"/>
          <w:u w:val="none"/>
          <w:shd w:val="clear" w:color="auto" w:fill="FCFCFC"/>
          <w:lang w:eastAsia="en-GB"/>
        </w:rPr>
      </w:pPr>
      <w:r w:rsidRPr="000A6364">
        <w:rPr>
          <w:rStyle w:val="Hyperlink"/>
          <w:rFonts w:ascii="Times New Roman" w:hAnsi="Times New Roman" w:cs="Times New Roman"/>
          <w:color w:val="000000" w:themeColor="text1"/>
          <w:u w:val="none"/>
        </w:rPr>
        <w:t xml:space="preserve">Cherek, R, D., Lane, D, S., Pietras, J, C., &amp; Steinberg, L, J. (2001). </w:t>
      </w:r>
      <w:r w:rsidRPr="000A6364">
        <w:rPr>
          <w:rFonts w:ascii="Times New Roman" w:hAnsi="Times New Roman" w:cs="Times New Roman"/>
        </w:rPr>
        <w:t xml:space="preserve">Effects of chronic paroxetine administration on measures of aggressive and impulsive responses of adult males with a history of conduct disorder. </w:t>
      </w:r>
      <w:r w:rsidRPr="000A6364">
        <w:rPr>
          <w:rFonts w:ascii="Times New Roman" w:hAnsi="Times New Roman" w:cs="Times New Roman"/>
          <w:i/>
          <w:iCs/>
        </w:rPr>
        <w:t xml:space="preserve">Psychopharmacology </w:t>
      </w:r>
      <w:r w:rsidRPr="000A6364">
        <w:rPr>
          <w:rFonts w:ascii="Times New Roman" w:hAnsi="Times New Roman" w:cs="Times New Roman"/>
        </w:rPr>
        <w:t xml:space="preserve">159, 266-274. </w:t>
      </w:r>
      <w:hyperlink r:id="rId8" w:history="1">
        <w:r w:rsidRPr="000A6364">
          <w:rPr>
            <w:rStyle w:val="Hyperlink"/>
            <w:rFonts w:ascii="Times New Roman" w:eastAsia="Times New Roman" w:hAnsi="Times New Roman" w:cs="Times New Roman"/>
            <w:shd w:val="clear" w:color="auto" w:fill="FCFCFC"/>
            <w:lang w:eastAsia="en-GB"/>
          </w:rPr>
          <w:t>https://doi.org/10.1007/s002130100915</w:t>
        </w:r>
      </w:hyperlink>
    </w:p>
    <w:p w14:paraId="604A24E0" w14:textId="77777777" w:rsidR="00942BF9" w:rsidRPr="000A6364" w:rsidRDefault="003E76D8" w:rsidP="000A6364">
      <w:pPr>
        <w:spacing w:line="360" w:lineRule="auto"/>
        <w:rPr>
          <w:rFonts w:ascii="Times New Roman" w:hAnsi="Times New Roman" w:cs="Times New Roman"/>
        </w:rPr>
      </w:pPr>
      <w:r w:rsidRPr="000A6364">
        <w:rPr>
          <w:rFonts w:ascii="Times New Roman" w:hAnsi="Times New Roman" w:cs="Times New Roman"/>
        </w:rPr>
        <w:t xml:space="preserve">Eaton-Thomas, K. (2020). Lecture 2: the biological approach. [PowerPoint slides]. </w:t>
      </w:r>
    </w:p>
    <w:p w14:paraId="79285402" w14:textId="2068F156" w:rsidR="003E76D8" w:rsidRPr="000A6364" w:rsidRDefault="00EB44CD" w:rsidP="000A6364">
      <w:pPr>
        <w:spacing w:line="360" w:lineRule="auto"/>
        <w:rPr>
          <w:rStyle w:val="Hyperlink"/>
          <w:rFonts w:ascii="Times New Roman" w:hAnsi="Times New Roman" w:cs="Times New Roman"/>
        </w:rPr>
      </w:pPr>
      <w:hyperlink r:id="rId9" w:history="1">
        <w:r w:rsidR="00942BF9" w:rsidRPr="000A6364">
          <w:rPr>
            <w:rStyle w:val="Hyperlink"/>
            <w:rFonts w:ascii="Times New Roman" w:hAnsi="Times New Roman" w:cs="Times New Roman"/>
          </w:rPr>
          <w:t>https://moodle.uwtsd.ac.uk/mod/folder/view.php?id=288487</w:t>
        </w:r>
      </w:hyperlink>
    </w:p>
    <w:p w14:paraId="74FF2630" w14:textId="3DB6A58F" w:rsidR="00942BF9" w:rsidRPr="000A6364" w:rsidRDefault="00942BF9" w:rsidP="000A6364">
      <w:pPr>
        <w:spacing w:line="360" w:lineRule="auto"/>
        <w:rPr>
          <w:rFonts w:ascii="Times New Roman" w:hAnsi="Times New Roman" w:cs="Times New Roman"/>
          <w:color w:val="000000" w:themeColor="text1"/>
        </w:rPr>
      </w:pPr>
      <w:r w:rsidRPr="000A6364">
        <w:rPr>
          <w:rStyle w:val="Hyperlink"/>
          <w:rFonts w:ascii="Times New Roman" w:hAnsi="Times New Roman" w:cs="Times New Roman"/>
          <w:color w:val="000000" w:themeColor="text1"/>
          <w:u w:val="none"/>
        </w:rPr>
        <w:t>Eaton-Thomas, K. (2020). Lecture 4: the behaviourist approach. [PowerPoint slides]</w:t>
      </w:r>
      <w:r w:rsidR="00716EC1" w:rsidRPr="000A6364">
        <w:rPr>
          <w:rStyle w:val="Hyperlink"/>
          <w:rFonts w:ascii="Times New Roman" w:hAnsi="Times New Roman" w:cs="Times New Roman"/>
          <w:color w:val="000000" w:themeColor="text1"/>
          <w:u w:val="none"/>
        </w:rPr>
        <w:t>.</w:t>
      </w:r>
    </w:p>
    <w:p w14:paraId="132179EE" w14:textId="1B844D1E" w:rsidR="003E76D8" w:rsidRPr="000A6364" w:rsidRDefault="003E76D8" w:rsidP="000A6364">
      <w:pPr>
        <w:spacing w:line="360" w:lineRule="auto"/>
        <w:rPr>
          <w:rFonts w:ascii="Times New Roman" w:hAnsi="Times New Roman" w:cs="Times New Roman"/>
        </w:rPr>
      </w:pPr>
      <w:r w:rsidRPr="000A6364">
        <w:rPr>
          <w:rFonts w:ascii="Times New Roman" w:hAnsi="Times New Roman" w:cs="Times New Roman"/>
        </w:rPr>
        <w:t xml:space="preserve">Flanagan, C., Hartnoll, L., Murray, R., &amp; Hill, J. (2015). </w:t>
      </w:r>
      <w:r w:rsidRPr="000A6364">
        <w:rPr>
          <w:rFonts w:ascii="Times New Roman" w:hAnsi="Times New Roman" w:cs="Times New Roman"/>
          <w:i/>
          <w:iCs/>
        </w:rPr>
        <w:t>Psychology AS. Oxford University Press.</w:t>
      </w:r>
      <w:r w:rsidRPr="000A6364">
        <w:rPr>
          <w:rFonts w:ascii="Times New Roman" w:hAnsi="Times New Roman" w:cs="Times New Roman"/>
        </w:rPr>
        <w:t xml:space="preserve"> </w:t>
      </w:r>
    </w:p>
    <w:p w14:paraId="3D8F2575" w14:textId="2F417193" w:rsidR="00F77961" w:rsidRPr="000A6364" w:rsidRDefault="00F77961" w:rsidP="000A6364">
      <w:pPr>
        <w:spacing w:line="360" w:lineRule="auto"/>
        <w:rPr>
          <w:rFonts w:ascii="Times New Roman" w:hAnsi="Times New Roman" w:cs="Times New Roman"/>
        </w:rPr>
      </w:pPr>
      <w:r w:rsidRPr="000A6364">
        <w:rPr>
          <w:rFonts w:ascii="Times New Roman" w:hAnsi="Times New Roman" w:cs="Times New Roman"/>
        </w:rPr>
        <w:t xml:space="preserve">Gross, R. </w:t>
      </w:r>
      <w:r w:rsidR="00A16A21" w:rsidRPr="000A6364">
        <w:rPr>
          <w:rFonts w:ascii="Times New Roman" w:hAnsi="Times New Roman" w:cs="Times New Roman"/>
        </w:rPr>
        <w:t xml:space="preserve">(2010). </w:t>
      </w:r>
      <w:r w:rsidR="0028492A" w:rsidRPr="000A6364">
        <w:rPr>
          <w:rFonts w:ascii="Times New Roman" w:hAnsi="Times New Roman" w:cs="Times New Roman"/>
          <w:i/>
          <w:iCs/>
        </w:rPr>
        <w:t>P</w:t>
      </w:r>
      <w:r w:rsidRPr="000A6364">
        <w:rPr>
          <w:rFonts w:ascii="Times New Roman" w:hAnsi="Times New Roman" w:cs="Times New Roman"/>
          <w:i/>
          <w:iCs/>
        </w:rPr>
        <w:t xml:space="preserve">sychology:  the science of mind and behaviour </w:t>
      </w:r>
      <w:r w:rsidRPr="000A6364">
        <w:rPr>
          <w:rFonts w:ascii="Times New Roman" w:hAnsi="Times New Roman" w:cs="Times New Roman"/>
        </w:rPr>
        <w:t>(6</w:t>
      </w:r>
      <w:r w:rsidRPr="000A6364">
        <w:rPr>
          <w:rFonts w:ascii="Times New Roman" w:hAnsi="Times New Roman" w:cs="Times New Roman"/>
          <w:vertAlign w:val="superscript"/>
        </w:rPr>
        <w:t>th</w:t>
      </w:r>
      <w:r w:rsidRPr="000A6364">
        <w:rPr>
          <w:rFonts w:ascii="Times New Roman" w:hAnsi="Times New Roman" w:cs="Times New Roman"/>
        </w:rPr>
        <w:t xml:space="preserve"> ed</w:t>
      </w:r>
      <w:r w:rsidR="00A16A21" w:rsidRPr="000A6364">
        <w:rPr>
          <w:rFonts w:ascii="Times New Roman" w:hAnsi="Times New Roman" w:cs="Times New Roman"/>
        </w:rPr>
        <w:t>). Hodder Education.</w:t>
      </w:r>
    </w:p>
    <w:p w14:paraId="1E434370" w14:textId="77777777" w:rsidR="000A6364" w:rsidRDefault="0028492A" w:rsidP="000A6364">
      <w:pPr>
        <w:spacing w:line="360" w:lineRule="auto"/>
        <w:rPr>
          <w:rFonts w:ascii="Times New Roman" w:hAnsi="Times New Roman" w:cs="Times New Roman"/>
        </w:rPr>
      </w:pPr>
      <w:r w:rsidRPr="000A6364">
        <w:rPr>
          <w:rFonts w:ascii="Times New Roman" w:hAnsi="Times New Roman" w:cs="Times New Roman"/>
        </w:rPr>
        <w:t xml:space="preserve">Gross, R. (2020). </w:t>
      </w:r>
      <w:r w:rsidRPr="000A6364">
        <w:rPr>
          <w:rFonts w:ascii="Times New Roman" w:hAnsi="Times New Roman" w:cs="Times New Roman"/>
          <w:i/>
          <w:iCs/>
        </w:rPr>
        <w:t xml:space="preserve">Psychology: the science of mind and behaviour </w:t>
      </w:r>
      <w:r w:rsidRPr="000A6364">
        <w:rPr>
          <w:rFonts w:ascii="Times New Roman" w:hAnsi="Times New Roman" w:cs="Times New Roman"/>
        </w:rPr>
        <w:t>(8</w:t>
      </w:r>
      <w:r w:rsidRPr="000A6364">
        <w:rPr>
          <w:rFonts w:ascii="Times New Roman" w:hAnsi="Times New Roman" w:cs="Times New Roman"/>
          <w:vertAlign w:val="superscript"/>
        </w:rPr>
        <w:t>th</w:t>
      </w:r>
      <w:r w:rsidRPr="000A6364">
        <w:rPr>
          <w:rFonts w:ascii="Times New Roman" w:hAnsi="Times New Roman" w:cs="Times New Roman"/>
        </w:rPr>
        <w:t xml:space="preserve"> ed). Hodder Education. </w:t>
      </w:r>
    </w:p>
    <w:p w14:paraId="156CE7D4" w14:textId="4919518C" w:rsidR="000A6364" w:rsidRPr="000A6364" w:rsidRDefault="000A6364" w:rsidP="000A6364">
      <w:pPr>
        <w:spacing w:line="360" w:lineRule="auto"/>
        <w:rPr>
          <w:rFonts w:ascii="Times New Roman" w:hAnsi="Times New Roman" w:cs="Times New Roman"/>
        </w:rPr>
      </w:pPr>
      <w:r w:rsidRPr="000A6364">
        <w:rPr>
          <w:rFonts w:ascii="Times New Roman" w:hAnsi="Times New Roman" w:cs="Times New Roman"/>
          <w:color w:val="000000" w:themeColor="text1"/>
        </w:rPr>
        <w:t>Harvard University. (</w:t>
      </w:r>
      <w:r>
        <w:rPr>
          <w:rFonts w:ascii="Times New Roman" w:hAnsi="Times New Roman" w:cs="Times New Roman"/>
          <w:color w:val="000000" w:themeColor="text1"/>
        </w:rPr>
        <w:t>n.d.</w:t>
      </w:r>
      <w:r w:rsidRPr="000A6364">
        <w:rPr>
          <w:rFonts w:ascii="Times New Roman" w:hAnsi="Times New Roman" w:cs="Times New Roman"/>
          <w:color w:val="000000" w:themeColor="text1"/>
        </w:rPr>
        <w:t xml:space="preserve">) </w:t>
      </w:r>
      <w:r w:rsidRPr="000A6364">
        <w:rPr>
          <w:rFonts w:ascii="Times New Roman" w:hAnsi="Times New Roman" w:cs="Times New Roman"/>
          <w:i/>
          <w:iCs/>
          <w:color w:val="000000" w:themeColor="text1"/>
        </w:rPr>
        <w:t xml:space="preserve">Epigenetics and child development: how children’s experiences affect their Genes. </w:t>
      </w:r>
      <w:hyperlink r:id="rId10" w:history="1">
        <w:r w:rsidRPr="000A6364">
          <w:rPr>
            <w:rStyle w:val="Hyperlink"/>
            <w:rFonts w:ascii="Times New Roman" w:hAnsi="Times New Roman" w:cs="Times New Roman"/>
          </w:rPr>
          <w:t>https://developingchild.harvard.edu/resources/what-is-epigenetics-and-how-does-it-relate-to-child-development/</w:t>
        </w:r>
      </w:hyperlink>
    </w:p>
    <w:p w14:paraId="76E8C084" w14:textId="71A0344C" w:rsidR="00E334E9" w:rsidRPr="000A6364" w:rsidRDefault="00E334E9" w:rsidP="000A6364">
      <w:pPr>
        <w:spacing w:line="360" w:lineRule="auto"/>
        <w:rPr>
          <w:rFonts w:ascii="Times New Roman" w:hAnsi="Times New Roman" w:cs="Times New Roman"/>
        </w:rPr>
      </w:pPr>
      <w:r w:rsidRPr="000A6364">
        <w:rPr>
          <w:rFonts w:ascii="Times New Roman" w:hAnsi="Times New Roman" w:cs="Times New Roman"/>
        </w:rPr>
        <w:t xml:space="preserve">Hayes, N. (1994). </w:t>
      </w:r>
      <w:r w:rsidRPr="000A6364">
        <w:rPr>
          <w:rFonts w:ascii="Times New Roman" w:hAnsi="Times New Roman" w:cs="Times New Roman"/>
          <w:i/>
          <w:iCs/>
        </w:rPr>
        <w:t xml:space="preserve">Foundations of psychology: an introductory text. </w:t>
      </w:r>
      <w:r w:rsidRPr="000A6364">
        <w:rPr>
          <w:rFonts w:ascii="Times New Roman" w:hAnsi="Times New Roman" w:cs="Times New Roman"/>
        </w:rPr>
        <w:t xml:space="preserve">Routledge. </w:t>
      </w:r>
    </w:p>
    <w:p w14:paraId="744CFB39" w14:textId="484EB6B0" w:rsidR="00E334E9" w:rsidRPr="000A6364" w:rsidRDefault="00B22F06" w:rsidP="000A6364">
      <w:pPr>
        <w:spacing w:line="360" w:lineRule="auto"/>
        <w:rPr>
          <w:rFonts w:ascii="Times New Roman" w:hAnsi="Times New Roman" w:cs="Times New Roman"/>
          <w:color w:val="0000FF"/>
          <w:u w:val="single"/>
        </w:rPr>
      </w:pPr>
      <w:r w:rsidRPr="000A6364">
        <w:rPr>
          <w:rFonts w:ascii="Times New Roman" w:hAnsi="Times New Roman" w:cs="Times New Roman"/>
        </w:rPr>
        <w:t xml:space="preserve">McGuffin, P., Katz, R., Watkins, S. (1996). A hospital-based twin register of the heritability of DSM-IV unipolar depression. </w:t>
      </w:r>
      <w:r w:rsidRPr="000A6364">
        <w:rPr>
          <w:rFonts w:ascii="Times New Roman" w:hAnsi="Times New Roman" w:cs="Times New Roman"/>
          <w:i/>
          <w:iCs/>
        </w:rPr>
        <w:t>Arch gen psychiatry, 53</w:t>
      </w:r>
      <w:r w:rsidRPr="000A6364">
        <w:rPr>
          <w:rFonts w:ascii="Times New Roman" w:hAnsi="Times New Roman" w:cs="Times New Roman"/>
        </w:rPr>
        <w:t xml:space="preserve">(2), 129-136. </w:t>
      </w:r>
      <w:hyperlink r:id="rId11" w:history="1">
        <w:r w:rsidRPr="000A6364">
          <w:rPr>
            <w:rStyle w:val="Hyperlink"/>
            <w:rFonts w:ascii="Times New Roman" w:hAnsi="Times New Roman" w:cs="Times New Roman"/>
          </w:rPr>
          <w:t>https://jamanetwork.com/journals/jamapsychiatry/article-abstract/497534</w:t>
        </w:r>
      </w:hyperlink>
    </w:p>
    <w:p w14:paraId="2333EC8F" w14:textId="1F80D69E" w:rsidR="004D7D39" w:rsidRPr="000A6364" w:rsidRDefault="004D7D39" w:rsidP="000A6364">
      <w:pPr>
        <w:spacing w:line="360" w:lineRule="auto"/>
        <w:rPr>
          <w:rFonts w:ascii="Times New Roman" w:hAnsi="Times New Roman" w:cs="Times New Roman"/>
        </w:rPr>
      </w:pPr>
      <w:r w:rsidRPr="000A6364">
        <w:rPr>
          <w:rFonts w:ascii="Times New Roman" w:hAnsi="Times New Roman" w:cs="Times New Roman"/>
        </w:rPr>
        <w:t>Raine, A., Buchsbaum, M., &amp; LaCasse, L. (1997). Brain abnormalities in murderers indicated by positron emission tomography.</w:t>
      </w:r>
      <w:r w:rsidR="0088591D" w:rsidRPr="000A6364">
        <w:rPr>
          <w:rFonts w:ascii="Times New Roman" w:hAnsi="Times New Roman" w:cs="Times New Roman"/>
          <w:i/>
          <w:iCs/>
        </w:rPr>
        <w:t xml:space="preserve"> Biological psychiatry,</w:t>
      </w:r>
      <w:r w:rsidRPr="000A6364">
        <w:rPr>
          <w:rFonts w:ascii="Times New Roman" w:hAnsi="Times New Roman" w:cs="Times New Roman"/>
        </w:rPr>
        <w:t xml:space="preserve"> </w:t>
      </w:r>
      <w:r w:rsidRPr="000A6364">
        <w:rPr>
          <w:rFonts w:ascii="Times New Roman" w:hAnsi="Times New Roman" w:cs="Times New Roman"/>
          <w:i/>
          <w:iCs/>
        </w:rPr>
        <w:t>42</w:t>
      </w:r>
      <w:r w:rsidRPr="000A6364">
        <w:rPr>
          <w:rFonts w:ascii="Times New Roman" w:hAnsi="Times New Roman" w:cs="Times New Roman"/>
        </w:rPr>
        <w:t xml:space="preserve">(6), 495-508. </w:t>
      </w:r>
      <w:hyperlink r:id="rId12" w:history="1">
        <w:r w:rsidR="0088591D" w:rsidRPr="000A6364">
          <w:rPr>
            <w:rStyle w:val="Hyperlink"/>
            <w:rFonts w:ascii="Times New Roman" w:hAnsi="Times New Roman" w:cs="Times New Roman"/>
          </w:rPr>
          <w:t>https://doi.org/10.1016/S0006-3223(96)00362-9</w:t>
        </w:r>
      </w:hyperlink>
    </w:p>
    <w:p w14:paraId="6FE5FA9A" w14:textId="77777777" w:rsidR="00814E33" w:rsidRPr="00814E33" w:rsidRDefault="00814E33" w:rsidP="000A6364"/>
    <w:p w14:paraId="0F17828E" w14:textId="13F8464C" w:rsidR="0088591D" w:rsidRDefault="0088591D" w:rsidP="0088591D">
      <w:pPr>
        <w:spacing w:line="360" w:lineRule="auto"/>
      </w:pPr>
    </w:p>
    <w:p w14:paraId="7ED103CD" w14:textId="3EE64741" w:rsidR="0088591D" w:rsidRDefault="0088591D" w:rsidP="0088591D">
      <w:pPr>
        <w:spacing w:line="360" w:lineRule="auto"/>
      </w:pPr>
    </w:p>
    <w:p w14:paraId="0ED5C3E4" w14:textId="39C8BF92" w:rsidR="0088591D" w:rsidRDefault="0088591D" w:rsidP="0088591D">
      <w:pPr>
        <w:spacing w:line="360" w:lineRule="auto"/>
      </w:pPr>
    </w:p>
    <w:p w14:paraId="656A114A" w14:textId="77777777" w:rsidR="0088591D" w:rsidRDefault="0088591D" w:rsidP="0088591D">
      <w:pPr>
        <w:spacing w:line="360" w:lineRule="auto"/>
      </w:pPr>
    </w:p>
    <w:p w14:paraId="75218F82" w14:textId="0EB0CA0B" w:rsidR="004D7D39" w:rsidRPr="00521536" w:rsidRDefault="004D7D39" w:rsidP="00BD2C25">
      <w:pPr>
        <w:spacing w:line="360" w:lineRule="auto"/>
        <w:jc w:val="both"/>
        <w:rPr>
          <w:rFonts w:ascii="Times New Roman" w:hAnsi="Times New Roman" w:cs="Times New Roman"/>
        </w:rPr>
      </w:pPr>
    </w:p>
    <w:sectPr w:rsidR="004D7D39" w:rsidRPr="00521536" w:rsidSect="00BD2C25">
      <w:headerReference w:type="even" r:id="rId13"/>
      <w:headerReference w:type="default" r:id="rId14"/>
      <w:pgSz w:w="12240" w:h="15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CEE193" w14:textId="77777777" w:rsidR="00EB44CD" w:rsidRDefault="00EB44CD" w:rsidP="0041161E">
      <w:r>
        <w:separator/>
      </w:r>
    </w:p>
  </w:endnote>
  <w:endnote w:type="continuationSeparator" w:id="0">
    <w:p w14:paraId="7F9FE5A1" w14:textId="77777777" w:rsidR="00EB44CD" w:rsidRDefault="00EB44CD" w:rsidP="004116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1ACE57" w14:textId="77777777" w:rsidR="00EB44CD" w:rsidRDefault="00EB44CD" w:rsidP="0041161E">
      <w:r>
        <w:separator/>
      </w:r>
    </w:p>
  </w:footnote>
  <w:footnote w:type="continuationSeparator" w:id="0">
    <w:p w14:paraId="504E4AA4" w14:textId="77777777" w:rsidR="00EB44CD" w:rsidRDefault="00EB44CD" w:rsidP="004116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252604"/>
      <w:docPartObj>
        <w:docPartGallery w:val="Page Numbers (Top of Page)"/>
        <w:docPartUnique/>
      </w:docPartObj>
    </w:sdtPr>
    <w:sdtEndPr>
      <w:rPr>
        <w:rStyle w:val="PageNumber"/>
      </w:rPr>
    </w:sdtEndPr>
    <w:sdtContent>
      <w:p w14:paraId="38856D1E" w14:textId="373F12C4" w:rsidR="0041161E" w:rsidRDefault="0041161E" w:rsidP="00CB18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9CC6DA" w14:textId="77777777" w:rsidR="0041161E" w:rsidRDefault="0041161E" w:rsidP="0041161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2570324"/>
      <w:docPartObj>
        <w:docPartGallery w:val="Page Numbers (Top of Page)"/>
        <w:docPartUnique/>
      </w:docPartObj>
    </w:sdtPr>
    <w:sdtEndPr>
      <w:rPr>
        <w:rStyle w:val="PageNumber"/>
      </w:rPr>
    </w:sdtEndPr>
    <w:sdtContent>
      <w:p w14:paraId="0EF17CDB" w14:textId="6EEF7F7E" w:rsidR="0041161E" w:rsidRDefault="0041161E" w:rsidP="00CB18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7DB765" w14:textId="77777777" w:rsidR="0041161E" w:rsidRDefault="0041161E" w:rsidP="0041161E">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C25"/>
    <w:rsid w:val="00012268"/>
    <w:rsid w:val="0005679D"/>
    <w:rsid w:val="000665EA"/>
    <w:rsid w:val="00066BED"/>
    <w:rsid w:val="00073A80"/>
    <w:rsid w:val="000A6364"/>
    <w:rsid w:val="000B2EFC"/>
    <w:rsid w:val="000C4ADC"/>
    <w:rsid w:val="000D09D1"/>
    <w:rsid w:val="000D2DD4"/>
    <w:rsid w:val="000D7092"/>
    <w:rsid w:val="000E0F63"/>
    <w:rsid w:val="00104B71"/>
    <w:rsid w:val="00130469"/>
    <w:rsid w:val="00132828"/>
    <w:rsid w:val="00167A26"/>
    <w:rsid w:val="00194DCE"/>
    <w:rsid w:val="001A0956"/>
    <w:rsid w:val="001B174D"/>
    <w:rsid w:val="001C0306"/>
    <w:rsid w:val="00206659"/>
    <w:rsid w:val="00210A67"/>
    <w:rsid w:val="002224CE"/>
    <w:rsid w:val="0022756B"/>
    <w:rsid w:val="00246438"/>
    <w:rsid w:val="0025211A"/>
    <w:rsid w:val="0027047F"/>
    <w:rsid w:val="002711BA"/>
    <w:rsid w:val="002754C3"/>
    <w:rsid w:val="0028492A"/>
    <w:rsid w:val="002C279F"/>
    <w:rsid w:val="002D56BF"/>
    <w:rsid w:val="002F72F6"/>
    <w:rsid w:val="00320589"/>
    <w:rsid w:val="003632C7"/>
    <w:rsid w:val="003770E6"/>
    <w:rsid w:val="0038291A"/>
    <w:rsid w:val="003B0425"/>
    <w:rsid w:val="003E76D8"/>
    <w:rsid w:val="0041161E"/>
    <w:rsid w:val="0042583C"/>
    <w:rsid w:val="00457B4B"/>
    <w:rsid w:val="00482AC0"/>
    <w:rsid w:val="004857F0"/>
    <w:rsid w:val="004873C2"/>
    <w:rsid w:val="004B5725"/>
    <w:rsid w:val="004C7578"/>
    <w:rsid w:val="004D7D39"/>
    <w:rsid w:val="00514670"/>
    <w:rsid w:val="00521443"/>
    <w:rsid w:val="00521536"/>
    <w:rsid w:val="00553771"/>
    <w:rsid w:val="00571750"/>
    <w:rsid w:val="005935B9"/>
    <w:rsid w:val="005A2221"/>
    <w:rsid w:val="005C32A6"/>
    <w:rsid w:val="0062178D"/>
    <w:rsid w:val="006736A2"/>
    <w:rsid w:val="006B4A1E"/>
    <w:rsid w:val="006F65E1"/>
    <w:rsid w:val="00716EC1"/>
    <w:rsid w:val="00742D09"/>
    <w:rsid w:val="00776D01"/>
    <w:rsid w:val="007A16D1"/>
    <w:rsid w:val="007B5AC2"/>
    <w:rsid w:val="007E0E28"/>
    <w:rsid w:val="00814E33"/>
    <w:rsid w:val="0085221E"/>
    <w:rsid w:val="0085439F"/>
    <w:rsid w:val="0088591D"/>
    <w:rsid w:val="008A2A91"/>
    <w:rsid w:val="008A7F7E"/>
    <w:rsid w:val="008B29C6"/>
    <w:rsid w:val="008B4C16"/>
    <w:rsid w:val="008C3535"/>
    <w:rsid w:val="008D1901"/>
    <w:rsid w:val="008D4678"/>
    <w:rsid w:val="008E35D3"/>
    <w:rsid w:val="009312D3"/>
    <w:rsid w:val="00942BF9"/>
    <w:rsid w:val="0096337F"/>
    <w:rsid w:val="0099325D"/>
    <w:rsid w:val="009A55EC"/>
    <w:rsid w:val="009B3AA4"/>
    <w:rsid w:val="009D6CA8"/>
    <w:rsid w:val="00A03BAF"/>
    <w:rsid w:val="00A15071"/>
    <w:rsid w:val="00A16A21"/>
    <w:rsid w:val="00A246D8"/>
    <w:rsid w:val="00A2498A"/>
    <w:rsid w:val="00A30598"/>
    <w:rsid w:val="00A31B4B"/>
    <w:rsid w:val="00A40FA9"/>
    <w:rsid w:val="00AC00CD"/>
    <w:rsid w:val="00AC49AC"/>
    <w:rsid w:val="00AD7045"/>
    <w:rsid w:val="00AE7304"/>
    <w:rsid w:val="00B0602C"/>
    <w:rsid w:val="00B10AAF"/>
    <w:rsid w:val="00B22F06"/>
    <w:rsid w:val="00B7554D"/>
    <w:rsid w:val="00B907AC"/>
    <w:rsid w:val="00BB6948"/>
    <w:rsid w:val="00BD2C25"/>
    <w:rsid w:val="00C24620"/>
    <w:rsid w:val="00C9724D"/>
    <w:rsid w:val="00D42C9A"/>
    <w:rsid w:val="00D52248"/>
    <w:rsid w:val="00D62816"/>
    <w:rsid w:val="00D8184B"/>
    <w:rsid w:val="00D94B4E"/>
    <w:rsid w:val="00E12D7D"/>
    <w:rsid w:val="00E334E9"/>
    <w:rsid w:val="00E93F66"/>
    <w:rsid w:val="00EA7A76"/>
    <w:rsid w:val="00EB44CD"/>
    <w:rsid w:val="00EC1E6F"/>
    <w:rsid w:val="00EF3258"/>
    <w:rsid w:val="00F0406E"/>
    <w:rsid w:val="00F27659"/>
    <w:rsid w:val="00F47BB0"/>
    <w:rsid w:val="00F50956"/>
    <w:rsid w:val="00F77961"/>
    <w:rsid w:val="00F82469"/>
    <w:rsid w:val="00FA7F3D"/>
    <w:rsid w:val="00FB0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F75307"/>
  <w15:chartTrackingRefBased/>
  <w15:docId w15:val="{9AF1F280-ACEB-C74D-840F-29315395F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A636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40FA9"/>
  </w:style>
  <w:style w:type="character" w:styleId="Hyperlink">
    <w:name w:val="Hyperlink"/>
    <w:basedOn w:val="DefaultParagraphFont"/>
    <w:uiPriority w:val="99"/>
    <w:unhideWhenUsed/>
    <w:rsid w:val="00210A67"/>
    <w:rPr>
      <w:color w:val="0000FF"/>
      <w:u w:val="single"/>
    </w:rPr>
  </w:style>
  <w:style w:type="character" w:styleId="UnresolvedMention">
    <w:name w:val="Unresolved Mention"/>
    <w:basedOn w:val="DefaultParagraphFont"/>
    <w:uiPriority w:val="99"/>
    <w:semiHidden/>
    <w:unhideWhenUsed/>
    <w:rsid w:val="0088591D"/>
    <w:rPr>
      <w:color w:val="605E5C"/>
      <w:shd w:val="clear" w:color="auto" w:fill="E1DFDD"/>
    </w:rPr>
  </w:style>
  <w:style w:type="paragraph" w:styleId="NormalWeb">
    <w:name w:val="Normal (Web)"/>
    <w:basedOn w:val="Normal"/>
    <w:uiPriority w:val="99"/>
    <w:unhideWhenUsed/>
    <w:rsid w:val="003E76D8"/>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46438"/>
    <w:rPr>
      <w:color w:val="954F72" w:themeColor="followedHyperlink"/>
      <w:u w:val="single"/>
    </w:rPr>
  </w:style>
  <w:style w:type="character" w:customStyle="1" w:styleId="Heading1Char">
    <w:name w:val="Heading 1 Char"/>
    <w:basedOn w:val="DefaultParagraphFont"/>
    <w:link w:val="Heading1"/>
    <w:uiPriority w:val="9"/>
    <w:rsid w:val="000A6364"/>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41161E"/>
    <w:pPr>
      <w:tabs>
        <w:tab w:val="center" w:pos="4680"/>
        <w:tab w:val="right" w:pos="9360"/>
      </w:tabs>
    </w:pPr>
  </w:style>
  <w:style w:type="character" w:customStyle="1" w:styleId="HeaderChar">
    <w:name w:val="Header Char"/>
    <w:basedOn w:val="DefaultParagraphFont"/>
    <w:link w:val="Header"/>
    <w:uiPriority w:val="99"/>
    <w:rsid w:val="0041161E"/>
  </w:style>
  <w:style w:type="character" w:styleId="PageNumber">
    <w:name w:val="page number"/>
    <w:basedOn w:val="DefaultParagraphFont"/>
    <w:uiPriority w:val="99"/>
    <w:semiHidden/>
    <w:unhideWhenUsed/>
    <w:rsid w:val="00411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130113">
      <w:bodyDiv w:val="1"/>
      <w:marLeft w:val="0"/>
      <w:marRight w:val="0"/>
      <w:marTop w:val="0"/>
      <w:marBottom w:val="0"/>
      <w:divBdr>
        <w:top w:val="none" w:sz="0" w:space="0" w:color="auto"/>
        <w:left w:val="none" w:sz="0" w:space="0" w:color="auto"/>
        <w:bottom w:val="none" w:sz="0" w:space="0" w:color="auto"/>
        <w:right w:val="none" w:sz="0" w:space="0" w:color="auto"/>
      </w:divBdr>
      <w:divsChild>
        <w:div w:id="2015330213">
          <w:marLeft w:val="0"/>
          <w:marRight w:val="0"/>
          <w:marTop w:val="0"/>
          <w:marBottom w:val="0"/>
          <w:divBdr>
            <w:top w:val="none" w:sz="0" w:space="0" w:color="auto"/>
            <w:left w:val="none" w:sz="0" w:space="0" w:color="auto"/>
            <w:bottom w:val="none" w:sz="0" w:space="0" w:color="auto"/>
            <w:right w:val="none" w:sz="0" w:space="0" w:color="auto"/>
          </w:divBdr>
          <w:divsChild>
            <w:div w:id="1028412014">
              <w:marLeft w:val="0"/>
              <w:marRight w:val="0"/>
              <w:marTop w:val="0"/>
              <w:marBottom w:val="0"/>
              <w:divBdr>
                <w:top w:val="none" w:sz="0" w:space="0" w:color="auto"/>
                <w:left w:val="none" w:sz="0" w:space="0" w:color="auto"/>
                <w:bottom w:val="none" w:sz="0" w:space="0" w:color="auto"/>
                <w:right w:val="none" w:sz="0" w:space="0" w:color="auto"/>
              </w:divBdr>
              <w:divsChild>
                <w:div w:id="907962500">
                  <w:marLeft w:val="0"/>
                  <w:marRight w:val="0"/>
                  <w:marTop w:val="0"/>
                  <w:marBottom w:val="0"/>
                  <w:divBdr>
                    <w:top w:val="none" w:sz="0" w:space="0" w:color="auto"/>
                    <w:left w:val="none" w:sz="0" w:space="0" w:color="auto"/>
                    <w:bottom w:val="none" w:sz="0" w:space="0" w:color="auto"/>
                    <w:right w:val="none" w:sz="0" w:space="0" w:color="auto"/>
                  </w:divBdr>
                  <w:divsChild>
                    <w:div w:id="9695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21756">
      <w:bodyDiv w:val="1"/>
      <w:marLeft w:val="0"/>
      <w:marRight w:val="0"/>
      <w:marTop w:val="0"/>
      <w:marBottom w:val="0"/>
      <w:divBdr>
        <w:top w:val="none" w:sz="0" w:space="0" w:color="auto"/>
        <w:left w:val="none" w:sz="0" w:space="0" w:color="auto"/>
        <w:bottom w:val="none" w:sz="0" w:space="0" w:color="auto"/>
        <w:right w:val="none" w:sz="0" w:space="0" w:color="auto"/>
      </w:divBdr>
      <w:divsChild>
        <w:div w:id="1158771080">
          <w:marLeft w:val="0"/>
          <w:marRight w:val="0"/>
          <w:marTop w:val="0"/>
          <w:marBottom w:val="0"/>
          <w:divBdr>
            <w:top w:val="none" w:sz="0" w:space="0" w:color="auto"/>
            <w:left w:val="none" w:sz="0" w:space="0" w:color="auto"/>
            <w:bottom w:val="none" w:sz="0" w:space="0" w:color="auto"/>
            <w:right w:val="none" w:sz="0" w:space="0" w:color="auto"/>
          </w:divBdr>
          <w:divsChild>
            <w:div w:id="1079869320">
              <w:marLeft w:val="0"/>
              <w:marRight w:val="0"/>
              <w:marTop w:val="0"/>
              <w:marBottom w:val="0"/>
              <w:divBdr>
                <w:top w:val="none" w:sz="0" w:space="0" w:color="auto"/>
                <w:left w:val="none" w:sz="0" w:space="0" w:color="auto"/>
                <w:bottom w:val="none" w:sz="0" w:space="0" w:color="auto"/>
                <w:right w:val="none" w:sz="0" w:space="0" w:color="auto"/>
              </w:divBdr>
              <w:divsChild>
                <w:div w:id="176575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552071">
      <w:bodyDiv w:val="1"/>
      <w:marLeft w:val="0"/>
      <w:marRight w:val="0"/>
      <w:marTop w:val="0"/>
      <w:marBottom w:val="0"/>
      <w:divBdr>
        <w:top w:val="none" w:sz="0" w:space="0" w:color="auto"/>
        <w:left w:val="none" w:sz="0" w:space="0" w:color="auto"/>
        <w:bottom w:val="none" w:sz="0" w:space="0" w:color="auto"/>
        <w:right w:val="none" w:sz="0" w:space="0" w:color="auto"/>
      </w:divBdr>
      <w:divsChild>
        <w:div w:id="1102916765">
          <w:marLeft w:val="0"/>
          <w:marRight w:val="0"/>
          <w:marTop w:val="0"/>
          <w:marBottom w:val="0"/>
          <w:divBdr>
            <w:top w:val="none" w:sz="0" w:space="0" w:color="auto"/>
            <w:left w:val="none" w:sz="0" w:space="0" w:color="auto"/>
            <w:bottom w:val="none" w:sz="0" w:space="0" w:color="auto"/>
            <w:right w:val="none" w:sz="0" w:space="0" w:color="auto"/>
          </w:divBdr>
          <w:divsChild>
            <w:div w:id="875048998">
              <w:marLeft w:val="0"/>
              <w:marRight w:val="0"/>
              <w:marTop w:val="0"/>
              <w:marBottom w:val="0"/>
              <w:divBdr>
                <w:top w:val="none" w:sz="0" w:space="0" w:color="auto"/>
                <w:left w:val="none" w:sz="0" w:space="0" w:color="auto"/>
                <w:bottom w:val="none" w:sz="0" w:space="0" w:color="auto"/>
                <w:right w:val="none" w:sz="0" w:space="0" w:color="auto"/>
              </w:divBdr>
              <w:divsChild>
                <w:div w:id="108165890">
                  <w:marLeft w:val="0"/>
                  <w:marRight w:val="0"/>
                  <w:marTop w:val="0"/>
                  <w:marBottom w:val="0"/>
                  <w:divBdr>
                    <w:top w:val="none" w:sz="0" w:space="0" w:color="auto"/>
                    <w:left w:val="none" w:sz="0" w:space="0" w:color="auto"/>
                    <w:bottom w:val="none" w:sz="0" w:space="0" w:color="auto"/>
                    <w:right w:val="none" w:sz="0" w:space="0" w:color="auto"/>
                  </w:divBdr>
                  <w:divsChild>
                    <w:div w:id="36348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018392">
      <w:bodyDiv w:val="1"/>
      <w:marLeft w:val="0"/>
      <w:marRight w:val="0"/>
      <w:marTop w:val="0"/>
      <w:marBottom w:val="0"/>
      <w:divBdr>
        <w:top w:val="none" w:sz="0" w:space="0" w:color="auto"/>
        <w:left w:val="none" w:sz="0" w:space="0" w:color="auto"/>
        <w:bottom w:val="none" w:sz="0" w:space="0" w:color="auto"/>
        <w:right w:val="none" w:sz="0" w:space="0" w:color="auto"/>
      </w:divBdr>
    </w:div>
    <w:div w:id="813529653">
      <w:bodyDiv w:val="1"/>
      <w:marLeft w:val="0"/>
      <w:marRight w:val="0"/>
      <w:marTop w:val="0"/>
      <w:marBottom w:val="0"/>
      <w:divBdr>
        <w:top w:val="none" w:sz="0" w:space="0" w:color="auto"/>
        <w:left w:val="none" w:sz="0" w:space="0" w:color="auto"/>
        <w:bottom w:val="none" w:sz="0" w:space="0" w:color="auto"/>
        <w:right w:val="none" w:sz="0" w:space="0" w:color="auto"/>
      </w:divBdr>
      <w:divsChild>
        <w:div w:id="1633288894">
          <w:marLeft w:val="0"/>
          <w:marRight w:val="0"/>
          <w:marTop w:val="0"/>
          <w:marBottom w:val="0"/>
          <w:divBdr>
            <w:top w:val="none" w:sz="0" w:space="0" w:color="auto"/>
            <w:left w:val="none" w:sz="0" w:space="0" w:color="auto"/>
            <w:bottom w:val="none" w:sz="0" w:space="0" w:color="auto"/>
            <w:right w:val="none" w:sz="0" w:space="0" w:color="auto"/>
          </w:divBdr>
          <w:divsChild>
            <w:div w:id="1721396951">
              <w:marLeft w:val="0"/>
              <w:marRight w:val="0"/>
              <w:marTop w:val="0"/>
              <w:marBottom w:val="0"/>
              <w:divBdr>
                <w:top w:val="none" w:sz="0" w:space="0" w:color="auto"/>
                <w:left w:val="none" w:sz="0" w:space="0" w:color="auto"/>
                <w:bottom w:val="none" w:sz="0" w:space="0" w:color="auto"/>
                <w:right w:val="none" w:sz="0" w:space="0" w:color="auto"/>
              </w:divBdr>
              <w:divsChild>
                <w:div w:id="205292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161013">
      <w:bodyDiv w:val="1"/>
      <w:marLeft w:val="0"/>
      <w:marRight w:val="0"/>
      <w:marTop w:val="0"/>
      <w:marBottom w:val="0"/>
      <w:divBdr>
        <w:top w:val="none" w:sz="0" w:space="0" w:color="auto"/>
        <w:left w:val="none" w:sz="0" w:space="0" w:color="auto"/>
        <w:bottom w:val="none" w:sz="0" w:space="0" w:color="auto"/>
        <w:right w:val="none" w:sz="0" w:space="0" w:color="auto"/>
      </w:divBdr>
      <w:divsChild>
        <w:div w:id="1650937543">
          <w:marLeft w:val="0"/>
          <w:marRight w:val="0"/>
          <w:marTop w:val="0"/>
          <w:marBottom w:val="0"/>
          <w:divBdr>
            <w:top w:val="none" w:sz="0" w:space="0" w:color="auto"/>
            <w:left w:val="none" w:sz="0" w:space="0" w:color="auto"/>
            <w:bottom w:val="none" w:sz="0" w:space="0" w:color="auto"/>
            <w:right w:val="none" w:sz="0" w:space="0" w:color="auto"/>
          </w:divBdr>
          <w:divsChild>
            <w:div w:id="18286625">
              <w:marLeft w:val="0"/>
              <w:marRight w:val="0"/>
              <w:marTop w:val="0"/>
              <w:marBottom w:val="0"/>
              <w:divBdr>
                <w:top w:val="none" w:sz="0" w:space="0" w:color="auto"/>
                <w:left w:val="none" w:sz="0" w:space="0" w:color="auto"/>
                <w:bottom w:val="none" w:sz="0" w:space="0" w:color="auto"/>
                <w:right w:val="none" w:sz="0" w:space="0" w:color="auto"/>
              </w:divBdr>
              <w:divsChild>
                <w:div w:id="59482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767135">
      <w:bodyDiv w:val="1"/>
      <w:marLeft w:val="0"/>
      <w:marRight w:val="0"/>
      <w:marTop w:val="0"/>
      <w:marBottom w:val="0"/>
      <w:divBdr>
        <w:top w:val="none" w:sz="0" w:space="0" w:color="auto"/>
        <w:left w:val="none" w:sz="0" w:space="0" w:color="auto"/>
        <w:bottom w:val="none" w:sz="0" w:space="0" w:color="auto"/>
        <w:right w:val="none" w:sz="0" w:space="0" w:color="auto"/>
      </w:divBdr>
      <w:divsChild>
        <w:div w:id="906185481">
          <w:marLeft w:val="0"/>
          <w:marRight w:val="0"/>
          <w:marTop w:val="0"/>
          <w:marBottom w:val="0"/>
          <w:divBdr>
            <w:top w:val="none" w:sz="0" w:space="0" w:color="auto"/>
            <w:left w:val="none" w:sz="0" w:space="0" w:color="auto"/>
            <w:bottom w:val="none" w:sz="0" w:space="0" w:color="auto"/>
            <w:right w:val="none" w:sz="0" w:space="0" w:color="auto"/>
          </w:divBdr>
          <w:divsChild>
            <w:div w:id="3211509">
              <w:marLeft w:val="0"/>
              <w:marRight w:val="0"/>
              <w:marTop w:val="0"/>
              <w:marBottom w:val="0"/>
              <w:divBdr>
                <w:top w:val="none" w:sz="0" w:space="0" w:color="auto"/>
                <w:left w:val="none" w:sz="0" w:space="0" w:color="auto"/>
                <w:bottom w:val="none" w:sz="0" w:space="0" w:color="auto"/>
                <w:right w:val="none" w:sz="0" w:space="0" w:color="auto"/>
              </w:divBdr>
              <w:divsChild>
                <w:div w:id="2918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107875">
      <w:bodyDiv w:val="1"/>
      <w:marLeft w:val="0"/>
      <w:marRight w:val="0"/>
      <w:marTop w:val="0"/>
      <w:marBottom w:val="0"/>
      <w:divBdr>
        <w:top w:val="none" w:sz="0" w:space="0" w:color="auto"/>
        <w:left w:val="none" w:sz="0" w:space="0" w:color="auto"/>
        <w:bottom w:val="none" w:sz="0" w:space="0" w:color="auto"/>
        <w:right w:val="none" w:sz="0" w:space="0" w:color="auto"/>
      </w:divBdr>
    </w:div>
    <w:div w:id="1442459830">
      <w:bodyDiv w:val="1"/>
      <w:marLeft w:val="0"/>
      <w:marRight w:val="0"/>
      <w:marTop w:val="0"/>
      <w:marBottom w:val="0"/>
      <w:divBdr>
        <w:top w:val="none" w:sz="0" w:space="0" w:color="auto"/>
        <w:left w:val="none" w:sz="0" w:space="0" w:color="auto"/>
        <w:bottom w:val="none" w:sz="0" w:space="0" w:color="auto"/>
        <w:right w:val="none" w:sz="0" w:space="0" w:color="auto"/>
      </w:divBdr>
    </w:div>
    <w:div w:id="1476487472">
      <w:bodyDiv w:val="1"/>
      <w:marLeft w:val="0"/>
      <w:marRight w:val="0"/>
      <w:marTop w:val="0"/>
      <w:marBottom w:val="0"/>
      <w:divBdr>
        <w:top w:val="none" w:sz="0" w:space="0" w:color="auto"/>
        <w:left w:val="none" w:sz="0" w:space="0" w:color="auto"/>
        <w:bottom w:val="none" w:sz="0" w:space="0" w:color="auto"/>
        <w:right w:val="none" w:sz="0" w:space="0" w:color="auto"/>
      </w:divBdr>
    </w:div>
    <w:div w:id="1921520408">
      <w:bodyDiv w:val="1"/>
      <w:marLeft w:val="0"/>
      <w:marRight w:val="0"/>
      <w:marTop w:val="0"/>
      <w:marBottom w:val="0"/>
      <w:divBdr>
        <w:top w:val="none" w:sz="0" w:space="0" w:color="auto"/>
        <w:left w:val="none" w:sz="0" w:space="0" w:color="auto"/>
        <w:bottom w:val="none" w:sz="0" w:space="0" w:color="auto"/>
        <w:right w:val="none" w:sz="0" w:space="0" w:color="auto"/>
      </w:divBdr>
    </w:div>
    <w:div w:id="1958875949">
      <w:bodyDiv w:val="1"/>
      <w:marLeft w:val="0"/>
      <w:marRight w:val="0"/>
      <w:marTop w:val="0"/>
      <w:marBottom w:val="0"/>
      <w:divBdr>
        <w:top w:val="none" w:sz="0" w:space="0" w:color="auto"/>
        <w:left w:val="none" w:sz="0" w:space="0" w:color="auto"/>
        <w:bottom w:val="none" w:sz="0" w:space="0" w:color="auto"/>
        <w:right w:val="none" w:sz="0" w:space="0" w:color="auto"/>
      </w:divBdr>
      <w:divsChild>
        <w:div w:id="1335256111">
          <w:marLeft w:val="0"/>
          <w:marRight w:val="0"/>
          <w:marTop w:val="0"/>
          <w:marBottom w:val="0"/>
          <w:divBdr>
            <w:top w:val="none" w:sz="0" w:space="0" w:color="auto"/>
            <w:left w:val="none" w:sz="0" w:space="0" w:color="auto"/>
            <w:bottom w:val="none" w:sz="0" w:space="0" w:color="auto"/>
            <w:right w:val="none" w:sz="0" w:space="0" w:color="auto"/>
          </w:divBdr>
          <w:divsChild>
            <w:div w:id="1351253994">
              <w:marLeft w:val="0"/>
              <w:marRight w:val="0"/>
              <w:marTop w:val="0"/>
              <w:marBottom w:val="0"/>
              <w:divBdr>
                <w:top w:val="none" w:sz="0" w:space="0" w:color="auto"/>
                <w:left w:val="none" w:sz="0" w:space="0" w:color="auto"/>
                <w:bottom w:val="none" w:sz="0" w:space="0" w:color="auto"/>
                <w:right w:val="none" w:sz="0" w:space="0" w:color="auto"/>
              </w:divBdr>
              <w:divsChild>
                <w:div w:id="87785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855781">
      <w:bodyDiv w:val="1"/>
      <w:marLeft w:val="0"/>
      <w:marRight w:val="0"/>
      <w:marTop w:val="0"/>
      <w:marBottom w:val="0"/>
      <w:divBdr>
        <w:top w:val="none" w:sz="0" w:space="0" w:color="auto"/>
        <w:left w:val="none" w:sz="0" w:space="0" w:color="auto"/>
        <w:bottom w:val="none" w:sz="0" w:space="0" w:color="auto"/>
        <w:right w:val="none" w:sz="0" w:space="0" w:color="auto"/>
      </w:divBdr>
      <w:divsChild>
        <w:div w:id="1455978751">
          <w:marLeft w:val="0"/>
          <w:marRight w:val="0"/>
          <w:marTop w:val="0"/>
          <w:marBottom w:val="0"/>
          <w:divBdr>
            <w:top w:val="none" w:sz="0" w:space="0" w:color="auto"/>
            <w:left w:val="none" w:sz="0" w:space="0" w:color="auto"/>
            <w:bottom w:val="none" w:sz="0" w:space="0" w:color="auto"/>
            <w:right w:val="none" w:sz="0" w:space="0" w:color="auto"/>
          </w:divBdr>
          <w:divsChild>
            <w:div w:id="1290015731">
              <w:marLeft w:val="0"/>
              <w:marRight w:val="0"/>
              <w:marTop w:val="0"/>
              <w:marBottom w:val="0"/>
              <w:divBdr>
                <w:top w:val="none" w:sz="0" w:space="0" w:color="auto"/>
                <w:left w:val="none" w:sz="0" w:space="0" w:color="auto"/>
                <w:bottom w:val="none" w:sz="0" w:space="0" w:color="auto"/>
                <w:right w:val="none" w:sz="0" w:space="0" w:color="auto"/>
              </w:divBdr>
              <w:divsChild>
                <w:div w:id="153191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543916">
      <w:bodyDiv w:val="1"/>
      <w:marLeft w:val="0"/>
      <w:marRight w:val="0"/>
      <w:marTop w:val="0"/>
      <w:marBottom w:val="0"/>
      <w:divBdr>
        <w:top w:val="none" w:sz="0" w:space="0" w:color="auto"/>
        <w:left w:val="none" w:sz="0" w:space="0" w:color="auto"/>
        <w:bottom w:val="none" w:sz="0" w:space="0" w:color="auto"/>
        <w:right w:val="none" w:sz="0" w:space="0" w:color="auto"/>
      </w:divBdr>
    </w:div>
    <w:div w:id="2023698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002130100915"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pdfs.semanticscholar.org/3706/7acd33ad2ba2ed384baada06e7d74b800399.pdf" TargetMode="External"/><Relationship Id="rId12" Type="http://schemas.openxmlformats.org/officeDocument/2006/relationships/hyperlink" Target="https://doi.org/10.1016/S0006-3223(96)00362-9"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ictionary.apa.org" TargetMode="External"/><Relationship Id="rId11" Type="http://schemas.openxmlformats.org/officeDocument/2006/relationships/hyperlink" Target="https://jamanetwork.com/journals/jamapsychiatry/article-abstract/497534"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evelopingchild.harvard.edu/resources/what-is-epigenetics-and-how-does-it-relate-to-child-development/" TargetMode="External"/><Relationship Id="rId4" Type="http://schemas.openxmlformats.org/officeDocument/2006/relationships/footnotes" Target="footnotes.xml"/><Relationship Id="rId9" Type="http://schemas.openxmlformats.org/officeDocument/2006/relationships/hyperlink" Target="https://moodle.uwtsd.ac.uk/mod/folder/view.php?id=288487"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789</TotalTime>
  <Pages>8</Pages>
  <Words>2929</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Clayton (2003591)</dc:creator>
  <cp:keywords/>
  <dc:description/>
  <cp:lastModifiedBy>Hannah Clayton (2003591)</cp:lastModifiedBy>
  <cp:revision>48</cp:revision>
  <cp:lastPrinted>2020-11-25T11:43:00Z</cp:lastPrinted>
  <dcterms:created xsi:type="dcterms:W3CDTF">2020-11-18T13:03:00Z</dcterms:created>
  <dcterms:modified xsi:type="dcterms:W3CDTF">2020-11-25T11:45:00Z</dcterms:modified>
</cp:coreProperties>
</file>