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56156" w14:textId="77777777" w:rsidR="00AA382C" w:rsidRDefault="00AA382C" w:rsidP="00AA382C">
      <w:pPr>
        <w:rPr>
          <w:rFonts w:ascii="Times New Roman" w:hAnsi="Times New Roman" w:cs="Times New Roman"/>
          <w:b/>
          <w:sz w:val="24"/>
        </w:rPr>
      </w:pPr>
    </w:p>
    <w:p w14:paraId="37B3DDE9" w14:textId="77777777" w:rsidR="00AA382C" w:rsidRDefault="00AA382C" w:rsidP="00AA382C">
      <w:pPr>
        <w:jc w:val="center"/>
      </w:pPr>
      <w:r>
        <w:rPr>
          <w:noProof/>
        </w:rPr>
        <w:drawing>
          <wp:inline distT="0" distB="0" distL="0" distR="0" wp14:anchorId="3420F9B6" wp14:editId="701889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A54F9EE" w14:textId="77777777" w:rsidR="00AA382C" w:rsidRDefault="00AA382C" w:rsidP="00AA382C">
      <w:pPr>
        <w:jc w:val="center"/>
      </w:pPr>
    </w:p>
    <w:p w14:paraId="7904E178" w14:textId="77777777" w:rsidR="00AA382C" w:rsidRDefault="00AA382C" w:rsidP="00AA382C">
      <w:pPr>
        <w:jc w:val="center"/>
      </w:pPr>
    </w:p>
    <w:p w14:paraId="4B4AB9C5" w14:textId="77777777" w:rsidR="00AA382C" w:rsidRPr="00AA382C" w:rsidRDefault="00AA382C" w:rsidP="00AA382C">
      <w:pPr>
        <w:jc w:val="center"/>
        <w:rPr>
          <w:b/>
          <w:bCs/>
          <w:i/>
          <w:sz w:val="28"/>
        </w:rPr>
      </w:pPr>
      <w:r w:rsidRPr="00AA382C">
        <w:rPr>
          <w:b/>
          <w:bCs/>
          <w:i/>
          <w:sz w:val="28"/>
        </w:rPr>
        <w:t>Strategic Market Entry Plan for Holland &amp; Barrett: Expansion into the Vietnamese Health &amp; Wellness Retail Sector</w:t>
      </w:r>
    </w:p>
    <w:p w14:paraId="0CC59A1A" w14:textId="77777777" w:rsidR="00AA382C" w:rsidRDefault="00AA382C" w:rsidP="00AA382C"/>
    <w:p w14:paraId="13B5A1A1" w14:textId="77777777" w:rsidR="00AA382C" w:rsidRDefault="00AA382C" w:rsidP="00AA382C"/>
    <w:p w14:paraId="3A064A39" w14:textId="77777777" w:rsidR="00AA382C" w:rsidRPr="00646406" w:rsidRDefault="00AA382C" w:rsidP="00AA382C">
      <w:pPr>
        <w:jc w:val="center"/>
        <w:rPr>
          <w:rFonts w:ascii="Arial" w:hAnsi="Arial" w:cs="Arial"/>
          <w:b/>
          <w:bCs/>
        </w:rPr>
      </w:pPr>
      <w:r w:rsidRPr="00646406">
        <w:rPr>
          <w:rFonts w:ascii="Arial" w:hAnsi="Arial" w:cs="Arial"/>
          <w:b/>
          <w:bCs/>
        </w:rPr>
        <w:t>Student Name:</w:t>
      </w:r>
      <w:r>
        <w:rPr>
          <w:rFonts w:ascii="Arial" w:hAnsi="Arial" w:cs="Arial"/>
          <w:b/>
          <w:bCs/>
        </w:rPr>
        <w:t xml:space="preserve"> </w:t>
      </w:r>
      <w:proofErr w:type="spellStart"/>
      <w:r w:rsidRPr="00431C09">
        <w:rPr>
          <w:rFonts w:ascii="Arial" w:hAnsi="Arial" w:cs="Arial"/>
          <w:bCs/>
        </w:rPr>
        <w:t>Tajwar</w:t>
      </w:r>
      <w:proofErr w:type="spellEnd"/>
      <w:r w:rsidRPr="00431C09">
        <w:rPr>
          <w:rFonts w:ascii="Arial" w:hAnsi="Arial" w:cs="Arial"/>
          <w:bCs/>
        </w:rPr>
        <w:t xml:space="preserve"> Ahmed</w:t>
      </w:r>
    </w:p>
    <w:p w14:paraId="1E5A310B" w14:textId="77777777" w:rsidR="00AA382C" w:rsidRPr="00646406" w:rsidRDefault="00AA382C" w:rsidP="00AA382C">
      <w:pPr>
        <w:jc w:val="center"/>
        <w:rPr>
          <w:rFonts w:ascii="Arial" w:hAnsi="Arial" w:cs="Arial"/>
          <w:b/>
          <w:bCs/>
        </w:rPr>
      </w:pPr>
      <w:r w:rsidRPr="00646406">
        <w:rPr>
          <w:rFonts w:ascii="Arial" w:hAnsi="Arial" w:cs="Arial"/>
          <w:b/>
          <w:bCs/>
        </w:rPr>
        <w:t>Student ID:</w:t>
      </w:r>
      <w:r>
        <w:rPr>
          <w:rFonts w:ascii="Arial" w:hAnsi="Arial" w:cs="Arial"/>
          <w:b/>
          <w:bCs/>
        </w:rPr>
        <w:t xml:space="preserve"> </w:t>
      </w:r>
      <w:r w:rsidRPr="002C5002">
        <w:rPr>
          <w:rFonts w:ascii="Arial" w:hAnsi="Arial" w:cs="Arial"/>
          <w:bCs/>
        </w:rPr>
        <w:t>2436033</w:t>
      </w:r>
    </w:p>
    <w:p w14:paraId="05183FA7" w14:textId="77777777" w:rsidR="00AA382C" w:rsidRPr="00646406" w:rsidRDefault="00AA382C" w:rsidP="00AA382C">
      <w:pPr>
        <w:jc w:val="center"/>
        <w:rPr>
          <w:rFonts w:ascii="Arial" w:hAnsi="Arial" w:cs="Arial"/>
        </w:rPr>
      </w:pPr>
    </w:p>
    <w:p w14:paraId="0E4E962E" w14:textId="77777777" w:rsidR="00AA382C" w:rsidRPr="00646406" w:rsidRDefault="00AA382C" w:rsidP="00AA382C">
      <w:pPr>
        <w:jc w:val="center"/>
        <w:rPr>
          <w:rFonts w:ascii="Arial" w:hAnsi="Arial" w:cs="Arial"/>
        </w:rPr>
      </w:pPr>
    </w:p>
    <w:p w14:paraId="77E41223" w14:textId="77777777" w:rsidR="00AA382C" w:rsidRPr="00646406" w:rsidRDefault="00AA382C" w:rsidP="00AA382C">
      <w:pPr>
        <w:jc w:val="center"/>
        <w:rPr>
          <w:rFonts w:ascii="Arial" w:hAnsi="Arial" w:cs="Arial"/>
          <w:b/>
          <w:bCs/>
        </w:rPr>
      </w:pPr>
      <w:r w:rsidRPr="00646406">
        <w:rPr>
          <w:rFonts w:ascii="Arial" w:hAnsi="Arial" w:cs="Arial"/>
          <w:b/>
          <w:bCs/>
        </w:rPr>
        <w:t xml:space="preserve">Module Name: </w:t>
      </w:r>
      <w:r w:rsidRPr="00AA382C">
        <w:rPr>
          <w:rFonts w:ascii="Arial" w:hAnsi="Arial" w:cs="Arial"/>
          <w:bCs/>
        </w:rPr>
        <w:t xml:space="preserve"> Strategic Management </w:t>
      </w:r>
    </w:p>
    <w:p w14:paraId="0398C819" w14:textId="77777777" w:rsidR="00AA382C" w:rsidRPr="00646406" w:rsidRDefault="00AA382C" w:rsidP="00AA382C">
      <w:pPr>
        <w:jc w:val="center"/>
        <w:rPr>
          <w:rFonts w:ascii="Arial" w:hAnsi="Arial" w:cs="Arial"/>
          <w:b/>
          <w:bCs/>
        </w:rPr>
      </w:pPr>
    </w:p>
    <w:p w14:paraId="17411278" w14:textId="77777777" w:rsidR="00AA382C" w:rsidRPr="002C5002" w:rsidRDefault="00AA382C" w:rsidP="00AA382C">
      <w:pPr>
        <w:jc w:val="center"/>
        <w:rPr>
          <w:rFonts w:ascii="Arial" w:hAnsi="Arial" w:cs="Arial"/>
          <w:bCs/>
        </w:rPr>
      </w:pPr>
      <w:r>
        <w:rPr>
          <w:rFonts w:ascii="Arial" w:hAnsi="Arial" w:cs="Arial"/>
          <w:b/>
          <w:bCs/>
        </w:rPr>
        <w:t xml:space="preserve">Module Code: </w:t>
      </w:r>
      <w:r>
        <w:rPr>
          <w:rFonts w:ascii="Arial" w:hAnsi="Arial" w:cs="Arial"/>
          <w:bCs/>
        </w:rPr>
        <w:t>LCMB7003</w:t>
      </w:r>
    </w:p>
    <w:p w14:paraId="366E3F97" w14:textId="77777777" w:rsidR="00AA382C" w:rsidRDefault="00AA382C" w:rsidP="00AA382C">
      <w:pPr>
        <w:jc w:val="center"/>
        <w:rPr>
          <w:rFonts w:ascii="Arial" w:hAnsi="Arial" w:cs="Arial"/>
          <w:b/>
          <w:bCs/>
        </w:rPr>
      </w:pPr>
    </w:p>
    <w:p w14:paraId="3E8A4DF6" w14:textId="77777777" w:rsidR="00AA382C" w:rsidRDefault="00AA382C" w:rsidP="00AA382C">
      <w:pPr>
        <w:jc w:val="center"/>
        <w:rPr>
          <w:rFonts w:ascii="Arial" w:hAnsi="Arial" w:cs="Arial"/>
          <w:b/>
          <w:bCs/>
        </w:rPr>
      </w:pPr>
    </w:p>
    <w:p w14:paraId="5ADDA27E" w14:textId="77777777" w:rsidR="00AA382C" w:rsidRDefault="00AA382C" w:rsidP="00AA382C">
      <w:pPr>
        <w:jc w:val="center"/>
        <w:rPr>
          <w:rFonts w:ascii="Arial" w:hAnsi="Arial" w:cs="Arial"/>
          <w:b/>
          <w:bCs/>
        </w:rPr>
      </w:pPr>
    </w:p>
    <w:p w14:paraId="03AFAA99" w14:textId="77777777" w:rsidR="00AA382C" w:rsidRDefault="00AA382C" w:rsidP="00AA382C">
      <w:pPr>
        <w:jc w:val="center"/>
        <w:rPr>
          <w:rFonts w:ascii="Arial" w:hAnsi="Arial" w:cs="Arial"/>
          <w:b/>
          <w:bCs/>
        </w:rPr>
      </w:pPr>
    </w:p>
    <w:p w14:paraId="05305580" w14:textId="77777777" w:rsidR="00AA382C" w:rsidRDefault="00AA382C" w:rsidP="00AA382C">
      <w:pPr>
        <w:jc w:val="center"/>
        <w:rPr>
          <w:rFonts w:ascii="Arial" w:hAnsi="Arial" w:cs="Arial"/>
          <w:bCs/>
        </w:rPr>
      </w:pPr>
      <w:r w:rsidRPr="00646406">
        <w:rPr>
          <w:rFonts w:ascii="Arial" w:hAnsi="Arial" w:cs="Arial"/>
          <w:b/>
          <w:bCs/>
        </w:rPr>
        <w:t>Lecturer’s Name:</w:t>
      </w:r>
      <w:r>
        <w:rPr>
          <w:rFonts w:ascii="Arial" w:hAnsi="Arial" w:cs="Arial"/>
          <w:b/>
          <w:bCs/>
        </w:rPr>
        <w:t xml:space="preserve"> </w:t>
      </w:r>
      <w:r w:rsidRPr="00AA382C">
        <w:rPr>
          <w:rFonts w:ascii="Arial" w:hAnsi="Arial" w:cs="Arial"/>
          <w:bCs/>
        </w:rPr>
        <w:t xml:space="preserve"> </w:t>
      </w:r>
      <w:proofErr w:type="spellStart"/>
      <w:r w:rsidRPr="00AA382C">
        <w:rPr>
          <w:rFonts w:ascii="Arial" w:hAnsi="Arial" w:cs="Arial"/>
          <w:bCs/>
        </w:rPr>
        <w:t>Dr</w:t>
      </w:r>
      <w:proofErr w:type="spellEnd"/>
      <w:r w:rsidRPr="00AA382C">
        <w:rPr>
          <w:rFonts w:ascii="Arial" w:hAnsi="Arial" w:cs="Arial"/>
          <w:bCs/>
        </w:rPr>
        <w:t xml:space="preserve"> Jaya </w:t>
      </w:r>
      <w:proofErr w:type="spellStart"/>
      <w:r w:rsidRPr="00AA382C">
        <w:rPr>
          <w:rFonts w:ascii="Arial" w:hAnsi="Arial" w:cs="Arial"/>
          <w:bCs/>
        </w:rPr>
        <w:t>Gopalkrishnan</w:t>
      </w:r>
      <w:proofErr w:type="spellEnd"/>
    </w:p>
    <w:p w14:paraId="2A4CBF88" w14:textId="77777777" w:rsidR="00AA382C" w:rsidRDefault="00AA382C" w:rsidP="00AA382C">
      <w:pPr>
        <w:jc w:val="center"/>
        <w:rPr>
          <w:rFonts w:ascii="Arial" w:hAnsi="Arial" w:cs="Arial"/>
          <w:bCs/>
        </w:rPr>
      </w:pPr>
    </w:p>
    <w:p w14:paraId="5D5C8871" w14:textId="77777777" w:rsidR="00AA382C" w:rsidRDefault="00AA382C" w:rsidP="00AA382C">
      <w:pPr>
        <w:jc w:val="center"/>
        <w:rPr>
          <w:rFonts w:ascii="Arial" w:hAnsi="Arial" w:cs="Arial"/>
          <w:bCs/>
        </w:rPr>
      </w:pPr>
    </w:p>
    <w:p w14:paraId="41EB2E31" w14:textId="364ED7BD" w:rsidR="00AA382C" w:rsidRDefault="00AA382C" w:rsidP="00AA382C">
      <w:pPr>
        <w:jc w:val="center"/>
        <w:rPr>
          <w:rFonts w:ascii="Times New Roman" w:hAnsi="Times New Roman" w:cs="Times New Roman"/>
          <w:b/>
          <w:sz w:val="24"/>
        </w:rPr>
      </w:pPr>
      <w:r w:rsidRPr="00177C41">
        <w:rPr>
          <w:rFonts w:ascii="Arial" w:hAnsi="Arial" w:cs="Arial"/>
          <w:b/>
          <w:bCs/>
        </w:rPr>
        <w:t>Word Count:</w:t>
      </w:r>
      <w:r>
        <w:rPr>
          <w:rFonts w:ascii="Arial" w:hAnsi="Arial" w:cs="Arial"/>
          <w:bCs/>
        </w:rPr>
        <w:t xml:space="preserve"> 5</w:t>
      </w:r>
      <w:r w:rsidR="005C47E1">
        <w:rPr>
          <w:rFonts w:ascii="Arial" w:hAnsi="Arial" w:cs="Arial"/>
          <w:bCs/>
        </w:rPr>
        <w:t>368</w:t>
      </w:r>
    </w:p>
    <w:p w14:paraId="7657F127" w14:textId="77777777" w:rsidR="002A2808" w:rsidRDefault="002A2808" w:rsidP="002A2808">
      <w:pPr>
        <w:jc w:val="center"/>
        <w:rPr>
          <w:rFonts w:ascii="Times New Roman" w:hAnsi="Times New Roman" w:cs="Times New Roman"/>
          <w:b/>
          <w:sz w:val="24"/>
        </w:rPr>
      </w:pPr>
    </w:p>
    <w:p w14:paraId="26CB5FD4" w14:textId="77777777" w:rsidR="007C0ACF" w:rsidRDefault="007C0ACF">
      <w:pPr>
        <w:rPr>
          <w:rFonts w:ascii="Times New Roman" w:hAnsi="Times New Roman" w:cs="Times New Roman"/>
          <w:b/>
          <w:sz w:val="24"/>
        </w:rPr>
      </w:pPr>
      <w:r>
        <w:rPr>
          <w:rFonts w:ascii="Times New Roman" w:hAnsi="Times New Roman" w:cs="Times New Roman"/>
          <w:b/>
          <w:sz w:val="24"/>
        </w:rPr>
        <w:br w:type="page"/>
      </w:r>
    </w:p>
    <w:sdt>
      <w:sdtPr>
        <w:rPr>
          <w:rFonts w:asciiTheme="minorHAnsi" w:eastAsiaTheme="minorHAnsi" w:hAnsiTheme="minorHAnsi" w:cstheme="minorBidi"/>
          <w:color w:val="auto"/>
          <w:sz w:val="22"/>
          <w:szCs w:val="22"/>
        </w:rPr>
        <w:id w:val="1283545078"/>
        <w:docPartObj>
          <w:docPartGallery w:val="Table of Contents"/>
          <w:docPartUnique/>
        </w:docPartObj>
      </w:sdtPr>
      <w:sdtEndPr>
        <w:rPr>
          <w:b/>
          <w:bCs/>
          <w:noProof/>
        </w:rPr>
      </w:sdtEndPr>
      <w:sdtContent>
        <w:p w14:paraId="632808D4" w14:textId="77777777" w:rsidR="007C0ACF" w:rsidRDefault="007C0ACF">
          <w:pPr>
            <w:pStyle w:val="TOCHeading"/>
          </w:pPr>
          <w:r>
            <w:t>Contents</w:t>
          </w:r>
        </w:p>
        <w:p w14:paraId="11E78B6E" w14:textId="77777777" w:rsidR="00CF1A29" w:rsidRDefault="007C0AC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7240193" w:history="1">
            <w:r w:rsidR="00CF1A29" w:rsidRPr="002C51E0">
              <w:rPr>
                <w:rStyle w:val="Hyperlink"/>
                <w:noProof/>
              </w:rPr>
              <w:t>1. Introduction</w:t>
            </w:r>
            <w:r w:rsidR="00CF1A29">
              <w:rPr>
                <w:noProof/>
                <w:webHidden/>
              </w:rPr>
              <w:tab/>
            </w:r>
            <w:r w:rsidR="00CF1A29">
              <w:rPr>
                <w:noProof/>
                <w:webHidden/>
              </w:rPr>
              <w:fldChar w:fldCharType="begin"/>
            </w:r>
            <w:r w:rsidR="00CF1A29">
              <w:rPr>
                <w:noProof/>
                <w:webHidden/>
              </w:rPr>
              <w:instrText xml:space="preserve"> PAGEREF _Toc217240193 \h </w:instrText>
            </w:r>
            <w:r w:rsidR="00CF1A29">
              <w:rPr>
                <w:noProof/>
                <w:webHidden/>
              </w:rPr>
            </w:r>
            <w:r w:rsidR="00CF1A29">
              <w:rPr>
                <w:noProof/>
                <w:webHidden/>
              </w:rPr>
              <w:fldChar w:fldCharType="separate"/>
            </w:r>
            <w:r w:rsidR="00CF1A29">
              <w:rPr>
                <w:noProof/>
                <w:webHidden/>
              </w:rPr>
              <w:t>3</w:t>
            </w:r>
            <w:r w:rsidR="00CF1A29">
              <w:rPr>
                <w:noProof/>
                <w:webHidden/>
              </w:rPr>
              <w:fldChar w:fldCharType="end"/>
            </w:r>
          </w:hyperlink>
        </w:p>
        <w:p w14:paraId="7ADCA957" w14:textId="77777777" w:rsidR="00CF1A29" w:rsidRDefault="00CF1A29">
          <w:pPr>
            <w:pStyle w:val="TOC1"/>
            <w:tabs>
              <w:tab w:val="right" w:leader="dot" w:pos="9350"/>
            </w:tabs>
            <w:rPr>
              <w:rFonts w:eastAsiaTheme="minorEastAsia"/>
              <w:noProof/>
            </w:rPr>
          </w:pPr>
          <w:hyperlink w:anchor="_Toc217240194" w:history="1">
            <w:r w:rsidRPr="002C51E0">
              <w:rPr>
                <w:rStyle w:val="Hyperlink"/>
                <w:noProof/>
              </w:rPr>
              <w:t>Section 1: Selection of Organisation &amp; Target Market</w:t>
            </w:r>
            <w:r>
              <w:rPr>
                <w:noProof/>
                <w:webHidden/>
              </w:rPr>
              <w:tab/>
            </w:r>
            <w:r>
              <w:rPr>
                <w:noProof/>
                <w:webHidden/>
              </w:rPr>
              <w:fldChar w:fldCharType="begin"/>
            </w:r>
            <w:r>
              <w:rPr>
                <w:noProof/>
                <w:webHidden/>
              </w:rPr>
              <w:instrText xml:space="preserve"> PAGEREF _Toc217240194 \h </w:instrText>
            </w:r>
            <w:r>
              <w:rPr>
                <w:noProof/>
                <w:webHidden/>
              </w:rPr>
            </w:r>
            <w:r>
              <w:rPr>
                <w:noProof/>
                <w:webHidden/>
              </w:rPr>
              <w:fldChar w:fldCharType="separate"/>
            </w:r>
            <w:r>
              <w:rPr>
                <w:noProof/>
                <w:webHidden/>
              </w:rPr>
              <w:t>4</w:t>
            </w:r>
            <w:r>
              <w:rPr>
                <w:noProof/>
                <w:webHidden/>
              </w:rPr>
              <w:fldChar w:fldCharType="end"/>
            </w:r>
          </w:hyperlink>
        </w:p>
        <w:p w14:paraId="7E595926" w14:textId="77777777" w:rsidR="00CF1A29" w:rsidRDefault="00CF1A29">
          <w:pPr>
            <w:pStyle w:val="TOC2"/>
            <w:tabs>
              <w:tab w:val="right" w:leader="dot" w:pos="9350"/>
            </w:tabs>
            <w:rPr>
              <w:rFonts w:eastAsiaTheme="minorEastAsia"/>
              <w:noProof/>
            </w:rPr>
          </w:pPr>
          <w:hyperlink w:anchor="_Toc217240195" w:history="1">
            <w:r w:rsidRPr="002C51E0">
              <w:rPr>
                <w:rStyle w:val="Hyperlink"/>
                <w:noProof/>
              </w:rPr>
              <w:t>Overview of Holland &amp; Barrett (H&amp;B)</w:t>
            </w:r>
            <w:r>
              <w:rPr>
                <w:noProof/>
                <w:webHidden/>
              </w:rPr>
              <w:tab/>
            </w:r>
            <w:r>
              <w:rPr>
                <w:noProof/>
                <w:webHidden/>
              </w:rPr>
              <w:fldChar w:fldCharType="begin"/>
            </w:r>
            <w:r>
              <w:rPr>
                <w:noProof/>
                <w:webHidden/>
              </w:rPr>
              <w:instrText xml:space="preserve"> PAGEREF _Toc217240195 \h </w:instrText>
            </w:r>
            <w:r>
              <w:rPr>
                <w:noProof/>
                <w:webHidden/>
              </w:rPr>
            </w:r>
            <w:r>
              <w:rPr>
                <w:noProof/>
                <w:webHidden/>
              </w:rPr>
              <w:fldChar w:fldCharType="separate"/>
            </w:r>
            <w:r>
              <w:rPr>
                <w:noProof/>
                <w:webHidden/>
              </w:rPr>
              <w:t>4</w:t>
            </w:r>
            <w:r>
              <w:rPr>
                <w:noProof/>
                <w:webHidden/>
              </w:rPr>
              <w:fldChar w:fldCharType="end"/>
            </w:r>
          </w:hyperlink>
        </w:p>
        <w:p w14:paraId="44BE1265" w14:textId="77777777" w:rsidR="00CF1A29" w:rsidRDefault="00CF1A29">
          <w:pPr>
            <w:pStyle w:val="TOC2"/>
            <w:tabs>
              <w:tab w:val="right" w:leader="dot" w:pos="9350"/>
            </w:tabs>
            <w:rPr>
              <w:rFonts w:eastAsiaTheme="minorEastAsia"/>
              <w:noProof/>
            </w:rPr>
          </w:pPr>
          <w:hyperlink w:anchor="_Toc217240196" w:history="1">
            <w:r w:rsidRPr="002C51E0">
              <w:rPr>
                <w:rStyle w:val="Hyperlink"/>
                <w:noProof/>
              </w:rPr>
              <w:t>Justification for Choosing Vietnam</w:t>
            </w:r>
            <w:r>
              <w:rPr>
                <w:noProof/>
                <w:webHidden/>
              </w:rPr>
              <w:tab/>
            </w:r>
            <w:r>
              <w:rPr>
                <w:noProof/>
                <w:webHidden/>
              </w:rPr>
              <w:fldChar w:fldCharType="begin"/>
            </w:r>
            <w:r>
              <w:rPr>
                <w:noProof/>
                <w:webHidden/>
              </w:rPr>
              <w:instrText xml:space="preserve"> PAGEREF _Toc217240196 \h </w:instrText>
            </w:r>
            <w:r>
              <w:rPr>
                <w:noProof/>
                <w:webHidden/>
              </w:rPr>
            </w:r>
            <w:r>
              <w:rPr>
                <w:noProof/>
                <w:webHidden/>
              </w:rPr>
              <w:fldChar w:fldCharType="separate"/>
            </w:r>
            <w:r>
              <w:rPr>
                <w:noProof/>
                <w:webHidden/>
              </w:rPr>
              <w:t>4</w:t>
            </w:r>
            <w:r>
              <w:rPr>
                <w:noProof/>
                <w:webHidden/>
              </w:rPr>
              <w:fldChar w:fldCharType="end"/>
            </w:r>
          </w:hyperlink>
        </w:p>
        <w:p w14:paraId="4AD495D1" w14:textId="77777777" w:rsidR="00CF1A29" w:rsidRDefault="00CF1A29">
          <w:pPr>
            <w:pStyle w:val="TOC2"/>
            <w:tabs>
              <w:tab w:val="right" w:leader="dot" w:pos="9350"/>
            </w:tabs>
            <w:rPr>
              <w:rFonts w:eastAsiaTheme="minorEastAsia"/>
              <w:noProof/>
            </w:rPr>
          </w:pPr>
          <w:hyperlink w:anchor="_Toc217240197" w:history="1">
            <w:r w:rsidRPr="002C51E0">
              <w:rPr>
                <w:rStyle w:val="Hyperlink"/>
                <w:noProof/>
              </w:rPr>
              <w:t>Strategic Rationale</w:t>
            </w:r>
            <w:r>
              <w:rPr>
                <w:noProof/>
                <w:webHidden/>
              </w:rPr>
              <w:tab/>
            </w:r>
            <w:r>
              <w:rPr>
                <w:noProof/>
                <w:webHidden/>
              </w:rPr>
              <w:fldChar w:fldCharType="begin"/>
            </w:r>
            <w:r>
              <w:rPr>
                <w:noProof/>
                <w:webHidden/>
              </w:rPr>
              <w:instrText xml:space="preserve"> PAGEREF _Toc217240197 \h </w:instrText>
            </w:r>
            <w:r>
              <w:rPr>
                <w:noProof/>
                <w:webHidden/>
              </w:rPr>
            </w:r>
            <w:r>
              <w:rPr>
                <w:noProof/>
                <w:webHidden/>
              </w:rPr>
              <w:fldChar w:fldCharType="separate"/>
            </w:r>
            <w:r>
              <w:rPr>
                <w:noProof/>
                <w:webHidden/>
              </w:rPr>
              <w:t>5</w:t>
            </w:r>
            <w:r>
              <w:rPr>
                <w:noProof/>
                <w:webHidden/>
              </w:rPr>
              <w:fldChar w:fldCharType="end"/>
            </w:r>
          </w:hyperlink>
        </w:p>
        <w:p w14:paraId="588446B2" w14:textId="77777777" w:rsidR="00CF1A29" w:rsidRDefault="00CF1A29">
          <w:pPr>
            <w:pStyle w:val="TOC2"/>
            <w:tabs>
              <w:tab w:val="right" w:leader="dot" w:pos="9350"/>
            </w:tabs>
            <w:rPr>
              <w:rFonts w:eastAsiaTheme="minorEastAsia"/>
              <w:noProof/>
            </w:rPr>
          </w:pPr>
          <w:hyperlink w:anchor="_Toc217240198" w:history="1">
            <w:r w:rsidRPr="002C51E0">
              <w:rPr>
                <w:rStyle w:val="Hyperlink"/>
                <w:noProof/>
              </w:rPr>
              <w:t>Alignment with H&amp;B Objectives</w:t>
            </w:r>
            <w:r>
              <w:rPr>
                <w:noProof/>
                <w:webHidden/>
              </w:rPr>
              <w:tab/>
            </w:r>
            <w:r>
              <w:rPr>
                <w:noProof/>
                <w:webHidden/>
              </w:rPr>
              <w:fldChar w:fldCharType="begin"/>
            </w:r>
            <w:r>
              <w:rPr>
                <w:noProof/>
                <w:webHidden/>
              </w:rPr>
              <w:instrText xml:space="preserve"> PAGEREF _Toc217240198 \h </w:instrText>
            </w:r>
            <w:r>
              <w:rPr>
                <w:noProof/>
                <w:webHidden/>
              </w:rPr>
            </w:r>
            <w:r>
              <w:rPr>
                <w:noProof/>
                <w:webHidden/>
              </w:rPr>
              <w:fldChar w:fldCharType="separate"/>
            </w:r>
            <w:r>
              <w:rPr>
                <w:noProof/>
                <w:webHidden/>
              </w:rPr>
              <w:t>5</w:t>
            </w:r>
            <w:r>
              <w:rPr>
                <w:noProof/>
                <w:webHidden/>
              </w:rPr>
              <w:fldChar w:fldCharType="end"/>
            </w:r>
          </w:hyperlink>
        </w:p>
        <w:p w14:paraId="6598F759" w14:textId="77777777" w:rsidR="00CF1A29" w:rsidRDefault="00CF1A29">
          <w:pPr>
            <w:pStyle w:val="TOC1"/>
            <w:tabs>
              <w:tab w:val="right" w:leader="dot" w:pos="9350"/>
            </w:tabs>
            <w:rPr>
              <w:rFonts w:eastAsiaTheme="minorEastAsia"/>
              <w:noProof/>
            </w:rPr>
          </w:pPr>
          <w:hyperlink w:anchor="_Toc217240199" w:history="1">
            <w:r w:rsidRPr="002C51E0">
              <w:rPr>
                <w:rStyle w:val="Hyperlink"/>
                <w:noProof/>
              </w:rPr>
              <w:t>Section2. Comprehensive Strategic Analysis</w:t>
            </w:r>
            <w:r>
              <w:rPr>
                <w:noProof/>
                <w:webHidden/>
              </w:rPr>
              <w:tab/>
            </w:r>
            <w:r>
              <w:rPr>
                <w:noProof/>
                <w:webHidden/>
              </w:rPr>
              <w:fldChar w:fldCharType="begin"/>
            </w:r>
            <w:r>
              <w:rPr>
                <w:noProof/>
                <w:webHidden/>
              </w:rPr>
              <w:instrText xml:space="preserve"> PAGEREF _Toc217240199 \h </w:instrText>
            </w:r>
            <w:r>
              <w:rPr>
                <w:noProof/>
                <w:webHidden/>
              </w:rPr>
            </w:r>
            <w:r>
              <w:rPr>
                <w:noProof/>
                <w:webHidden/>
              </w:rPr>
              <w:fldChar w:fldCharType="separate"/>
            </w:r>
            <w:r>
              <w:rPr>
                <w:noProof/>
                <w:webHidden/>
              </w:rPr>
              <w:t>6</w:t>
            </w:r>
            <w:r>
              <w:rPr>
                <w:noProof/>
                <w:webHidden/>
              </w:rPr>
              <w:fldChar w:fldCharType="end"/>
            </w:r>
          </w:hyperlink>
        </w:p>
        <w:p w14:paraId="3856059F" w14:textId="77777777" w:rsidR="00CF1A29" w:rsidRDefault="00CF1A29">
          <w:pPr>
            <w:pStyle w:val="TOC2"/>
            <w:tabs>
              <w:tab w:val="right" w:leader="dot" w:pos="9350"/>
            </w:tabs>
            <w:rPr>
              <w:rFonts w:eastAsiaTheme="minorEastAsia"/>
              <w:noProof/>
            </w:rPr>
          </w:pPr>
          <w:hyperlink w:anchor="_Toc217240200" w:history="1">
            <w:r w:rsidRPr="002C51E0">
              <w:rPr>
                <w:rStyle w:val="Hyperlink"/>
                <w:noProof/>
              </w:rPr>
              <w:t>PESTLE Analysis of Vietnam</w:t>
            </w:r>
            <w:r>
              <w:rPr>
                <w:noProof/>
                <w:webHidden/>
              </w:rPr>
              <w:tab/>
            </w:r>
            <w:r>
              <w:rPr>
                <w:noProof/>
                <w:webHidden/>
              </w:rPr>
              <w:fldChar w:fldCharType="begin"/>
            </w:r>
            <w:r>
              <w:rPr>
                <w:noProof/>
                <w:webHidden/>
              </w:rPr>
              <w:instrText xml:space="preserve"> PAGEREF _Toc217240200 \h </w:instrText>
            </w:r>
            <w:r>
              <w:rPr>
                <w:noProof/>
                <w:webHidden/>
              </w:rPr>
            </w:r>
            <w:r>
              <w:rPr>
                <w:noProof/>
                <w:webHidden/>
              </w:rPr>
              <w:fldChar w:fldCharType="separate"/>
            </w:r>
            <w:r>
              <w:rPr>
                <w:noProof/>
                <w:webHidden/>
              </w:rPr>
              <w:t>6</w:t>
            </w:r>
            <w:r>
              <w:rPr>
                <w:noProof/>
                <w:webHidden/>
              </w:rPr>
              <w:fldChar w:fldCharType="end"/>
            </w:r>
          </w:hyperlink>
        </w:p>
        <w:p w14:paraId="57227B01" w14:textId="77777777" w:rsidR="00CF1A29" w:rsidRDefault="00CF1A29">
          <w:pPr>
            <w:pStyle w:val="TOC2"/>
            <w:tabs>
              <w:tab w:val="right" w:leader="dot" w:pos="9350"/>
            </w:tabs>
            <w:rPr>
              <w:rFonts w:eastAsiaTheme="minorEastAsia"/>
              <w:noProof/>
            </w:rPr>
          </w:pPr>
          <w:hyperlink w:anchor="_Toc217240201" w:history="1">
            <w:r w:rsidRPr="002C51E0">
              <w:rPr>
                <w:rStyle w:val="Hyperlink"/>
                <w:noProof/>
              </w:rPr>
              <w:t>Industry-Competitive Analysis: Porter’s Five Forces in Vietnam’s Health &amp; Wellness Retail Sector</w:t>
            </w:r>
            <w:r>
              <w:rPr>
                <w:noProof/>
                <w:webHidden/>
              </w:rPr>
              <w:tab/>
            </w:r>
            <w:r>
              <w:rPr>
                <w:noProof/>
                <w:webHidden/>
              </w:rPr>
              <w:fldChar w:fldCharType="begin"/>
            </w:r>
            <w:r>
              <w:rPr>
                <w:noProof/>
                <w:webHidden/>
              </w:rPr>
              <w:instrText xml:space="preserve"> PAGEREF _Toc217240201 \h </w:instrText>
            </w:r>
            <w:r>
              <w:rPr>
                <w:noProof/>
                <w:webHidden/>
              </w:rPr>
            </w:r>
            <w:r>
              <w:rPr>
                <w:noProof/>
                <w:webHidden/>
              </w:rPr>
              <w:fldChar w:fldCharType="separate"/>
            </w:r>
            <w:r>
              <w:rPr>
                <w:noProof/>
                <w:webHidden/>
              </w:rPr>
              <w:t>9</w:t>
            </w:r>
            <w:r>
              <w:rPr>
                <w:noProof/>
                <w:webHidden/>
              </w:rPr>
              <w:fldChar w:fldCharType="end"/>
            </w:r>
          </w:hyperlink>
        </w:p>
        <w:p w14:paraId="60D5B1D3" w14:textId="77777777" w:rsidR="00CF1A29" w:rsidRDefault="00CF1A29">
          <w:pPr>
            <w:pStyle w:val="TOC2"/>
            <w:tabs>
              <w:tab w:val="right" w:leader="dot" w:pos="9350"/>
            </w:tabs>
            <w:rPr>
              <w:rFonts w:eastAsiaTheme="minorEastAsia"/>
              <w:noProof/>
            </w:rPr>
          </w:pPr>
          <w:hyperlink w:anchor="_Toc217240202" w:history="1">
            <w:r w:rsidRPr="002C51E0">
              <w:rPr>
                <w:rStyle w:val="Hyperlink"/>
                <w:noProof/>
              </w:rPr>
              <w:t>SWOT Analysis (Performance Analysis)</w:t>
            </w:r>
            <w:r>
              <w:rPr>
                <w:noProof/>
                <w:webHidden/>
              </w:rPr>
              <w:tab/>
            </w:r>
            <w:r>
              <w:rPr>
                <w:noProof/>
                <w:webHidden/>
              </w:rPr>
              <w:fldChar w:fldCharType="begin"/>
            </w:r>
            <w:r>
              <w:rPr>
                <w:noProof/>
                <w:webHidden/>
              </w:rPr>
              <w:instrText xml:space="preserve"> PAGEREF _Toc217240202 \h </w:instrText>
            </w:r>
            <w:r>
              <w:rPr>
                <w:noProof/>
                <w:webHidden/>
              </w:rPr>
            </w:r>
            <w:r>
              <w:rPr>
                <w:noProof/>
                <w:webHidden/>
              </w:rPr>
              <w:fldChar w:fldCharType="separate"/>
            </w:r>
            <w:r>
              <w:rPr>
                <w:noProof/>
                <w:webHidden/>
              </w:rPr>
              <w:t>12</w:t>
            </w:r>
            <w:r>
              <w:rPr>
                <w:noProof/>
                <w:webHidden/>
              </w:rPr>
              <w:fldChar w:fldCharType="end"/>
            </w:r>
          </w:hyperlink>
        </w:p>
        <w:p w14:paraId="0113CB0A" w14:textId="77777777" w:rsidR="00CF1A29" w:rsidRDefault="00CF1A29">
          <w:pPr>
            <w:pStyle w:val="TOC2"/>
            <w:tabs>
              <w:tab w:val="right" w:leader="dot" w:pos="9350"/>
            </w:tabs>
            <w:rPr>
              <w:rFonts w:eastAsiaTheme="minorEastAsia"/>
              <w:noProof/>
            </w:rPr>
          </w:pPr>
          <w:hyperlink w:anchor="_Toc217240203" w:history="1">
            <w:r w:rsidRPr="002C51E0">
              <w:rPr>
                <w:rStyle w:val="Hyperlink"/>
                <w:noProof/>
              </w:rPr>
              <w:t>Insights &amp; Strategic Implications</w:t>
            </w:r>
            <w:r>
              <w:rPr>
                <w:noProof/>
                <w:webHidden/>
              </w:rPr>
              <w:tab/>
            </w:r>
            <w:r>
              <w:rPr>
                <w:noProof/>
                <w:webHidden/>
              </w:rPr>
              <w:fldChar w:fldCharType="begin"/>
            </w:r>
            <w:r>
              <w:rPr>
                <w:noProof/>
                <w:webHidden/>
              </w:rPr>
              <w:instrText xml:space="preserve"> PAGEREF _Toc217240203 \h </w:instrText>
            </w:r>
            <w:r>
              <w:rPr>
                <w:noProof/>
                <w:webHidden/>
              </w:rPr>
            </w:r>
            <w:r>
              <w:rPr>
                <w:noProof/>
                <w:webHidden/>
              </w:rPr>
              <w:fldChar w:fldCharType="separate"/>
            </w:r>
            <w:r>
              <w:rPr>
                <w:noProof/>
                <w:webHidden/>
              </w:rPr>
              <w:t>14</w:t>
            </w:r>
            <w:r>
              <w:rPr>
                <w:noProof/>
                <w:webHidden/>
              </w:rPr>
              <w:fldChar w:fldCharType="end"/>
            </w:r>
          </w:hyperlink>
        </w:p>
        <w:p w14:paraId="6F60FADF" w14:textId="77777777" w:rsidR="00CF1A29" w:rsidRDefault="00CF1A29">
          <w:pPr>
            <w:pStyle w:val="TOC1"/>
            <w:tabs>
              <w:tab w:val="right" w:leader="dot" w:pos="9350"/>
            </w:tabs>
            <w:rPr>
              <w:rFonts w:eastAsiaTheme="minorEastAsia"/>
              <w:noProof/>
            </w:rPr>
          </w:pPr>
          <w:hyperlink w:anchor="_Toc217240204" w:history="1">
            <w:r w:rsidRPr="002C51E0">
              <w:rPr>
                <w:rStyle w:val="Hyperlink"/>
                <w:noProof/>
              </w:rPr>
              <w:t>Section 3: Strategy Development and Formulation</w:t>
            </w:r>
            <w:r>
              <w:rPr>
                <w:noProof/>
                <w:webHidden/>
              </w:rPr>
              <w:tab/>
            </w:r>
            <w:r>
              <w:rPr>
                <w:noProof/>
                <w:webHidden/>
              </w:rPr>
              <w:fldChar w:fldCharType="begin"/>
            </w:r>
            <w:r>
              <w:rPr>
                <w:noProof/>
                <w:webHidden/>
              </w:rPr>
              <w:instrText xml:space="preserve"> PAGEREF _Toc217240204 \h </w:instrText>
            </w:r>
            <w:r>
              <w:rPr>
                <w:noProof/>
                <w:webHidden/>
              </w:rPr>
            </w:r>
            <w:r>
              <w:rPr>
                <w:noProof/>
                <w:webHidden/>
              </w:rPr>
              <w:fldChar w:fldCharType="separate"/>
            </w:r>
            <w:r>
              <w:rPr>
                <w:noProof/>
                <w:webHidden/>
              </w:rPr>
              <w:t>15</w:t>
            </w:r>
            <w:r>
              <w:rPr>
                <w:noProof/>
                <w:webHidden/>
              </w:rPr>
              <w:fldChar w:fldCharType="end"/>
            </w:r>
          </w:hyperlink>
        </w:p>
        <w:p w14:paraId="76853EB6" w14:textId="77777777" w:rsidR="00CF1A29" w:rsidRDefault="00CF1A29">
          <w:pPr>
            <w:pStyle w:val="TOC2"/>
            <w:tabs>
              <w:tab w:val="right" w:leader="dot" w:pos="9350"/>
            </w:tabs>
            <w:rPr>
              <w:rFonts w:eastAsiaTheme="minorEastAsia"/>
              <w:noProof/>
            </w:rPr>
          </w:pPr>
          <w:hyperlink w:anchor="_Toc217240205" w:history="1">
            <w:r w:rsidRPr="002C51E0">
              <w:rPr>
                <w:rStyle w:val="Hyperlink"/>
                <w:noProof/>
              </w:rPr>
              <w:t>Strategic Direction and Rationale</w:t>
            </w:r>
            <w:r>
              <w:rPr>
                <w:noProof/>
                <w:webHidden/>
              </w:rPr>
              <w:tab/>
            </w:r>
            <w:r>
              <w:rPr>
                <w:noProof/>
                <w:webHidden/>
              </w:rPr>
              <w:fldChar w:fldCharType="begin"/>
            </w:r>
            <w:r>
              <w:rPr>
                <w:noProof/>
                <w:webHidden/>
              </w:rPr>
              <w:instrText xml:space="preserve"> PAGEREF _Toc217240205 \h </w:instrText>
            </w:r>
            <w:r>
              <w:rPr>
                <w:noProof/>
                <w:webHidden/>
              </w:rPr>
            </w:r>
            <w:r>
              <w:rPr>
                <w:noProof/>
                <w:webHidden/>
              </w:rPr>
              <w:fldChar w:fldCharType="separate"/>
            </w:r>
            <w:r>
              <w:rPr>
                <w:noProof/>
                <w:webHidden/>
              </w:rPr>
              <w:t>15</w:t>
            </w:r>
            <w:r>
              <w:rPr>
                <w:noProof/>
                <w:webHidden/>
              </w:rPr>
              <w:fldChar w:fldCharType="end"/>
            </w:r>
          </w:hyperlink>
        </w:p>
        <w:p w14:paraId="70C3C1AD" w14:textId="77777777" w:rsidR="00CF1A29" w:rsidRDefault="00CF1A29">
          <w:pPr>
            <w:pStyle w:val="TOC2"/>
            <w:tabs>
              <w:tab w:val="right" w:leader="dot" w:pos="9350"/>
            </w:tabs>
            <w:rPr>
              <w:rFonts w:eastAsiaTheme="minorEastAsia"/>
              <w:noProof/>
            </w:rPr>
          </w:pPr>
          <w:hyperlink w:anchor="_Toc217240206" w:history="1">
            <w:r w:rsidRPr="002C51E0">
              <w:rPr>
                <w:rStyle w:val="Hyperlink"/>
                <w:noProof/>
              </w:rPr>
              <w:t>Strategic Model: Ansoff Matrix</w:t>
            </w:r>
            <w:r>
              <w:rPr>
                <w:noProof/>
                <w:webHidden/>
              </w:rPr>
              <w:tab/>
            </w:r>
            <w:r>
              <w:rPr>
                <w:noProof/>
                <w:webHidden/>
              </w:rPr>
              <w:fldChar w:fldCharType="begin"/>
            </w:r>
            <w:r>
              <w:rPr>
                <w:noProof/>
                <w:webHidden/>
              </w:rPr>
              <w:instrText xml:space="preserve"> PAGEREF _Toc217240206 \h </w:instrText>
            </w:r>
            <w:r>
              <w:rPr>
                <w:noProof/>
                <w:webHidden/>
              </w:rPr>
            </w:r>
            <w:r>
              <w:rPr>
                <w:noProof/>
                <w:webHidden/>
              </w:rPr>
              <w:fldChar w:fldCharType="separate"/>
            </w:r>
            <w:r>
              <w:rPr>
                <w:noProof/>
                <w:webHidden/>
              </w:rPr>
              <w:t>16</w:t>
            </w:r>
            <w:r>
              <w:rPr>
                <w:noProof/>
                <w:webHidden/>
              </w:rPr>
              <w:fldChar w:fldCharType="end"/>
            </w:r>
          </w:hyperlink>
        </w:p>
        <w:p w14:paraId="20EA09E7" w14:textId="77777777" w:rsidR="00CF1A29" w:rsidRDefault="00CF1A29">
          <w:pPr>
            <w:pStyle w:val="TOC2"/>
            <w:tabs>
              <w:tab w:val="right" w:leader="dot" w:pos="9350"/>
            </w:tabs>
            <w:rPr>
              <w:rFonts w:eastAsiaTheme="minorEastAsia"/>
              <w:noProof/>
            </w:rPr>
          </w:pPr>
          <w:hyperlink w:anchor="_Toc217240207" w:history="1">
            <w:r w:rsidRPr="002C51E0">
              <w:rPr>
                <w:rStyle w:val="Hyperlink"/>
                <w:noProof/>
              </w:rPr>
              <w:t>Selection of Market Entry Mode</w:t>
            </w:r>
            <w:r>
              <w:rPr>
                <w:noProof/>
                <w:webHidden/>
              </w:rPr>
              <w:tab/>
            </w:r>
            <w:r>
              <w:rPr>
                <w:noProof/>
                <w:webHidden/>
              </w:rPr>
              <w:fldChar w:fldCharType="begin"/>
            </w:r>
            <w:r>
              <w:rPr>
                <w:noProof/>
                <w:webHidden/>
              </w:rPr>
              <w:instrText xml:space="preserve"> PAGEREF _Toc217240207 \h </w:instrText>
            </w:r>
            <w:r>
              <w:rPr>
                <w:noProof/>
                <w:webHidden/>
              </w:rPr>
            </w:r>
            <w:r>
              <w:rPr>
                <w:noProof/>
                <w:webHidden/>
              </w:rPr>
              <w:fldChar w:fldCharType="separate"/>
            </w:r>
            <w:r>
              <w:rPr>
                <w:noProof/>
                <w:webHidden/>
              </w:rPr>
              <w:t>17</w:t>
            </w:r>
            <w:r>
              <w:rPr>
                <w:noProof/>
                <w:webHidden/>
              </w:rPr>
              <w:fldChar w:fldCharType="end"/>
            </w:r>
          </w:hyperlink>
        </w:p>
        <w:p w14:paraId="4D8AA6BA" w14:textId="77777777" w:rsidR="00CF1A29" w:rsidRDefault="00CF1A29">
          <w:pPr>
            <w:pStyle w:val="TOC2"/>
            <w:tabs>
              <w:tab w:val="right" w:leader="dot" w:pos="9350"/>
            </w:tabs>
            <w:rPr>
              <w:rFonts w:eastAsiaTheme="minorEastAsia"/>
              <w:noProof/>
            </w:rPr>
          </w:pPr>
          <w:hyperlink w:anchor="_Toc217240208" w:history="1">
            <w:r w:rsidRPr="002C51E0">
              <w:rPr>
                <w:rStyle w:val="Hyperlink"/>
                <w:noProof/>
              </w:rPr>
              <w:t>Competitive Positioning: Porter’s Generic Strategies</w:t>
            </w:r>
            <w:r>
              <w:rPr>
                <w:noProof/>
                <w:webHidden/>
              </w:rPr>
              <w:tab/>
            </w:r>
            <w:r>
              <w:rPr>
                <w:noProof/>
                <w:webHidden/>
              </w:rPr>
              <w:fldChar w:fldCharType="begin"/>
            </w:r>
            <w:r>
              <w:rPr>
                <w:noProof/>
                <w:webHidden/>
              </w:rPr>
              <w:instrText xml:space="preserve"> PAGEREF _Toc217240208 \h </w:instrText>
            </w:r>
            <w:r>
              <w:rPr>
                <w:noProof/>
                <w:webHidden/>
              </w:rPr>
            </w:r>
            <w:r>
              <w:rPr>
                <w:noProof/>
                <w:webHidden/>
              </w:rPr>
              <w:fldChar w:fldCharType="separate"/>
            </w:r>
            <w:r>
              <w:rPr>
                <w:noProof/>
                <w:webHidden/>
              </w:rPr>
              <w:t>17</w:t>
            </w:r>
            <w:r>
              <w:rPr>
                <w:noProof/>
                <w:webHidden/>
              </w:rPr>
              <w:fldChar w:fldCharType="end"/>
            </w:r>
          </w:hyperlink>
        </w:p>
        <w:p w14:paraId="5B2B162B" w14:textId="77777777" w:rsidR="00CF1A29" w:rsidRDefault="00CF1A29">
          <w:pPr>
            <w:pStyle w:val="TOC2"/>
            <w:tabs>
              <w:tab w:val="right" w:leader="dot" w:pos="9350"/>
            </w:tabs>
            <w:rPr>
              <w:rFonts w:eastAsiaTheme="minorEastAsia"/>
              <w:noProof/>
            </w:rPr>
          </w:pPr>
          <w:hyperlink w:anchor="_Toc217240209" w:history="1">
            <w:r w:rsidRPr="002C51E0">
              <w:rPr>
                <w:rStyle w:val="Hyperlink"/>
                <w:noProof/>
              </w:rPr>
              <w:t>Strategic Fit and Capability Assessment: VRIO Framework</w:t>
            </w:r>
            <w:r>
              <w:rPr>
                <w:noProof/>
                <w:webHidden/>
              </w:rPr>
              <w:tab/>
            </w:r>
            <w:r>
              <w:rPr>
                <w:noProof/>
                <w:webHidden/>
              </w:rPr>
              <w:fldChar w:fldCharType="begin"/>
            </w:r>
            <w:r>
              <w:rPr>
                <w:noProof/>
                <w:webHidden/>
              </w:rPr>
              <w:instrText xml:space="preserve"> PAGEREF _Toc217240209 \h </w:instrText>
            </w:r>
            <w:r>
              <w:rPr>
                <w:noProof/>
                <w:webHidden/>
              </w:rPr>
            </w:r>
            <w:r>
              <w:rPr>
                <w:noProof/>
                <w:webHidden/>
              </w:rPr>
              <w:fldChar w:fldCharType="separate"/>
            </w:r>
            <w:r>
              <w:rPr>
                <w:noProof/>
                <w:webHidden/>
              </w:rPr>
              <w:t>19</w:t>
            </w:r>
            <w:r>
              <w:rPr>
                <w:noProof/>
                <w:webHidden/>
              </w:rPr>
              <w:fldChar w:fldCharType="end"/>
            </w:r>
          </w:hyperlink>
        </w:p>
        <w:p w14:paraId="1EFE5F57" w14:textId="77777777" w:rsidR="00CF1A29" w:rsidRDefault="00CF1A29">
          <w:pPr>
            <w:pStyle w:val="TOC2"/>
            <w:tabs>
              <w:tab w:val="right" w:leader="dot" w:pos="9350"/>
            </w:tabs>
            <w:rPr>
              <w:rFonts w:eastAsiaTheme="minorEastAsia"/>
              <w:noProof/>
            </w:rPr>
          </w:pPr>
          <w:hyperlink w:anchor="_Toc217240210" w:history="1">
            <w:r w:rsidRPr="002C51E0">
              <w:rPr>
                <w:rStyle w:val="Hyperlink"/>
                <w:noProof/>
              </w:rPr>
              <w:t>Strategy Implementation Components</w:t>
            </w:r>
            <w:r>
              <w:rPr>
                <w:noProof/>
                <w:webHidden/>
              </w:rPr>
              <w:tab/>
            </w:r>
            <w:r>
              <w:rPr>
                <w:noProof/>
                <w:webHidden/>
              </w:rPr>
              <w:fldChar w:fldCharType="begin"/>
            </w:r>
            <w:r>
              <w:rPr>
                <w:noProof/>
                <w:webHidden/>
              </w:rPr>
              <w:instrText xml:space="preserve"> PAGEREF _Toc217240210 \h </w:instrText>
            </w:r>
            <w:r>
              <w:rPr>
                <w:noProof/>
                <w:webHidden/>
              </w:rPr>
            </w:r>
            <w:r>
              <w:rPr>
                <w:noProof/>
                <w:webHidden/>
              </w:rPr>
              <w:fldChar w:fldCharType="separate"/>
            </w:r>
            <w:r>
              <w:rPr>
                <w:noProof/>
                <w:webHidden/>
              </w:rPr>
              <w:t>20</w:t>
            </w:r>
            <w:r>
              <w:rPr>
                <w:noProof/>
                <w:webHidden/>
              </w:rPr>
              <w:fldChar w:fldCharType="end"/>
            </w:r>
          </w:hyperlink>
        </w:p>
        <w:p w14:paraId="1F9C5FC7" w14:textId="77777777" w:rsidR="00CF1A29" w:rsidRDefault="00CF1A29">
          <w:pPr>
            <w:pStyle w:val="TOC2"/>
            <w:tabs>
              <w:tab w:val="right" w:leader="dot" w:pos="9350"/>
            </w:tabs>
            <w:rPr>
              <w:rFonts w:eastAsiaTheme="minorEastAsia"/>
              <w:noProof/>
            </w:rPr>
          </w:pPr>
          <w:hyperlink w:anchor="_Toc217240211" w:history="1">
            <w:r w:rsidRPr="002C51E0">
              <w:rPr>
                <w:rStyle w:val="Hyperlink"/>
                <w:noProof/>
              </w:rPr>
              <w:t>Risk Analysis and Mitigation</w:t>
            </w:r>
            <w:r>
              <w:rPr>
                <w:noProof/>
                <w:webHidden/>
              </w:rPr>
              <w:tab/>
            </w:r>
            <w:r>
              <w:rPr>
                <w:noProof/>
                <w:webHidden/>
              </w:rPr>
              <w:fldChar w:fldCharType="begin"/>
            </w:r>
            <w:r>
              <w:rPr>
                <w:noProof/>
                <w:webHidden/>
              </w:rPr>
              <w:instrText xml:space="preserve"> PAGEREF _Toc217240211 \h </w:instrText>
            </w:r>
            <w:r>
              <w:rPr>
                <w:noProof/>
                <w:webHidden/>
              </w:rPr>
            </w:r>
            <w:r>
              <w:rPr>
                <w:noProof/>
                <w:webHidden/>
              </w:rPr>
              <w:fldChar w:fldCharType="separate"/>
            </w:r>
            <w:r>
              <w:rPr>
                <w:noProof/>
                <w:webHidden/>
              </w:rPr>
              <w:t>20</w:t>
            </w:r>
            <w:r>
              <w:rPr>
                <w:noProof/>
                <w:webHidden/>
              </w:rPr>
              <w:fldChar w:fldCharType="end"/>
            </w:r>
          </w:hyperlink>
        </w:p>
        <w:p w14:paraId="4D132098" w14:textId="77777777" w:rsidR="00CF1A29" w:rsidRDefault="00CF1A29">
          <w:pPr>
            <w:pStyle w:val="TOC1"/>
            <w:tabs>
              <w:tab w:val="right" w:leader="dot" w:pos="9350"/>
            </w:tabs>
            <w:rPr>
              <w:rFonts w:eastAsiaTheme="minorEastAsia"/>
              <w:noProof/>
            </w:rPr>
          </w:pPr>
          <w:hyperlink w:anchor="_Toc217240212" w:history="1">
            <w:r w:rsidRPr="002C51E0">
              <w:rPr>
                <w:rStyle w:val="Hyperlink"/>
                <w:noProof/>
              </w:rPr>
              <w:t>Section 4: Performance Evaluation Framework</w:t>
            </w:r>
            <w:r>
              <w:rPr>
                <w:noProof/>
                <w:webHidden/>
              </w:rPr>
              <w:tab/>
            </w:r>
            <w:r>
              <w:rPr>
                <w:noProof/>
                <w:webHidden/>
              </w:rPr>
              <w:fldChar w:fldCharType="begin"/>
            </w:r>
            <w:r>
              <w:rPr>
                <w:noProof/>
                <w:webHidden/>
              </w:rPr>
              <w:instrText xml:space="preserve"> PAGEREF _Toc217240212 \h </w:instrText>
            </w:r>
            <w:r>
              <w:rPr>
                <w:noProof/>
                <w:webHidden/>
              </w:rPr>
            </w:r>
            <w:r>
              <w:rPr>
                <w:noProof/>
                <w:webHidden/>
              </w:rPr>
              <w:fldChar w:fldCharType="separate"/>
            </w:r>
            <w:r>
              <w:rPr>
                <w:noProof/>
                <w:webHidden/>
              </w:rPr>
              <w:t>20</w:t>
            </w:r>
            <w:r>
              <w:rPr>
                <w:noProof/>
                <w:webHidden/>
              </w:rPr>
              <w:fldChar w:fldCharType="end"/>
            </w:r>
          </w:hyperlink>
        </w:p>
        <w:p w14:paraId="71D6561C" w14:textId="77777777" w:rsidR="00CF1A29" w:rsidRDefault="00CF1A29">
          <w:pPr>
            <w:pStyle w:val="TOC2"/>
            <w:tabs>
              <w:tab w:val="right" w:leader="dot" w:pos="9350"/>
            </w:tabs>
            <w:rPr>
              <w:rFonts w:eastAsiaTheme="minorEastAsia"/>
              <w:noProof/>
            </w:rPr>
          </w:pPr>
          <w:hyperlink w:anchor="_Toc217240213" w:history="1">
            <w:r w:rsidRPr="002C51E0">
              <w:rPr>
                <w:rStyle w:val="Hyperlink"/>
                <w:noProof/>
              </w:rPr>
              <w:t>Balanced Scorecard Framework for Holland &amp; Barrett</w:t>
            </w:r>
            <w:r>
              <w:rPr>
                <w:noProof/>
                <w:webHidden/>
              </w:rPr>
              <w:tab/>
            </w:r>
            <w:r>
              <w:rPr>
                <w:noProof/>
                <w:webHidden/>
              </w:rPr>
              <w:fldChar w:fldCharType="begin"/>
            </w:r>
            <w:r>
              <w:rPr>
                <w:noProof/>
                <w:webHidden/>
              </w:rPr>
              <w:instrText xml:space="preserve"> PAGEREF _Toc217240213 \h </w:instrText>
            </w:r>
            <w:r>
              <w:rPr>
                <w:noProof/>
                <w:webHidden/>
              </w:rPr>
            </w:r>
            <w:r>
              <w:rPr>
                <w:noProof/>
                <w:webHidden/>
              </w:rPr>
              <w:fldChar w:fldCharType="separate"/>
            </w:r>
            <w:r>
              <w:rPr>
                <w:noProof/>
                <w:webHidden/>
              </w:rPr>
              <w:t>20</w:t>
            </w:r>
            <w:r>
              <w:rPr>
                <w:noProof/>
                <w:webHidden/>
              </w:rPr>
              <w:fldChar w:fldCharType="end"/>
            </w:r>
          </w:hyperlink>
        </w:p>
        <w:p w14:paraId="46B269C8" w14:textId="77777777" w:rsidR="00CF1A29" w:rsidRDefault="00CF1A29">
          <w:pPr>
            <w:pStyle w:val="TOC2"/>
            <w:tabs>
              <w:tab w:val="right" w:leader="dot" w:pos="9350"/>
            </w:tabs>
            <w:rPr>
              <w:rFonts w:eastAsiaTheme="minorEastAsia"/>
              <w:noProof/>
            </w:rPr>
          </w:pPr>
          <w:hyperlink w:anchor="_Toc217240214" w:history="1">
            <w:r w:rsidRPr="002C51E0">
              <w:rPr>
                <w:rStyle w:val="Hyperlink"/>
                <w:noProof/>
              </w:rPr>
              <w:t>Triple Bottom Line Integration</w:t>
            </w:r>
            <w:r>
              <w:rPr>
                <w:noProof/>
                <w:webHidden/>
              </w:rPr>
              <w:tab/>
            </w:r>
            <w:r>
              <w:rPr>
                <w:noProof/>
                <w:webHidden/>
              </w:rPr>
              <w:fldChar w:fldCharType="begin"/>
            </w:r>
            <w:r>
              <w:rPr>
                <w:noProof/>
                <w:webHidden/>
              </w:rPr>
              <w:instrText xml:space="preserve"> PAGEREF _Toc217240214 \h </w:instrText>
            </w:r>
            <w:r>
              <w:rPr>
                <w:noProof/>
                <w:webHidden/>
              </w:rPr>
            </w:r>
            <w:r>
              <w:rPr>
                <w:noProof/>
                <w:webHidden/>
              </w:rPr>
              <w:fldChar w:fldCharType="separate"/>
            </w:r>
            <w:r>
              <w:rPr>
                <w:noProof/>
                <w:webHidden/>
              </w:rPr>
              <w:t>23</w:t>
            </w:r>
            <w:r>
              <w:rPr>
                <w:noProof/>
                <w:webHidden/>
              </w:rPr>
              <w:fldChar w:fldCharType="end"/>
            </w:r>
          </w:hyperlink>
        </w:p>
        <w:p w14:paraId="4590F001" w14:textId="77777777" w:rsidR="00CF1A29" w:rsidRDefault="00CF1A29">
          <w:pPr>
            <w:pStyle w:val="TOC2"/>
            <w:tabs>
              <w:tab w:val="right" w:leader="dot" w:pos="9350"/>
            </w:tabs>
            <w:rPr>
              <w:rFonts w:eastAsiaTheme="minorEastAsia"/>
              <w:noProof/>
            </w:rPr>
          </w:pPr>
          <w:hyperlink w:anchor="_Toc217240215" w:history="1">
            <w:r w:rsidRPr="002C51E0">
              <w:rPr>
                <w:rStyle w:val="Hyperlink"/>
                <w:noProof/>
              </w:rPr>
              <w:t>Monitoring and Governance Mechanisms</w:t>
            </w:r>
            <w:r>
              <w:rPr>
                <w:noProof/>
                <w:webHidden/>
              </w:rPr>
              <w:tab/>
            </w:r>
            <w:r>
              <w:rPr>
                <w:noProof/>
                <w:webHidden/>
              </w:rPr>
              <w:fldChar w:fldCharType="begin"/>
            </w:r>
            <w:r>
              <w:rPr>
                <w:noProof/>
                <w:webHidden/>
              </w:rPr>
              <w:instrText xml:space="preserve"> PAGEREF _Toc217240215 \h </w:instrText>
            </w:r>
            <w:r>
              <w:rPr>
                <w:noProof/>
                <w:webHidden/>
              </w:rPr>
            </w:r>
            <w:r>
              <w:rPr>
                <w:noProof/>
                <w:webHidden/>
              </w:rPr>
              <w:fldChar w:fldCharType="separate"/>
            </w:r>
            <w:r>
              <w:rPr>
                <w:noProof/>
                <w:webHidden/>
              </w:rPr>
              <w:t>24</w:t>
            </w:r>
            <w:r>
              <w:rPr>
                <w:noProof/>
                <w:webHidden/>
              </w:rPr>
              <w:fldChar w:fldCharType="end"/>
            </w:r>
          </w:hyperlink>
        </w:p>
        <w:p w14:paraId="645421BD" w14:textId="77777777" w:rsidR="00CF1A29" w:rsidRDefault="00CF1A29">
          <w:pPr>
            <w:pStyle w:val="TOC1"/>
            <w:tabs>
              <w:tab w:val="right" w:leader="dot" w:pos="9350"/>
            </w:tabs>
            <w:rPr>
              <w:rFonts w:eastAsiaTheme="minorEastAsia"/>
              <w:noProof/>
            </w:rPr>
          </w:pPr>
          <w:hyperlink w:anchor="_Toc217240216" w:history="1">
            <w:r w:rsidRPr="002C51E0">
              <w:rPr>
                <w:rStyle w:val="Hyperlink"/>
                <w:noProof/>
              </w:rPr>
              <w:t>Conclusion</w:t>
            </w:r>
            <w:r>
              <w:rPr>
                <w:noProof/>
                <w:webHidden/>
              </w:rPr>
              <w:tab/>
            </w:r>
            <w:r>
              <w:rPr>
                <w:noProof/>
                <w:webHidden/>
              </w:rPr>
              <w:fldChar w:fldCharType="begin"/>
            </w:r>
            <w:r>
              <w:rPr>
                <w:noProof/>
                <w:webHidden/>
              </w:rPr>
              <w:instrText xml:space="preserve"> PAGEREF _Toc217240216 \h </w:instrText>
            </w:r>
            <w:r>
              <w:rPr>
                <w:noProof/>
                <w:webHidden/>
              </w:rPr>
            </w:r>
            <w:r>
              <w:rPr>
                <w:noProof/>
                <w:webHidden/>
              </w:rPr>
              <w:fldChar w:fldCharType="separate"/>
            </w:r>
            <w:r>
              <w:rPr>
                <w:noProof/>
                <w:webHidden/>
              </w:rPr>
              <w:t>24</w:t>
            </w:r>
            <w:r>
              <w:rPr>
                <w:noProof/>
                <w:webHidden/>
              </w:rPr>
              <w:fldChar w:fldCharType="end"/>
            </w:r>
          </w:hyperlink>
        </w:p>
        <w:p w14:paraId="0A9F4587" w14:textId="77777777" w:rsidR="00CF1A29" w:rsidRDefault="00CF1A29">
          <w:pPr>
            <w:pStyle w:val="TOC1"/>
            <w:tabs>
              <w:tab w:val="right" w:leader="dot" w:pos="9350"/>
            </w:tabs>
            <w:rPr>
              <w:rFonts w:eastAsiaTheme="minorEastAsia"/>
              <w:noProof/>
            </w:rPr>
          </w:pPr>
          <w:hyperlink w:anchor="_Toc217240217" w:history="1">
            <w:r w:rsidRPr="002C51E0">
              <w:rPr>
                <w:rStyle w:val="Hyperlink"/>
                <w:noProof/>
              </w:rPr>
              <w:t>References</w:t>
            </w:r>
            <w:r>
              <w:rPr>
                <w:noProof/>
                <w:webHidden/>
              </w:rPr>
              <w:tab/>
            </w:r>
            <w:r>
              <w:rPr>
                <w:noProof/>
                <w:webHidden/>
              </w:rPr>
              <w:fldChar w:fldCharType="begin"/>
            </w:r>
            <w:r>
              <w:rPr>
                <w:noProof/>
                <w:webHidden/>
              </w:rPr>
              <w:instrText xml:space="preserve"> PAGEREF _Toc217240217 \h </w:instrText>
            </w:r>
            <w:r>
              <w:rPr>
                <w:noProof/>
                <w:webHidden/>
              </w:rPr>
            </w:r>
            <w:r>
              <w:rPr>
                <w:noProof/>
                <w:webHidden/>
              </w:rPr>
              <w:fldChar w:fldCharType="separate"/>
            </w:r>
            <w:r>
              <w:rPr>
                <w:noProof/>
                <w:webHidden/>
              </w:rPr>
              <w:t>25</w:t>
            </w:r>
            <w:r>
              <w:rPr>
                <w:noProof/>
                <w:webHidden/>
              </w:rPr>
              <w:fldChar w:fldCharType="end"/>
            </w:r>
          </w:hyperlink>
        </w:p>
        <w:p w14:paraId="1B3AF4CE" w14:textId="77777777" w:rsidR="007C0ACF" w:rsidRDefault="007C0ACF">
          <w:r>
            <w:rPr>
              <w:b/>
              <w:bCs/>
              <w:noProof/>
            </w:rPr>
            <w:fldChar w:fldCharType="end"/>
          </w:r>
        </w:p>
      </w:sdtContent>
    </w:sdt>
    <w:p w14:paraId="3FCE557B" w14:textId="77777777" w:rsidR="00CF1A29" w:rsidRDefault="007C0ACF">
      <w:pPr>
        <w:pStyle w:val="TableofFigures"/>
        <w:tabs>
          <w:tab w:val="right" w:leader="dot" w:pos="9350"/>
        </w:tabs>
        <w:rPr>
          <w:rFonts w:eastAsiaTheme="minorEastAsia"/>
          <w:noProof/>
        </w:rPr>
      </w:pPr>
      <w:r>
        <w:rPr>
          <w:rFonts w:ascii="Times New Roman" w:hAnsi="Times New Roman" w:cs="Times New Roman"/>
          <w:b/>
          <w:bCs/>
          <w:sz w:val="24"/>
        </w:rPr>
        <w:fldChar w:fldCharType="begin"/>
      </w:r>
      <w:r>
        <w:rPr>
          <w:rFonts w:ascii="Times New Roman" w:hAnsi="Times New Roman" w:cs="Times New Roman"/>
          <w:b/>
          <w:bCs/>
          <w:sz w:val="24"/>
        </w:rPr>
        <w:instrText xml:space="preserve"> TOC \h \z \c "Figure" </w:instrText>
      </w:r>
      <w:r>
        <w:rPr>
          <w:rFonts w:ascii="Times New Roman" w:hAnsi="Times New Roman" w:cs="Times New Roman"/>
          <w:b/>
          <w:bCs/>
          <w:sz w:val="24"/>
        </w:rPr>
        <w:fldChar w:fldCharType="separate"/>
      </w:r>
      <w:hyperlink w:anchor="_Toc217240218" w:history="1">
        <w:r w:rsidR="00CF1A29" w:rsidRPr="009B5791">
          <w:rPr>
            <w:rStyle w:val="Hyperlink"/>
            <w:noProof/>
          </w:rPr>
          <w:t>Figure 1: Holland &amp; Barret Store</w:t>
        </w:r>
        <w:r w:rsidR="00CF1A29">
          <w:rPr>
            <w:noProof/>
            <w:webHidden/>
          </w:rPr>
          <w:tab/>
        </w:r>
        <w:r w:rsidR="00CF1A29">
          <w:rPr>
            <w:noProof/>
            <w:webHidden/>
          </w:rPr>
          <w:fldChar w:fldCharType="begin"/>
        </w:r>
        <w:r w:rsidR="00CF1A29">
          <w:rPr>
            <w:noProof/>
            <w:webHidden/>
          </w:rPr>
          <w:instrText xml:space="preserve"> PAGEREF _Toc217240218 \h </w:instrText>
        </w:r>
        <w:r w:rsidR="00CF1A29">
          <w:rPr>
            <w:noProof/>
            <w:webHidden/>
          </w:rPr>
        </w:r>
        <w:r w:rsidR="00CF1A29">
          <w:rPr>
            <w:noProof/>
            <w:webHidden/>
          </w:rPr>
          <w:fldChar w:fldCharType="separate"/>
        </w:r>
        <w:r w:rsidR="00CF1A29">
          <w:rPr>
            <w:noProof/>
            <w:webHidden/>
          </w:rPr>
          <w:t>3</w:t>
        </w:r>
        <w:r w:rsidR="00CF1A29">
          <w:rPr>
            <w:noProof/>
            <w:webHidden/>
          </w:rPr>
          <w:fldChar w:fldCharType="end"/>
        </w:r>
      </w:hyperlink>
    </w:p>
    <w:p w14:paraId="69B236EF" w14:textId="77777777" w:rsidR="00CF1A29" w:rsidRDefault="00CF1A29">
      <w:pPr>
        <w:pStyle w:val="TableofFigures"/>
        <w:tabs>
          <w:tab w:val="right" w:leader="dot" w:pos="9350"/>
        </w:tabs>
        <w:rPr>
          <w:rFonts w:eastAsiaTheme="minorEastAsia"/>
          <w:noProof/>
        </w:rPr>
      </w:pPr>
      <w:hyperlink w:anchor="_Toc217240219" w:history="1">
        <w:r w:rsidRPr="009B5791">
          <w:rPr>
            <w:rStyle w:val="Hyperlink"/>
            <w:noProof/>
          </w:rPr>
          <w:t>Figure 2: Vietnam Dietary Supplements</w:t>
        </w:r>
        <w:r>
          <w:rPr>
            <w:noProof/>
            <w:webHidden/>
          </w:rPr>
          <w:tab/>
        </w:r>
        <w:r>
          <w:rPr>
            <w:noProof/>
            <w:webHidden/>
          </w:rPr>
          <w:fldChar w:fldCharType="begin"/>
        </w:r>
        <w:r>
          <w:rPr>
            <w:noProof/>
            <w:webHidden/>
          </w:rPr>
          <w:instrText xml:space="preserve"> PAGEREF _Toc217240219 \h </w:instrText>
        </w:r>
        <w:r>
          <w:rPr>
            <w:noProof/>
            <w:webHidden/>
          </w:rPr>
        </w:r>
        <w:r>
          <w:rPr>
            <w:noProof/>
            <w:webHidden/>
          </w:rPr>
          <w:fldChar w:fldCharType="separate"/>
        </w:r>
        <w:r>
          <w:rPr>
            <w:noProof/>
            <w:webHidden/>
          </w:rPr>
          <w:t>3</w:t>
        </w:r>
        <w:r>
          <w:rPr>
            <w:noProof/>
            <w:webHidden/>
          </w:rPr>
          <w:fldChar w:fldCharType="end"/>
        </w:r>
      </w:hyperlink>
    </w:p>
    <w:p w14:paraId="74F25433" w14:textId="77777777" w:rsidR="00CF1A29" w:rsidRDefault="00CF1A29">
      <w:pPr>
        <w:pStyle w:val="TableofFigures"/>
        <w:tabs>
          <w:tab w:val="right" w:leader="dot" w:pos="9350"/>
        </w:tabs>
        <w:rPr>
          <w:rFonts w:eastAsiaTheme="minorEastAsia"/>
          <w:noProof/>
        </w:rPr>
      </w:pPr>
      <w:hyperlink w:anchor="_Toc217240220" w:history="1">
        <w:r w:rsidRPr="009B5791">
          <w:rPr>
            <w:rStyle w:val="Hyperlink"/>
            <w:noProof/>
          </w:rPr>
          <w:t>Figure 3: Vietnam GDP Annual Growth Rate</w:t>
        </w:r>
        <w:r>
          <w:rPr>
            <w:noProof/>
            <w:webHidden/>
          </w:rPr>
          <w:tab/>
        </w:r>
        <w:r>
          <w:rPr>
            <w:noProof/>
            <w:webHidden/>
          </w:rPr>
          <w:fldChar w:fldCharType="begin"/>
        </w:r>
        <w:r>
          <w:rPr>
            <w:noProof/>
            <w:webHidden/>
          </w:rPr>
          <w:instrText xml:space="preserve"> PAGEREF _Toc217240220 \h </w:instrText>
        </w:r>
        <w:r>
          <w:rPr>
            <w:noProof/>
            <w:webHidden/>
          </w:rPr>
        </w:r>
        <w:r>
          <w:rPr>
            <w:noProof/>
            <w:webHidden/>
          </w:rPr>
          <w:fldChar w:fldCharType="separate"/>
        </w:r>
        <w:r>
          <w:rPr>
            <w:noProof/>
            <w:webHidden/>
          </w:rPr>
          <w:t>7</w:t>
        </w:r>
        <w:r>
          <w:rPr>
            <w:noProof/>
            <w:webHidden/>
          </w:rPr>
          <w:fldChar w:fldCharType="end"/>
        </w:r>
      </w:hyperlink>
    </w:p>
    <w:p w14:paraId="0F951F84" w14:textId="77777777" w:rsidR="00CF1A29" w:rsidRDefault="00CF1A29">
      <w:pPr>
        <w:pStyle w:val="TableofFigures"/>
        <w:tabs>
          <w:tab w:val="right" w:leader="dot" w:pos="9350"/>
        </w:tabs>
        <w:rPr>
          <w:rFonts w:eastAsiaTheme="minorEastAsia"/>
          <w:noProof/>
        </w:rPr>
      </w:pPr>
      <w:hyperlink w:anchor="_Toc217240221" w:history="1">
        <w:r w:rsidRPr="009B5791">
          <w:rPr>
            <w:rStyle w:val="Hyperlink"/>
            <w:noProof/>
          </w:rPr>
          <w:t>Figure 4: Growth of Vietnam’s Payment Market (USD in Billion)</w:t>
        </w:r>
        <w:r>
          <w:rPr>
            <w:noProof/>
            <w:webHidden/>
          </w:rPr>
          <w:tab/>
        </w:r>
        <w:r>
          <w:rPr>
            <w:noProof/>
            <w:webHidden/>
          </w:rPr>
          <w:fldChar w:fldCharType="begin"/>
        </w:r>
        <w:r>
          <w:rPr>
            <w:noProof/>
            <w:webHidden/>
          </w:rPr>
          <w:instrText xml:space="preserve"> PAGEREF _Toc217240221 \h </w:instrText>
        </w:r>
        <w:r>
          <w:rPr>
            <w:noProof/>
            <w:webHidden/>
          </w:rPr>
        </w:r>
        <w:r>
          <w:rPr>
            <w:noProof/>
            <w:webHidden/>
          </w:rPr>
          <w:fldChar w:fldCharType="separate"/>
        </w:r>
        <w:r>
          <w:rPr>
            <w:noProof/>
            <w:webHidden/>
          </w:rPr>
          <w:t>8</w:t>
        </w:r>
        <w:r>
          <w:rPr>
            <w:noProof/>
            <w:webHidden/>
          </w:rPr>
          <w:fldChar w:fldCharType="end"/>
        </w:r>
      </w:hyperlink>
    </w:p>
    <w:p w14:paraId="66E6CF83" w14:textId="77777777" w:rsidR="00CF1A29" w:rsidRDefault="00CF1A29">
      <w:pPr>
        <w:pStyle w:val="TableofFigures"/>
        <w:tabs>
          <w:tab w:val="right" w:leader="dot" w:pos="9350"/>
        </w:tabs>
        <w:rPr>
          <w:rFonts w:eastAsiaTheme="minorEastAsia"/>
          <w:noProof/>
        </w:rPr>
      </w:pPr>
      <w:hyperlink w:anchor="_Toc217240222" w:history="1">
        <w:r w:rsidRPr="009B5791">
          <w:rPr>
            <w:rStyle w:val="Hyperlink"/>
            <w:noProof/>
          </w:rPr>
          <w:t>Figure 5: Porter’s Five Forces</w:t>
        </w:r>
        <w:r>
          <w:rPr>
            <w:noProof/>
            <w:webHidden/>
          </w:rPr>
          <w:tab/>
        </w:r>
        <w:r>
          <w:rPr>
            <w:noProof/>
            <w:webHidden/>
          </w:rPr>
          <w:fldChar w:fldCharType="begin"/>
        </w:r>
        <w:r>
          <w:rPr>
            <w:noProof/>
            <w:webHidden/>
          </w:rPr>
          <w:instrText xml:space="preserve"> PAGEREF _Toc217240222 \h </w:instrText>
        </w:r>
        <w:r>
          <w:rPr>
            <w:noProof/>
            <w:webHidden/>
          </w:rPr>
        </w:r>
        <w:r>
          <w:rPr>
            <w:noProof/>
            <w:webHidden/>
          </w:rPr>
          <w:fldChar w:fldCharType="separate"/>
        </w:r>
        <w:r>
          <w:rPr>
            <w:noProof/>
            <w:webHidden/>
          </w:rPr>
          <w:t>10</w:t>
        </w:r>
        <w:r>
          <w:rPr>
            <w:noProof/>
            <w:webHidden/>
          </w:rPr>
          <w:fldChar w:fldCharType="end"/>
        </w:r>
      </w:hyperlink>
    </w:p>
    <w:p w14:paraId="3FB3B626" w14:textId="77777777" w:rsidR="00CF1A29" w:rsidRDefault="00CF1A29">
      <w:pPr>
        <w:pStyle w:val="TableofFigures"/>
        <w:tabs>
          <w:tab w:val="right" w:leader="dot" w:pos="9350"/>
        </w:tabs>
        <w:rPr>
          <w:rFonts w:eastAsiaTheme="minorEastAsia"/>
          <w:noProof/>
        </w:rPr>
      </w:pPr>
      <w:hyperlink w:anchor="_Toc217240223" w:history="1">
        <w:r w:rsidRPr="009B5791">
          <w:rPr>
            <w:rStyle w:val="Hyperlink"/>
            <w:noProof/>
          </w:rPr>
          <w:t>Figure 6: SWOT Analysis</w:t>
        </w:r>
        <w:r>
          <w:rPr>
            <w:noProof/>
            <w:webHidden/>
          </w:rPr>
          <w:tab/>
        </w:r>
        <w:r>
          <w:rPr>
            <w:noProof/>
            <w:webHidden/>
          </w:rPr>
          <w:fldChar w:fldCharType="begin"/>
        </w:r>
        <w:r>
          <w:rPr>
            <w:noProof/>
            <w:webHidden/>
          </w:rPr>
          <w:instrText xml:space="preserve"> PAGEREF _Toc217240223 \h </w:instrText>
        </w:r>
        <w:r>
          <w:rPr>
            <w:noProof/>
            <w:webHidden/>
          </w:rPr>
        </w:r>
        <w:r>
          <w:rPr>
            <w:noProof/>
            <w:webHidden/>
          </w:rPr>
          <w:fldChar w:fldCharType="separate"/>
        </w:r>
        <w:r>
          <w:rPr>
            <w:noProof/>
            <w:webHidden/>
          </w:rPr>
          <w:t>13</w:t>
        </w:r>
        <w:r>
          <w:rPr>
            <w:noProof/>
            <w:webHidden/>
          </w:rPr>
          <w:fldChar w:fldCharType="end"/>
        </w:r>
      </w:hyperlink>
    </w:p>
    <w:p w14:paraId="6C5F964F" w14:textId="77777777" w:rsidR="00CF1A29" w:rsidRDefault="00CF1A29">
      <w:pPr>
        <w:pStyle w:val="TableofFigures"/>
        <w:tabs>
          <w:tab w:val="right" w:leader="dot" w:pos="9350"/>
        </w:tabs>
        <w:rPr>
          <w:rFonts w:eastAsiaTheme="minorEastAsia"/>
          <w:noProof/>
        </w:rPr>
      </w:pPr>
      <w:hyperlink w:anchor="_Toc217240224" w:history="1">
        <w:r w:rsidRPr="009B5791">
          <w:rPr>
            <w:rStyle w:val="Hyperlink"/>
            <w:noProof/>
          </w:rPr>
          <w:t>Figure 7: Ansoff Matrix</w:t>
        </w:r>
        <w:r>
          <w:rPr>
            <w:noProof/>
            <w:webHidden/>
          </w:rPr>
          <w:tab/>
        </w:r>
        <w:r>
          <w:rPr>
            <w:noProof/>
            <w:webHidden/>
          </w:rPr>
          <w:fldChar w:fldCharType="begin"/>
        </w:r>
        <w:r>
          <w:rPr>
            <w:noProof/>
            <w:webHidden/>
          </w:rPr>
          <w:instrText xml:space="preserve"> PAGEREF _Toc217240224 \h </w:instrText>
        </w:r>
        <w:r>
          <w:rPr>
            <w:noProof/>
            <w:webHidden/>
          </w:rPr>
        </w:r>
        <w:r>
          <w:rPr>
            <w:noProof/>
            <w:webHidden/>
          </w:rPr>
          <w:fldChar w:fldCharType="separate"/>
        </w:r>
        <w:r>
          <w:rPr>
            <w:noProof/>
            <w:webHidden/>
          </w:rPr>
          <w:t>16</w:t>
        </w:r>
        <w:r>
          <w:rPr>
            <w:noProof/>
            <w:webHidden/>
          </w:rPr>
          <w:fldChar w:fldCharType="end"/>
        </w:r>
      </w:hyperlink>
    </w:p>
    <w:p w14:paraId="2A1651FB" w14:textId="77777777" w:rsidR="00CF1A29" w:rsidRDefault="00CF1A29">
      <w:pPr>
        <w:pStyle w:val="TableofFigures"/>
        <w:tabs>
          <w:tab w:val="right" w:leader="dot" w:pos="9350"/>
        </w:tabs>
        <w:rPr>
          <w:rFonts w:eastAsiaTheme="minorEastAsia"/>
          <w:noProof/>
        </w:rPr>
      </w:pPr>
      <w:hyperlink w:anchor="_Toc217240225" w:history="1">
        <w:r w:rsidRPr="009B5791">
          <w:rPr>
            <w:rStyle w:val="Hyperlink"/>
            <w:noProof/>
          </w:rPr>
          <w:t>Figure 8: Porter’s Generic Strategies</w:t>
        </w:r>
        <w:r>
          <w:rPr>
            <w:noProof/>
            <w:webHidden/>
          </w:rPr>
          <w:tab/>
        </w:r>
        <w:r>
          <w:rPr>
            <w:noProof/>
            <w:webHidden/>
          </w:rPr>
          <w:fldChar w:fldCharType="begin"/>
        </w:r>
        <w:r>
          <w:rPr>
            <w:noProof/>
            <w:webHidden/>
          </w:rPr>
          <w:instrText xml:space="preserve"> PAGEREF _Toc217240225 \h </w:instrText>
        </w:r>
        <w:r>
          <w:rPr>
            <w:noProof/>
            <w:webHidden/>
          </w:rPr>
        </w:r>
        <w:r>
          <w:rPr>
            <w:noProof/>
            <w:webHidden/>
          </w:rPr>
          <w:fldChar w:fldCharType="separate"/>
        </w:r>
        <w:r>
          <w:rPr>
            <w:noProof/>
            <w:webHidden/>
          </w:rPr>
          <w:t>18</w:t>
        </w:r>
        <w:r>
          <w:rPr>
            <w:noProof/>
            <w:webHidden/>
          </w:rPr>
          <w:fldChar w:fldCharType="end"/>
        </w:r>
      </w:hyperlink>
    </w:p>
    <w:p w14:paraId="3553D8A2" w14:textId="77777777" w:rsidR="00CF1A29" w:rsidRDefault="00CF1A29">
      <w:pPr>
        <w:pStyle w:val="TableofFigures"/>
        <w:tabs>
          <w:tab w:val="right" w:leader="dot" w:pos="9350"/>
        </w:tabs>
        <w:rPr>
          <w:rFonts w:eastAsiaTheme="minorEastAsia"/>
          <w:noProof/>
        </w:rPr>
      </w:pPr>
      <w:hyperlink w:anchor="_Toc217240226" w:history="1">
        <w:r w:rsidRPr="009B5791">
          <w:rPr>
            <w:rStyle w:val="Hyperlink"/>
            <w:noProof/>
          </w:rPr>
          <w:t>Figure 9: VRIO Framework</w:t>
        </w:r>
        <w:r>
          <w:rPr>
            <w:noProof/>
            <w:webHidden/>
          </w:rPr>
          <w:tab/>
        </w:r>
        <w:r>
          <w:rPr>
            <w:noProof/>
            <w:webHidden/>
          </w:rPr>
          <w:fldChar w:fldCharType="begin"/>
        </w:r>
        <w:r>
          <w:rPr>
            <w:noProof/>
            <w:webHidden/>
          </w:rPr>
          <w:instrText xml:space="preserve"> PAGEREF _Toc217240226 \h </w:instrText>
        </w:r>
        <w:r>
          <w:rPr>
            <w:noProof/>
            <w:webHidden/>
          </w:rPr>
        </w:r>
        <w:r>
          <w:rPr>
            <w:noProof/>
            <w:webHidden/>
          </w:rPr>
          <w:fldChar w:fldCharType="separate"/>
        </w:r>
        <w:r>
          <w:rPr>
            <w:noProof/>
            <w:webHidden/>
          </w:rPr>
          <w:t>19</w:t>
        </w:r>
        <w:r>
          <w:rPr>
            <w:noProof/>
            <w:webHidden/>
          </w:rPr>
          <w:fldChar w:fldCharType="end"/>
        </w:r>
      </w:hyperlink>
    </w:p>
    <w:p w14:paraId="6CAA9F82" w14:textId="77777777" w:rsidR="00CF1A29" w:rsidRDefault="00CF1A29">
      <w:pPr>
        <w:pStyle w:val="TableofFigures"/>
        <w:tabs>
          <w:tab w:val="right" w:leader="dot" w:pos="9350"/>
        </w:tabs>
        <w:rPr>
          <w:rFonts w:eastAsiaTheme="minorEastAsia"/>
          <w:noProof/>
        </w:rPr>
      </w:pPr>
      <w:hyperlink w:anchor="_Toc217240227" w:history="1">
        <w:r w:rsidRPr="009B5791">
          <w:rPr>
            <w:rStyle w:val="Hyperlink"/>
            <w:noProof/>
          </w:rPr>
          <w:t>Figure 10: Triple Bottom Line Framework</w:t>
        </w:r>
        <w:r>
          <w:rPr>
            <w:noProof/>
            <w:webHidden/>
          </w:rPr>
          <w:tab/>
        </w:r>
        <w:r>
          <w:rPr>
            <w:noProof/>
            <w:webHidden/>
          </w:rPr>
          <w:fldChar w:fldCharType="begin"/>
        </w:r>
        <w:r>
          <w:rPr>
            <w:noProof/>
            <w:webHidden/>
          </w:rPr>
          <w:instrText xml:space="preserve"> PAGEREF _Toc217240227 \h </w:instrText>
        </w:r>
        <w:r>
          <w:rPr>
            <w:noProof/>
            <w:webHidden/>
          </w:rPr>
        </w:r>
        <w:r>
          <w:rPr>
            <w:noProof/>
            <w:webHidden/>
          </w:rPr>
          <w:fldChar w:fldCharType="separate"/>
        </w:r>
        <w:r>
          <w:rPr>
            <w:noProof/>
            <w:webHidden/>
          </w:rPr>
          <w:t>23</w:t>
        </w:r>
        <w:r>
          <w:rPr>
            <w:noProof/>
            <w:webHidden/>
          </w:rPr>
          <w:fldChar w:fldCharType="end"/>
        </w:r>
      </w:hyperlink>
    </w:p>
    <w:p w14:paraId="68B62434" w14:textId="77777777" w:rsidR="002A2808" w:rsidRPr="002A2808" w:rsidRDefault="007C0ACF" w:rsidP="007C0ACF">
      <w:pPr>
        <w:rPr>
          <w:rFonts w:ascii="Times New Roman" w:hAnsi="Times New Roman" w:cs="Times New Roman"/>
          <w:b/>
          <w:bCs/>
          <w:sz w:val="24"/>
        </w:rPr>
      </w:pPr>
      <w:r>
        <w:rPr>
          <w:rFonts w:ascii="Times New Roman" w:hAnsi="Times New Roman" w:cs="Times New Roman"/>
          <w:b/>
          <w:bCs/>
          <w:sz w:val="24"/>
        </w:rPr>
        <w:fldChar w:fldCharType="end"/>
      </w:r>
      <w:r w:rsidR="002A2808" w:rsidRPr="002A2808">
        <w:rPr>
          <w:rFonts w:ascii="Times New Roman" w:hAnsi="Times New Roman" w:cs="Times New Roman"/>
          <w:b/>
          <w:bCs/>
          <w:sz w:val="24"/>
        </w:rPr>
        <w:br w:type="page"/>
      </w:r>
    </w:p>
    <w:p w14:paraId="2E97C0F9" w14:textId="77777777" w:rsidR="0087197B" w:rsidRPr="0087197B" w:rsidRDefault="00E622C3" w:rsidP="00E622C3">
      <w:pPr>
        <w:pStyle w:val="Heading1"/>
      </w:pPr>
      <w:bookmarkStart w:id="0" w:name="_Toc217240193"/>
      <w:r>
        <w:t xml:space="preserve">1. </w:t>
      </w:r>
      <w:r w:rsidR="0087197B" w:rsidRPr="0087197B">
        <w:t>Introduction</w:t>
      </w:r>
      <w:bookmarkEnd w:id="0"/>
      <w:r w:rsidR="0087197B" w:rsidRPr="0087197B">
        <w:t xml:space="preserve"> </w:t>
      </w:r>
    </w:p>
    <w:p w14:paraId="0ED2E162" w14:textId="77777777" w:rsidR="0087197B" w:rsidRDefault="002D273C" w:rsidP="0087197B">
      <w:pPr>
        <w:spacing w:line="360" w:lineRule="auto"/>
        <w:jc w:val="both"/>
        <w:rPr>
          <w:rFonts w:ascii="Times New Roman" w:hAnsi="Times New Roman" w:cs="Times New Roman"/>
          <w:sz w:val="24"/>
        </w:rPr>
      </w:pPr>
      <w:r w:rsidRPr="002D273C">
        <w:rPr>
          <w:rFonts w:ascii="Times New Roman" w:hAnsi="Times New Roman" w:cs="Times New Roman"/>
          <w:sz w:val="24"/>
        </w:rPr>
        <w:t>This report is a strategic expansion plan of Holland and Barrett (H&amp;B) in the Vietnamese market. The objective is to evaluate the suitability of Vietnam as a new global market based on well-known strategic management frameworks and suggest a new evidence-based, data-driven market entry strategy</w:t>
      </w:r>
      <w:r w:rsidR="0087197B" w:rsidRPr="0087197B">
        <w:rPr>
          <w:rFonts w:ascii="Times New Roman" w:hAnsi="Times New Roman" w:cs="Times New Roman"/>
          <w:sz w:val="24"/>
        </w:rPr>
        <w:t>.</w:t>
      </w:r>
    </w:p>
    <w:p w14:paraId="4B1D26AC" w14:textId="77777777" w:rsidR="0087197B" w:rsidRDefault="0087197B" w:rsidP="0087197B">
      <w:pPr>
        <w:spacing w:line="360" w:lineRule="auto"/>
        <w:jc w:val="center"/>
        <w:rPr>
          <w:rFonts w:ascii="Times New Roman" w:hAnsi="Times New Roman" w:cs="Times New Roman"/>
          <w:sz w:val="24"/>
        </w:rPr>
      </w:pPr>
      <w:r>
        <w:rPr>
          <w:noProof/>
        </w:rPr>
        <w:drawing>
          <wp:inline distT="0" distB="0" distL="0" distR="0" wp14:anchorId="785400FA" wp14:editId="49B6717A">
            <wp:extent cx="2712720" cy="1807275"/>
            <wp:effectExtent l="0" t="0" r="0" b="2540"/>
            <wp:docPr id="2" name="Picture 2" descr="Holland &amp; Barrett: Huge losses continue despite sales su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olland &amp; Barrett: Huge losses continue despite sales sur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7604" cy="1810529"/>
                    </a:xfrm>
                    <a:prstGeom prst="rect">
                      <a:avLst/>
                    </a:prstGeom>
                    <a:noFill/>
                    <a:ln>
                      <a:noFill/>
                    </a:ln>
                  </pic:spPr>
                </pic:pic>
              </a:graphicData>
            </a:graphic>
          </wp:inline>
        </w:drawing>
      </w:r>
    </w:p>
    <w:p w14:paraId="3861658F" w14:textId="77777777" w:rsidR="0087197B" w:rsidRPr="0087197B" w:rsidRDefault="007C0ACF" w:rsidP="007C0ACF">
      <w:pPr>
        <w:pStyle w:val="Caption"/>
        <w:jc w:val="center"/>
        <w:rPr>
          <w:rFonts w:ascii="Times New Roman" w:hAnsi="Times New Roman" w:cs="Times New Roman"/>
          <w:b/>
          <w:sz w:val="24"/>
        </w:rPr>
      </w:pPr>
      <w:bookmarkStart w:id="1" w:name="_Toc217240218"/>
      <w:r>
        <w:t xml:space="preserve">Figure </w:t>
      </w:r>
      <w:r w:rsidR="00BB2141">
        <w:fldChar w:fldCharType="begin"/>
      </w:r>
      <w:r w:rsidR="00BB2141">
        <w:instrText xml:space="preserve"> SEQ Figure \* ARABIC </w:instrText>
      </w:r>
      <w:r w:rsidR="00BB2141">
        <w:fldChar w:fldCharType="separate"/>
      </w:r>
      <w:r w:rsidR="00AA382C">
        <w:rPr>
          <w:noProof/>
        </w:rPr>
        <w:t>1</w:t>
      </w:r>
      <w:r w:rsidR="00BB2141">
        <w:rPr>
          <w:noProof/>
        </w:rPr>
        <w:fldChar w:fldCharType="end"/>
      </w:r>
      <w:r>
        <w:t xml:space="preserve">: </w:t>
      </w:r>
      <w:r w:rsidRPr="005B05F8">
        <w:t>Holland &amp; Barret Store</w:t>
      </w:r>
      <w:bookmarkEnd w:id="1"/>
    </w:p>
    <w:p w14:paraId="0B81E6F5" w14:textId="77777777" w:rsidR="0087197B" w:rsidRPr="007C0ACF" w:rsidRDefault="0087197B" w:rsidP="0087197B">
      <w:pPr>
        <w:spacing w:line="360" w:lineRule="auto"/>
        <w:jc w:val="center"/>
        <w:rPr>
          <w:rFonts w:ascii="Times New Roman" w:hAnsi="Times New Roman" w:cs="Times New Roman"/>
        </w:rPr>
      </w:pPr>
      <w:r w:rsidRPr="007C0ACF">
        <w:rPr>
          <w:rFonts w:ascii="Times New Roman" w:hAnsi="Times New Roman" w:cs="Times New Roman"/>
        </w:rPr>
        <w:t>(Robinson, 2025)</w:t>
      </w:r>
    </w:p>
    <w:p w14:paraId="11860DD6" w14:textId="536E641B" w:rsidR="0087197B" w:rsidRDefault="002D273C" w:rsidP="0087197B">
      <w:pPr>
        <w:spacing w:line="360" w:lineRule="auto"/>
        <w:jc w:val="both"/>
        <w:rPr>
          <w:rFonts w:ascii="Times New Roman" w:hAnsi="Times New Roman" w:cs="Times New Roman"/>
          <w:sz w:val="24"/>
        </w:rPr>
      </w:pPr>
      <w:r w:rsidRPr="002D273C">
        <w:rPr>
          <w:rFonts w:ascii="Times New Roman" w:hAnsi="Times New Roman" w:cs="Times New Roman"/>
          <w:sz w:val="24"/>
        </w:rPr>
        <w:t>H&amp;B is a major British health and wellness retailer, established in 1870, and has</w:t>
      </w:r>
      <w:r w:rsidR="003E20F9">
        <w:rPr>
          <w:rFonts w:ascii="Times New Roman" w:hAnsi="Times New Roman" w:cs="Times New Roman"/>
          <w:sz w:val="24"/>
        </w:rPr>
        <w:t xml:space="preserve"> </w:t>
      </w:r>
      <w:r w:rsidRPr="002D273C">
        <w:rPr>
          <w:rFonts w:ascii="Times New Roman" w:hAnsi="Times New Roman" w:cs="Times New Roman"/>
          <w:sz w:val="24"/>
        </w:rPr>
        <w:t>experience in Europe and some of Asia. The company deals with vitamins, dietary supplements, natural foods and wellness products and is presently operating in 16 countries (Holland &amp; Barrett, 2025). In spite of this international presence, H&amp;B does not have any formal retail establishment in Vietnam and therefore the market in Vietnam is a tr</w:t>
      </w:r>
      <w:r>
        <w:rPr>
          <w:rFonts w:ascii="Times New Roman" w:hAnsi="Times New Roman" w:cs="Times New Roman"/>
          <w:sz w:val="24"/>
        </w:rPr>
        <w:t>ue new-market entry opportunity</w:t>
      </w:r>
      <w:r w:rsidR="0087197B" w:rsidRPr="0087197B">
        <w:rPr>
          <w:rFonts w:ascii="Times New Roman" w:hAnsi="Times New Roman" w:cs="Times New Roman"/>
          <w:sz w:val="24"/>
        </w:rPr>
        <w:t>.</w:t>
      </w:r>
    </w:p>
    <w:p w14:paraId="5ECD937F" w14:textId="77777777" w:rsidR="0087197B" w:rsidRDefault="0087197B" w:rsidP="0087197B">
      <w:pPr>
        <w:spacing w:line="360" w:lineRule="auto"/>
        <w:jc w:val="center"/>
        <w:rPr>
          <w:rFonts w:ascii="Times New Roman" w:hAnsi="Times New Roman" w:cs="Times New Roman"/>
          <w:sz w:val="24"/>
        </w:rPr>
      </w:pPr>
      <w:r w:rsidRPr="0087197B">
        <w:rPr>
          <w:rFonts w:ascii="Times New Roman" w:hAnsi="Times New Roman" w:cs="Times New Roman"/>
          <w:noProof/>
          <w:sz w:val="24"/>
        </w:rPr>
        <w:drawing>
          <wp:inline distT="0" distB="0" distL="0" distR="0" wp14:anchorId="772C3C7E" wp14:editId="7719B28B">
            <wp:extent cx="4274820" cy="20853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89153" cy="2092336"/>
                    </a:xfrm>
                    <a:prstGeom prst="rect">
                      <a:avLst/>
                    </a:prstGeom>
                  </pic:spPr>
                </pic:pic>
              </a:graphicData>
            </a:graphic>
          </wp:inline>
        </w:drawing>
      </w:r>
    </w:p>
    <w:p w14:paraId="0FA0574A" w14:textId="77777777" w:rsidR="0087197B" w:rsidRPr="0087197B" w:rsidRDefault="007C0ACF" w:rsidP="007C0ACF">
      <w:pPr>
        <w:pStyle w:val="Caption"/>
        <w:jc w:val="center"/>
        <w:rPr>
          <w:rFonts w:ascii="Times New Roman" w:hAnsi="Times New Roman" w:cs="Times New Roman"/>
          <w:b/>
          <w:sz w:val="24"/>
        </w:rPr>
      </w:pPr>
      <w:bookmarkStart w:id="2" w:name="_Toc217240219"/>
      <w:r>
        <w:t xml:space="preserve">Figure </w:t>
      </w:r>
      <w:r w:rsidR="00BB2141">
        <w:fldChar w:fldCharType="begin"/>
      </w:r>
      <w:r w:rsidR="00BB2141">
        <w:instrText xml:space="preserve"> SEQ Figure \* ARABIC </w:instrText>
      </w:r>
      <w:r w:rsidR="00BB2141">
        <w:fldChar w:fldCharType="separate"/>
      </w:r>
      <w:r w:rsidR="00AA382C">
        <w:rPr>
          <w:noProof/>
        </w:rPr>
        <w:t>2</w:t>
      </w:r>
      <w:r w:rsidR="00BB2141">
        <w:rPr>
          <w:noProof/>
        </w:rPr>
        <w:fldChar w:fldCharType="end"/>
      </w:r>
      <w:r>
        <w:t xml:space="preserve">: </w:t>
      </w:r>
      <w:r w:rsidRPr="00B64D7F">
        <w:t>Vietnam Dietary Supplements</w:t>
      </w:r>
      <w:bookmarkEnd w:id="2"/>
    </w:p>
    <w:p w14:paraId="154177CB" w14:textId="77777777" w:rsidR="0087197B" w:rsidRDefault="0087197B" w:rsidP="002C25C1">
      <w:pPr>
        <w:spacing w:line="360" w:lineRule="auto"/>
        <w:jc w:val="center"/>
        <w:rPr>
          <w:rFonts w:ascii="Times New Roman" w:hAnsi="Times New Roman" w:cs="Times New Roman"/>
          <w:sz w:val="24"/>
        </w:rPr>
      </w:pPr>
      <w:r w:rsidRPr="007C0ACF">
        <w:rPr>
          <w:rFonts w:ascii="Times New Roman" w:hAnsi="Times New Roman" w:cs="Times New Roman"/>
        </w:rPr>
        <w:t>(Grand View Research, 2025)</w:t>
      </w:r>
      <w:r w:rsidRPr="0087197B">
        <w:rPr>
          <w:rFonts w:ascii="Times New Roman" w:hAnsi="Times New Roman" w:cs="Times New Roman"/>
          <w:sz w:val="24"/>
        </w:rPr>
        <w:t>.</w:t>
      </w:r>
    </w:p>
    <w:p w14:paraId="0B9D6C48" w14:textId="28001C18" w:rsidR="002D273C" w:rsidRPr="002C25C1" w:rsidRDefault="002D273C" w:rsidP="002D273C">
      <w:pPr>
        <w:spacing w:line="360" w:lineRule="auto"/>
        <w:jc w:val="both"/>
        <w:rPr>
          <w:rFonts w:ascii="Times New Roman" w:hAnsi="Times New Roman" w:cs="Times New Roman"/>
        </w:rPr>
      </w:pPr>
      <w:r w:rsidRPr="002D273C">
        <w:rPr>
          <w:rFonts w:ascii="Times New Roman" w:hAnsi="Times New Roman" w:cs="Times New Roman"/>
        </w:rPr>
        <w:t xml:space="preserve">Vietnam is </w:t>
      </w:r>
      <w:r w:rsidR="004C24CB">
        <w:rPr>
          <w:rFonts w:ascii="Times New Roman" w:hAnsi="Times New Roman" w:cs="Times New Roman"/>
        </w:rPr>
        <w:t>a good</w:t>
      </w:r>
      <w:r w:rsidRPr="002D273C">
        <w:rPr>
          <w:rFonts w:ascii="Times New Roman" w:hAnsi="Times New Roman" w:cs="Times New Roman"/>
        </w:rPr>
        <w:t xml:space="preserve"> target because of the fast-developing health and wellness industry, health consciousness, the growth of the middle-income and disposable income. The Vietnamese dietary supplements market is estimated to be USD 889.4 million in 2024 and is expected to increase by a CAGR of between 8-11% in the next few years (Grand View Research, 2025). The report is </w:t>
      </w:r>
      <w:r w:rsidR="004C24CB" w:rsidRPr="002D273C">
        <w:rPr>
          <w:rFonts w:ascii="Times New Roman" w:hAnsi="Times New Roman" w:cs="Times New Roman"/>
        </w:rPr>
        <w:t>organized</w:t>
      </w:r>
      <w:r w:rsidRPr="002D273C">
        <w:rPr>
          <w:rFonts w:ascii="Times New Roman" w:hAnsi="Times New Roman" w:cs="Times New Roman"/>
        </w:rPr>
        <w:t xml:space="preserve"> into four parts that include market choice, strategy analysis, strategy development, and a performance assessment based on a Balanced Scorecard and Triple Bottom Line model.</w:t>
      </w:r>
    </w:p>
    <w:p w14:paraId="314FCF36" w14:textId="3E402E5C" w:rsidR="002A2808" w:rsidRPr="002A2808" w:rsidRDefault="002A2808" w:rsidP="002A2808">
      <w:pPr>
        <w:pStyle w:val="Heading1"/>
      </w:pPr>
      <w:bookmarkStart w:id="3" w:name="_Toc217240194"/>
      <w:r w:rsidRPr="002A2808">
        <w:t xml:space="preserve">Section 1: Selection of </w:t>
      </w:r>
      <w:r w:rsidR="004C24CB" w:rsidRPr="002A2808">
        <w:t>Organization</w:t>
      </w:r>
      <w:r w:rsidRPr="002A2808">
        <w:t xml:space="preserve"> &amp; Target Market</w:t>
      </w:r>
      <w:bookmarkEnd w:id="3"/>
    </w:p>
    <w:p w14:paraId="5DCD2847" w14:textId="77777777" w:rsidR="0087197B" w:rsidRPr="0087197B" w:rsidRDefault="0087197B" w:rsidP="002A2808">
      <w:pPr>
        <w:pStyle w:val="Heading2"/>
      </w:pPr>
      <w:bookmarkStart w:id="4" w:name="_Toc217240195"/>
      <w:r w:rsidRPr="0087197B">
        <w:t>Overview of Holland &amp; Barrett (H&amp;B)</w:t>
      </w:r>
      <w:bookmarkEnd w:id="4"/>
    </w:p>
    <w:p w14:paraId="228F0795" w14:textId="2290293D" w:rsidR="0087197B" w:rsidRPr="0087197B" w:rsidRDefault="00CF1A29" w:rsidP="002C25C1">
      <w:pPr>
        <w:spacing w:line="360" w:lineRule="auto"/>
        <w:jc w:val="both"/>
        <w:rPr>
          <w:rFonts w:ascii="Times New Roman" w:hAnsi="Times New Roman" w:cs="Times New Roman"/>
          <w:sz w:val="24"/>
        </w:rPr>
      </w:pPr>
      <w:r w:rsidRPr="00CF1A29">
        <w:rPr>
          <w:rFonts w:ascii="Times New Roman" w:hAnsi="Times New Roman" w:cs="Times New Roman"/>
          <w:sz w:val="24"/>
        </w:rPr>
        <w:t xml:space="preserve">Holland and Barrett (H&amp;B) is a specialist health and wellness retailer in Europe which was founded in 1870. It has developed over a period of over 150 years to be an international retailer of vitamins, minerals and supplements (VMS), natural foods, personal care and sports nutrition products (Holland &amp; Barrett, 2025). The company has more than a thousand stores in Europe, the Middle East and some of Asia with a developing digital platform. H&amp;B is privately owned by </w:t>
      </w:r>
      <w:r w:rsidR="004C24CB" w:rsidRPr="00CF1A29">
        <w:rPr>
          <w:rFonts w:ascii="Times New Roman" w:hAnsi="Times New Roman" w:cs="Times New Roman"/>
          <w:sz w:val="24"/>
        </w:rPr>
        <w:t>Letter One</w:t>
      </w:r>
      <w:r w:rsidRPr="00CF1A29">
        <w:rPr>
          <w:rFonts w:ascii="Times New Roman" w:hAnsi="Times New Roman" w:cs="Times New Roman"/>
          <w:sz w:val="24"/>
        </w:rPr>
        <w:t>, which does not reveal any in-depth financial information but is considered one of the leading players in the European wellness market, in addition to Boots, Superdrug and GNC (</w:t>
      </w:r>
      <w:proofErr w:type="spellStart"/>
      <w:r w:rsidRPr="00CF1A29">
        <w:rPr>
          <w:rFonts w:ascii="Times New Roman" w:hAnsi="Times New Roman" w:cs="Times New Roman"/>
          <w:sz w:val="24"/>
        </w:rPr>
        <w:t>Euromonitor</w:t>
      </w:r>
      <w:proofErr w:type="spellEnd"/>
      <w:r w:rsidRPr="00CF1A29">
        <w:rPr>
          <w:rFonts w:ascii="Times New Roman" w:hAnsi="Times New Roman" w:cs="Times New Roman"/>
          <w:sz w:val="24"/>
        </w:rPr>
        <w:t>, 2025). Its diversified product base is also in line with the increasing demand of health consumption globally (Michaud et al., 2017). It has been an incremental strategy of international expansion in an owned store format, franchising and alliances</w:t>
      </w:r>
      <w:r w:rsidR="00CD0C1B">
        <w:rPr>
          <w:rFonts w:ascii="Times New Roman" w:hAnsi="Times New Roman" w:cs="Times New Roman"/>
          <w:sz w:val="24"/>
        </w:rPr>
        <w:t xml:space="preserve"> </w:t>
      </w:r>
      <w:r w:rsidRPr="00CF1A29">
        <w:rPr>
          <w:rFonts w:ascii="Times New Roman" w:hAnsi="Times New Roman" w:cs="Times New Roman"/>
          <w:sz w:val="24"/>
        </w:rPr>
        <w:t>with an effective focus on sustainability and ethical sourcing and product transparency, which boost its competitiveness in new markets such as Vietnam</w:t>
      </w:r>
      <w:r w:rsidR="00A959EC">
        <w:rPr>
          <w:rFonts w:ascii="Times New Roman" w:hAnsi="Times New Roman" w:cs="Times New Roman"/>
          <w:sz w:val="24"/>
        </w:rPr>
        <w:t xml:space="preserve">. </w:t>
      </w:r>
    </w:p>
    <w:p w14:paraId="6422A629" w14:textId="77777777" w:rsidR="0087197B" w:rsidRPr="0087197B" w:rsidRDefault="0087197B" w:rsidP="002A2808">
      <w:pPr>
        <w:pStyle w:val="Heading2"/>
      </w:pPr>
      <w:bookmarkStart w:id="5" w:name="_Toc217240196"/>
      <w:r w:rsidRPr="0087197B">
        <w:t>Justification for Choosing Vietnam</w:t>
      </w:r>
      <w:bookmarkEnd w:id="5"/>
    </w:p>
    <w:p w14:paraId="204D543B" w14:textId="5DA2D7FB" w:rsidR="0087197B" w:rsidRPr="0087197B" w:rsidRDefault="00CF1A29" w:rsidP="002C25C1">
      <w:pPr>
        <w:spacing w:line="360" w:lineRule="auto"/>
        <w:jc w:val="both"/>
        <w:rPr>
          <w:rFonts w:ascii="Times New Roman" w:hAnsi="Times New Roman" w:cs="Times New Roman"/>
          <w:sz w:val="24"/>
        </w:rPr>
      </w:pPr>
      <w:r w:rsidRPr="00CF1A29">
        <w:rPr>
          <w:rFonts w:ascii="Times New Roman" w:hAnsi="Times New Roman" w:cs="Times New Roman"/>
          <w:sz w:val="24"/>
        </w:rPr>
        <w:t>Vietnam is a very vibrant health and wellness market in Southeast Asia. The long-term economic expansion, the growth of disposable income and the growth of middle classes have pushed the demand towards the high-quality goods, including nutritional supplements and natural personal-care products</w:t>
      </w:r>
      <w:r w:rsidR="00231722">
        <w:rPr>
          <w:rFonts w:ascii="Times New Roman" w:hAnsi="Times New Roman" w:cs="Times New Roman"/>
          <w:sz w:val="24"/>
        </w:rPr>
        <w:t xml:space="preserve">. </w:t>
      </w:r>
      <w:r w:rsidRPr="00CF1A29">
        <w:rPr>
          <w:rFonts w:ascii="Times New Roman" w:hAnsi="Times New Roman" w:cs="Times New Roman"/>
          <w:sz w:val="24"/>
        </w:rPr>
        <w:t xml:space="preserve"> The growth of the health and wellness market is expected to reach CAGR of 8-11 because of the increased health awareness and </w:t>
      </w:r>
      <w:r w:rsidR="00E167BB" w:rsidRPr="00CF1A29">
        <w:rPr>
          <w:rFonts w:ascii="Times New Roman" w:hAnsi="Times New Roman" w:cs="Times New Roman"/>
          <w:sz w:val="24"/>
        </w:rPr>
        <w:t>urbanization</w:t>
      </w:r>
      <w:r w:rsidR="00E167BB">
        <w:rPr>
          <w:rFonts w:ascii="Times New Roman" w:hAnsi="Times New Roman" w:cs="Times New Roman"/>
          <w:sz w:val="24"/>
        </w:rPr>
        <w:t xml:space="preserve"> </w:t>
      </w:r>
      <w:r w:rsidRPr="00CF1A29">
        <w:rPr>
          <w:rFonts w:ascii="Times New Roman" w:hAnsi="Times New Roman" w:cs="Times New Roman"/>
          <w:sz w:val="24"/>
        </w:rPr>
        <w:t>(IMARC Group, 2025). The market of dietary supplements is also estimated to be almost USD 900 million in 2024, and it is projected to grow substantially by 2030 (Grand View Research, 2025). Vietnamese customers are increasingly relating supplements with immunity, health and beauty which closely connects with the fundamental products of H&amp;B (Kim et al., 2022). There are limited international specialist wellness retailers with strong demand hence the strategic gap. Since H&amp;B does not have an established presence, the expansion will b</w:t>
      </w:r>
      <w:r>
        <w:rPr>
          <w:rFonts w:ascii="Times New Roman" w:hAnsi="Times New Roman" w:cs="Times New Roman"/>
          <w:sz w:val="24"/>
        </w:rPr>
        <w:t>e a legitimate new-market entry</w:t>
      </w:r>
      <w:r w:rsidR="0087197B" w:rsidRPr="0087197B">
        <w:rPr>
          <w:rFonts w:ascii="Times New Roman" w:hAnsi="Times New Roman" w:cs="Times New Roman"/>
          <w:sz w:val="24"/>
        </w:rPr>
        <w:t>.</w:t>
      </w:r>
    </w:p>
    <w:p w14:paraId="51A50D09" w14:textId="77777777" w:rsidR="0087197B" w:rsidRPr="0087197B" w:rsidRDefault="0087197B" w:rsidP="002A2808">
      <w:pPr>
        <w:pStyle w:val="Heading2"/>
      </w:pPr>
      <w:bookmarkStart w:id="6" w:name="_Toc217240197"/>
      <w:r w:rsidRPr="0087197B">
        <w:t>Strategic Rationale</w:t>
      </w:r>
      <w:bookmarkEnd w:id="6"/>
      <w:r w:rsidRPr="0087197B">
        <w:t xml:space="preserve"> </w:t>
      </w:r>
    </w:p>
    <w:p w14:paraId="43F1F58D" w14:textId="77777777" w:rsidR="002C25C1" w:rsidRPr="002C25C1"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sz w:val="24"/>
        </w:rPr>
        <w:t xml:space="preserve">Strategically, expansion into Vietnam is an obvious Market Development strategy in the </w:t>
      </w:r>
      <w:proofErr w:type="spellStart"/>
      <w:r w:rsidRPr="002C25C1">
        <w:rPr>
          <w:rFonts w:ascii="Times New Roman" w:hAnsi="Times New Roman" w:cs="Times New Roman"/>
          <w:sz w:val="24"/>
        </w:rPr>
        <w:t>Ansoff</w:t>
      </w:r>
      <w:proofErr w:type="spellEnd"/>
      <w:r w:rsidRPr="002C25C1">
        <w:rPr>
          <w:rFonts w:ascii="Times New Roman" w:hAnsi="Times New Roman" w:cs="Times New Roman"/>
          <w:sz w:val="24"/>
        </w:rPr>
        <w:t xml:space="preserve"> Matrix with H&amp;B launching its already established product range into a new geographical environment.</w:t>
      </w:r>
    </w:p>
    <w:p w14:paraId="3465EF8D" w14:textId="77777777" w:rsidR="002C25C1" w:rsidRPr="002C25C1"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sz w:val="24"/>
        </w:rPr>
        <w:t>The OLI Paradigm by D</w:t>
      </w:r>
      <w:r>
        <w:rPr>
          <w:rFonts w:ascii="Times New Roman" w:hAnsi="Times New Roman" w:cs="Times New Roman"/>
          <w:sz w:val="24"/>
        </w:rPr>
        <w:t>unning gives additional reasons</w:t>
      </w:r>
      <w:r w:rsidRPr="002C25C1">
        <w:rPr>
          <w:rFonts w:ascii="Times New Roman" w:hAnsi="Times New Roman" w:cs="Times New Roman"/>
          <w:sz w:val="24"/>
        </w:rPr>
        <w:t>:</w:t>
      </w:r>
    </w:p>
    <w:p w14:paraId="45A3B915" w14:textId="77777777" w:rsidR="002C25C1" w:rsidRPr="002C25C1"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b/>
          <w:sz w:val="24"/>
        </w:rPr>
        <w:t>Ownership strengths:</w:t>
      </w:r>
      <w:r w:rsidRPr="002C25C1">
        <w:rPr>
          <w:rFonts w:ascii="Times New Roman" w:hAnsi="Times New Roman" w:cs="Times New Roman"/>
          <w:sz w:val="24"/>
        </w:rPr>
        <w:t xml:space="preserve"> H&amp;B has high brand equity, product knowledge, and a reputation in retailing natural wellness intangible assets that are unique to it compared to the local companies.</w:t>
      </w:r>
    </w:p>
    <w:p w14:paraId="350031B2" w14:textId="7C2F5274" w:rsidR="002C25C1" w:rsidRPr="002C25C1"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b/>
          <w:sz w:val="24"/>
        </w:rPr>
        <w:t>Location benefits:</w:t>
      </w:r>
      <w:r w:rsidRPr="002C25C1">
        <w:rPr>
          <w:rFonts w:ascii="Times New Roman" w:hAnsi="Times New Roman" w:cs="Times New Roman"/>
          <w:sz w:val="24"/>
        </w:rPr>
        <w:t xml:space="preserve"> Vietnam also has </w:t>
      </w:r>
      <w:r w:rsidR="003E7E98" w:rsidRPr="002C25C1">
        <w:rPr>
          <w:rFonts w:ascii="Times New Roman" w:hAnsi="Times New Roman" w:cs="Times New Roman"/>
          <w:sz w:val="24"/>
        </w:rPr>
        <w:t>favorable</w:t>
      </w:r>
      <w:r w:rsidRPr="002C25C1">
        <w:rPr>
          <w:rFonts w:ascii="Times New Roman" w:hAnsi="Times New Roman" w:cs="Times New Roman"/>
          <w:sz w:val="24"/>
        </w:rPr>
        <w:t xml:space="preserve"> demographic growth, increased income levels, </w:t>
      </w:r>
      <w:r w:rsidR="003E7E98" w:rsidRPr="002C25C1">
        <w:rPr>
          <w:rFonts w:ascii="Times New Roman" w:hAnsi="Times New Roman" w:cs="Times New Roman"/>
          <w:sz w:val="24"/>
        </w:rPr>
        <w:t>modernizing</w:t>
      </w:r>
      <w:r w:rsidRPr="002C25C1">
        <w:rPr>
          <w:rFonts w:ascii="Times New Roman" w:hAnsi="Times New Roman" w:cs="Times New Roman"/>
          <w:sz w:val="24"/>
        </w:rPr>
        <w:t xml:space="preserve"> retail infrastructure, and growing demand of wellness products.</w:t>
      </w:r>
    </w:p>
    <w:p w14:paraId="637F560C" w14:textId="2322CB97" w:rsidR="002C25C1" w:rsidRPr="002C25C1" w:rsidRDefault="003E7E98" w:rsidP="002C25C1">
      <w:pPr>
        <w:spacing w:line="360" w:lineRule="auto"/>
        <w:jc w:val="both"/>
        <w:rPr>
          <w:rFonts w:ascii="Times New Roman" w:hAnsi="Times New Roman" w:cs="Times New Roman"/>
          <w:sz w:val="24"/>
        </w:rPr>
      </w:pPr>
      <w:r w:rsidRPr="002C25C1">
        <w:rPr>
          <w:rFonts w:ascii="Times New Roman" w:hAnsi="Times New Roman" w:cs="Times New Roman"/>
          <w:b/>
          <w:sz w:val="24"/>
        </w:rPr>
        <w:t>Internalization</w:t>
      </w:r>
      <w:r w:rsidR="002C25C1" w:rsidRPr="002C25C1">
        <w:rPr>
          <w:rFonts w:ascii="Times New Roman" w:hAnsi="Times New Roman" w:cs="Times New Roman"/>
          <w:b/>
          <w:sz w:val="24"/>
        </w:rPr>
        <w:t xml:space="preserve"> benefits:</w:t>
      </w:r>
      <w:r w:rsidR="002C25C1" w:rsidRPr="002C25C1">
        <w:rPr>
          <w:rFonts w:ascii="Times New Roman" w:hAnsi="Times New Roman" w:cs="Times New Roman"/>
          <w:sz w:val="24"/>
        </w:rPr>
        <w:t xml:space="preserve"> Since the quality of the products, authenticity and compliance with the regulatory standards are significant in supplements, the internal control due to the ownership or joint-venture stores </w:t>
      </w:r>
      <w:r w:rsidRPr="002C25C1">
        <w:rPr>
          <w:rFonts w:ascii="Times New Roman" w:hAnsi="Times New Roman" w:cs="Times New Roman"/>
          <w:sz w:val="24"/>
        </w:rPr>
        <w:t>minimizes</w:t>
      </w:r>
      <w:r w:rsidR="002C25C1" w:rsidRPr="002C25C1">
        <w:rPr>
          <w:rFonts w:ascii="Times New Roman" w:hAnsi="Times New Roman" w:cs="Times New Roman"/>
          <w:sz w:val="24"/>
        </w:rPr>
        <w:t xml:space="preserve"> risks associated with misrepresentation or counterfeit products.</w:t>
      </w:r>
    </w:p>
    <w:p w14:paraId="27150924" w14:textId="66676BCC" w:rsidR="0087197B" w:rsidRPr="0087197B"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sz w:val="24"/>
        </w:rPr>
        <w:t xml:space="preserve">Vietnam is also a logical next step as it is supported by the Uppsala Model. The prior experience of </w:t>
      </w:r>
      <w:r w:rsidR="003E7E98" w:rsidRPr="002C25C1">
        <w:rPr>
          <w:rFonts w:ascii="Times New Roman" w:hAnsi="Times New Roman" w:cs="Times New Roman"/>
          <w:sz w:val="24"/>
        </w:rPr>
        <w:t>internationalization</w:t>
      </w:r>
      <w:r w:rsidRPr="002C25C1">
        <w:rPr>
          <w:rFonts w:ascii="Times New Roman" w:hAnsi="Times New Roman" w:cs="Times New Roman"/>
          <w:sz w:val="24"/>
        </w:rPr>
        <w:t xml:space="preserve"> of H&amp;B in Hong Kong and in part Asia offers experience that creates less uncertainty and allows a gradual, staged entry that is in line with the incremental commitment concept (</w:t>
      </w:r>
      <w:proofErr w:type="spellStart"/>
      <w:r w:rsidRPr="002C25C1">
        <w:rPr>
          <w:rFonts w:ascii="Times New Roman" w:hAnsi="Times New Roman" w:cs="Times New Roman"/>
          <w:sz w:val="24"/>
        </w:rPr>
        <w:t>Johanson</w:t>
      </w:r>
      <w:proofErr w:type="spellEnd"/>
      <w:r w:rsidRPr="002C25C1">
        <w:rPr>
          <w:rFonts w:ascii="Times New Roman" w:hAnsi="Times New Roman" w:cs="Times New Roman"/>
          <w:sz w:val="24"/>
        </w:rPr>
        <w:t xml:space="preserve"> and </w:t>
      </w:r>
      <w:proofErr w:type="spellStart"/>
      <w:r w:rsidRPr="002C25C1">
        <w:rPr>
          <w:rFonts w:ascii="Times New Roman" w:hAnsi="Times New Roman" w:cs="Times New Roman"/>
          <w:sz w:val="24"/>
        </w:rPr>
        <w:t>Vahlne</w:t>
      </w:r>
      <w:proofErr w:type="spellEnd"/>
      <w:r w:rsidRPr="002C25C1">
        <w:rPr>
          <w:rFonts w:ascii="Times New Roman" w:hAnsi="Times New Roman" w:cs="Times New Roman"/>
          <w:sz w:val="24"/>
        </w:rPr>
        <w:t>, 2015</w:t>
      </w:r>
      <w:proofErr w:type="gramStart"/>
      <w:r w:rsidRPr="002C25C1">
        <w:rPr>
          <w:rFonts w:ascii="Times New Roman" w:hAnsi="Times New Roman" w:cs="Times New Roman"/>
          <w:sz w:val="24"/>
        </w:rPr>
        <w:t>).</w:t>
      </w:r>
      <w:r w:rsidR="0087197B" w:rsidRPr="0087197B">
        <w:rPr>
          <w:rFonts w:ascii="Times New Roman" w:hAnsi="Times New Roman" w:cs="Times New Roman"/>
          <w:sz w:val="24"/>
        </w:rPr>
        <w:t>.</w:t>
      </w:r>
      <w:proofErr w:type="gramEnd"/>
    </w:p>
    <w:p w14:paraId="6D0C6A70" w14:textId="77777777" w:rsidR="0087197B" w:rsidRPr="0087197B" w:rsidRDefault="0087197B" w:rsidP="002A2808">
      <w:pPr>
        <w:pStyle w:val="Heading2"/>
      </w:pPr>
      <w:bookmarkStart w:id="7" w:name="_Toc217240198"/>
      <w:r w:rsidRPr="0087197B">
        <w:t>Alignment with H&amp;B Objectives</w:t>
      </w:r>
      <w:bookmarkEnd w:id="7"/>
    </w:p>
    <w:p w14:paraId="105C4C04" w14:textId="77777777" w:rsidR="004576CF" w:rsidRDefault="009D62CE" w:rsidP="0087197B">
      <w:pPr>
        <w:spacing w:line="360" w:lineRule="auto"/>
        <w:jc w:val="both"/>
        <w:rPr>
          <w:rFonts w:ascii="Times New Roman" w:hAnsi="Times New Roman" w:cs="Times New Roman"/>
          <w:sz w:val="24"/>
        </w:rPr>
      </w:pPr>
      <w:r w:rsidRPr="009D62CE">
        <w:rPr>
          <w:rFonts w:ascii="Times New Roman" w:hAnsi="Times New Roman" w:cs="Times New Roman"/>
          <w:sz w:val="24"/>
        </w:rPr>
        <w:t>Expanding into Vietnam aligns closely with H&amp;B’s strategic objectives of growth, revenue diversification and ethical leadership in global wellness markets. Rising demand for premium, natural health products and increasing sustainability awareness support strong strategic fit between H&amp;B’s brand, capabilities and Vietnam’s evolving consumer and regulatory environ</w:t>
      </w:r>
      <w:r>
        <w:rPr>
          <w:rFonts w:ascii="Times New Roman" w:hAnsi="Times New Roman" w:cs="Times New Roman"/>
          <w:sz w:val="24"/>
        </w:rPr>
        <w:t xml:space="preserve">ment (Nguyen and </w:t>
      </w:r>
      <w:proofErr w:type="spellStart"/>
      <w:r>
        <w:rPr>
          <w:rFonts w:ascii="Times New Roman" w:hAnsi="Times New Roman" w:cs="Times New Roman"/>
          <w:sz w:val="24"/>
        </w:rPr>
        <w:t>Dekhili</w:t>
      </w:r>
      <w:proofErr w:type="spellEnd"/>
      <w:r>
        <w:rPr>
          <w:rFonts w:ascii="Times New Roman" w:hAnsi="Times New Roman" w:cs="Times New Roman"/>
          <w:sz w:val="24"/>
        </w:rPr>
        <w:t>, 2019)</w:t>
      </w:r>
      <w:r w:rsidR="0087197B" w:rsidRPr="0087197B">
        <w:rPr>
          <w:rFonts w:ascii="Times New Roman" w:hAnsi="Times New Roman" w:cs="Times New Roman"/>
          <w:sz w:val="24"/>
        </w:rPr>
        <w:t>.</w:t>
      </w:r>
    </w:p>
    <w:p w14:paraId="3FDCFCB6" w14:textId="77777777" w:rsidR="00E35106" w:rsidRDefault="00E622C3" w:rsidP="00E35106">
      <w:pPr>
        <w:pStyle w:val="Heading1"/>
      </w:pPr>
      <w:bookmarkStart w:id="8" w:name="_Toc217240199"/>
      <w:r>
        <w:t>Section</w:t>
      </w:r>
      <w:r w:rsidR="00E35106">
        <w:t>2. Comprehensive Strategic Analysis</w:t>
      </w:r>
      <w:bookmarkEnd w:id="8"/>
    </w:p>
    <w:p w14:paraId="1BD7A1FE" w14:textId="77777777" w:rsidR="004576CF" w:rsidRDefault="004576CF" w:rsidP="00E35106">
      <w:pPr>
        <w:pStyle w:val="Heading2"/>
      </w:pPr>
      <w:bookmarkStart w:id="9" w:name="_Toc217240200"/>
      <w:r w:rsidRPr="004576CF">
        <w:t>PESTLE Analysis of Vietnam</w:t>
      </w:r>
      <w:bookmarkEnd w:id="9"/>
      <w:r w:rsidRPr="004576CF">
        <w:t xml:space="preserve"> </w:t>
      </w:r>
    </w:p>
    <w:p w14:paraId="36A87DE4" w14:textId="77777777" w:rsidR="00362560" w:rsidRPr="00362560" w:rsidRDefault="00362560" w:rsidP="00362560"/>
    <w:p w14:paraId="3A6E58E0" w14:textId="23B0B5B9"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PESTLE analysis is a framework used to identify and </w:t>
      </w:r>
      <w:r w:rsidR="00800483" w:rsidRPr="00BC519E">
        <w:rPr>
          <w:rFonts w:ascii="Times New Roman" w:hAnsi="Times New Roman" w:cs="Times New Roman"/>
          <w:sz w:val="24"/>
        </w:rPr>
        <w:t>analyze</w:t>
      </w:r>
      <w:r w:rsidRPr="00BC519E">
        <w:rPr>
          <w:rFonts w:ascii="Times New Roman" w:hAnsi="Times New Roman" w:cs="Times New Roman"/>
          <w:sz w:val="24"/>
        </w:rPr>
        <w:t xml:space="preserve"> the key political, economic, social, technological, legal and environmental factors shaping an </w:t>
      </w:r>
      <w:r w:rsidR="00800483" w:rsidRPr="00BC519E">
        <w:rPr>
          <w:rFonts w:ascii="Times New Roman" w:hAnsi="Times New Roman" w:cs="Times New Roman"/>
          <w:sz w:val="24"/>
        </w:rPr>
        <w:t>organization’s</w:t>
      </w:r>
      <w:r w:rsidRPr="00BC519E">
        <w:rPr>
          <w:rFonts w:ascii="Times New Roman" w:hAnsi="Times New Roman" w:cs="Times New Roman"/>
          <w:sz w:val="24"/>
        </w:rPr>
        <w:t xml:space="preserve"> macro-environment (Johnson et al., 2020</w:t>
      </w:r>
      <w:r>
        <w:rPr>
          <w:rFonts w:ascii="Times New Roman" w:hAnsi="Times New Roman" w:cs="Times New Roman"/>
          <w:sz w:val="24"/>
        </w:rPr>
        <w:t>, p. 34</w:t>
      </w:r>
      <w:r w:rsidRPr="00BC519E">
        <w:rPr>
          <w:rFonts w:ascii="Times New Roman" w:hAnsi="Times New Roman" w:cs="Times New Roman"/>
          <w:sz w:val="24"/>
        </w:rPr>
        <w:t>).</w:t>
      </w:r>
    </w:p>
    <w:p w14:paraId="36546DC8"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Political Factors</w:t>
      </w:r>
    </w:p>
    <w:p w14:paraId="6004546A" w14:textId="3317BD24" w:rsidR="00E622C3" w:rsidRPr="004576CF" w:rsidRDefault="002C25C1" w:rsidP="004576CF">
      <w:pPr>
        <w:spacing w:line="360" w:lineRule="auto"/>
        <w:jc w:val="both"/>
        <w:rPr>
          <w:rFonts w:ascii="Times New Roman" w:hAnsi="Times New Roman" w:cs="Times New Roman"/>
          <w:sz w:val="24"/>
        </w:rPr>
      </w:pPr>
      <w:r w:rsidRPr="002C25C1">
        <w:rPr>
          <w:rFonts w:ascii="Times New Roman" w:hAnsi="Times New Roman" w:cs="Times New Roman"/>
          <w:sz w:val="24"/>
        </w:rPr>
        <w:t xml:space="preserve">Politics in Vietnam is rather stable and has a single-party socialist republic, which has facilitated a long-term economic reform and openness to foreign investment since the </w:t>
      </w:r>
      <w:proofErr w:type="spellStart"/>
      <w:r w:rsidRPr="002C25C1">
        <w:rPr>
          <w:rFonts w:ascii="Times New Roman" w:hAnsi="Times New Roman" w:cs="Times New Roman"/>
          <w:sz w:val="24"/>
        </w:rPr>
        <w:t>Doi</w:t>
      </w:r>
      <w:proofErr w:type="spellEnd"/>
      <w:r w:rsidRPr="002C25C1">
        <w:rPr>
          <w:rFonts w:ascii="Times New Roman" w:hAnsi="Times New Roman" w:cs="Times New Roman"/>
          <w:sz w:val="24"/>
        </w:rPr>
        <w:t xml:space="preserve"> </w:t>
      </w:r>
      <w:proofErr w:type="spellStart"/>
      <w:r w:rsidRPr="002C25C1">
        <w:rPr>
          <w:rFonts w:ascii="Times New Roman" w:hAnsi="Times New Roman" w:cs="Times New Roman"/>
          <w:sz w:val="24"/>
        </w:rPr>
        <w:t>Moi</w:t>
      </w:r>
      <w:proofErr w:type="spellEnd"/>
      <w:r w:rsidRPr="002C25C1">
        <w:rPr>
          <w:rFonts w:ascii="Times New Roman" w:hAnsi="Times New Roman" w:cs="Times New Roman"/>
          <w:sz w:val="24"/>
        </w:rPr>
        <w:t xml:space="preserve"> reforms in 1986. The Law on Investment actively encourages foreign direct investment (FDI) by offering legal protection of foreign companies, protection against expropriation and more straightforward business registration. The new regulatory changes have also simplified the procedures in obtaining approvals and have offered incentives like tax concessions and preferential land leases, which have facilitated entry of international retailers into the market. The involvement of Vietnam in large-scale and large-scale free trade agreements, such as the EU-Vietnam Free Trade Agreement (EVFTA) and the Comprehensive and Progressive Agreement on Trans-Pacific Partnership (CPTPP) also improves market-access and trade barriers to foreign </w:t>
      </w:r>
      <w:r w:rsidR="00347CDD">
        <w:rPr>
          <w:rFonts w:ascii="Times New Roman" w:hAnsi="Times New Roman" w:cs="Times New Roman"/>
          <w:sz w:val="24"/>
        </w:rPr>
        <w:t>brand</w:t>
      </w:r>
      <w:r w:rsidRPr="002C25C1">
        <w:rPr>
          <w:rFonts w:ascii="Times New Roman" w:hAnsi="Times New Roman" w:cs="Times New Roman"/>
          <w:sz w:val="24"/>
        </w:rPr>
        <w:t>. Regulatory enforcement is however inconsistent and overlapping administrative requirements and changing bureaucratic processes may increase compliance costs and operational uncertainty of foreign firms</w:t>
      </w:r>
      <w:r w:rsidR="00426603">
        <w:rPr>
          <w:rFonts w:ascii="Times New Roman" w:hAnsi="Times New Roman" w:cs="Times New Roman"/>
          <w:sz w:val="24"/>
        </w:rPr>
        <w:t xml:space="preserve">. </w:t>
      </w:r>
      <w:r w:rsidRPr="002C25C1">
        <w:rPr>
          <w:rFonts w:ascii="Times New Roman" w:hAnsi="Times New Roman" w:cs="Times New Roman"/>
          <w:sz w:val="24"/>
        </w:rPr>
        <w:t xml:space="preserve"> These institutional inconsistencies can be a major political risk that can influence the strategic planni</w:t>
      </w:r>
      <w:r>
        <w:rPr>
          <w:rFonts w:ascii="Times New Roman" w:hAnsi="Times New Roman" w:cs="Times New Roman"/>
          <w:sz w:val="24"/>
        </w:rPr>
        <w:t>ng and implementation schedules</w:t>
      </w:r>
      <w:r w:rsidR="004576CF" w:rsidRPr="004576CF">
        <w:rPr>
          <w:rFonts w:ascii="Times New Roman" w:hAnsi="Times New Roman" w:cs="Times New Roman"/>
          <w:sz w:val="24"/>
        </w:rPr>
        <w:t>.</w:t>
      </w:r>
    </w:p>
    <w:p w14:paraId="212760A5"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Economic Factors</w:t>
      </w:r>
    </w:p>
    <w:p w14:paraId="7EB35043" w14:textId="77777777" w:rsidR="00A7275B" w:rsidRDefault="00A7275B" w:rsidP="00A7275B">
      <w:pPr>
        <w:spacing w:line="360" w:lineRule="auto"/>
        <w:jc w:val="center"/>
        <w:rPr>
          <w:rFonts w:ascii="Times New Roman" w:hAnsi="Times New Roman" w:cs="Times New Roman"/>
          <w:sz w:val="24"/>
        </w:rPr>
      </w:pPr>
      <w:r w:rsidRPr="00A7275B">
        <w:rPr>
          <w:rFonts w:ascii="Times New Roman" w:hAnsi="Times New Roman" w:cs="Times New Roman"/>
          <w:noProof/>
          <w:sz w:val="24"/>
        </w:rPr>
        <w:drawing>
          <wp:inline distT="0" distB="0" distL="0" distR="0" wp14:anchorId="2FE3799B" wp14:editId="44BCF391">
            <wp:extent cx="4001527" cy="1905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2361" cy="1910158"/>
                    </a:xfrm>
                    <a:prstGeom prst="rect">
                      <a:avLst/>
                    </a:prstGeom>
                  </pic:spPr>
                </pic:pic>
              </a:graphicData>
            </a:graphic>
          </wp:inline>
        </w:drawing>
      </w:r>
    </w:p>
    <w:p w14:paraId="401B0EA1" w14:textId="77777777" w:rsidR="00A7275B" w:rsidRDefault="007C0ACF" w:rsidP="007C0ACF">
      <w:pPr>
        <w:pStyle w:val="Caption"/>
        <w:jc w:val="center"/>
        <w:rPr>
          <w:rFonts w:ascii="Times New Roman" w:hAnsi="Times New Roman" w:cs="Times New Roman"/>
          <w:sz w:val="24"/>
        </w:rPr>
      </w:pPr>
      <w:bookmarkStart w:id="10" w:name="_Toc217240220"/>
      <w:r>
        <w:t xml:space="preserve">Figure </w:t>
      </w:r>
      <w:r w:rsidR="00BB2141">
        <w:fldChar w:fldCharType="begin"/>
      </w:r>
      <w:r w:rsidR="00BB2141">
        <w:instrText xml:space="preserve"> SEQ Figure \* ARABIC </w:instrText>
      </w:r>
      <w:r w:rsidR="00BB2141">
        <w:fldChar w:fldCharType="separate"/>
      </w:r>
      <w:r w:rsidR="00AA382C">
        <w:rPr>
          <w:noProof/>
        </w:rPr>
        <w:t>3</w:t>
      </w:r>
      <w:r w:rsidR="00BB2141">
        <w:rPr>
          <w:noProof/>
        </w:rPr>
        <w:fldChar w:fldCharType="end"/>
      </w:r>
      <w:r>
        <w:t xml:space="preserve">: </w:t>
      </w:r>
      <w:r w:rsidRPr="00537B08">
        <w:t>Vietnam GDP Annual Growth Rate</w:t>
      </w:r>
      <w:bookmarkEnd w:id="10"/>
    </w:p>
    <w:p w14:paraId="690D0CBB" w14:textId="77777777" w:rsidR="00A7275B" w:rsidRPr="007C0ACF" w:rsidRDefault="00A7275B" w:rsidP="00A7275B">
      <w:pPr>
        <w:spacing w:line="360" w:lineRule="auto"/>
        <w:jc w:val="center"/>
        <w:rPr>
          <w:rFonts w:ascii="Times New Roman" w:hAnsi="Times New Roman" w:cs="Times New Roman"/>
        </w:rPr>
      </w:pPr>
      <w:r w:rsidRPr="007C0ACF">
        <w:rPr>
          <w:rFonts w:ascii="Times New Roman" w:hAnsi="Times New Roman" w:cs="Times New Roman"/>
        </w:rPr>
        <w:t>(Trading Economics, 2025)</w:t>
      </w:r>
    </w:p>
    <w:p w14:paraId="34AE3E65" w14:textId="6CC1D57B"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Over the last twenty years, Vietnam has shown a consistent growth in the economy which is attributed to export-led </w:t>
      </w:r>
      <w:r w:rsidR="005B000A" w:rsidRPr="002D273C">
        <w:rPr>
          <w:rFonts w:ascii="Times New Roman" w:hAnsi="Times New Roman" w:cs="Times New Roman"/>
          <w:sz w:val="24"/>
        </w:rPr>
        <w:t>industrialization</w:t>
      </w:r>
      <w:r w:rsidRPr="002D273C">
        <w:rPr>
          <w:rFonts w:ascii="Times New Roman" w:hAnsi="Times New Roman" w:cs="Times New Roman"/>
          <w:sz w:val="24"/>
        </w:rPr>
        <w:t xml:space="preserve"> and inflows of foreign direct investment. World Bank projects a GDP growth of about 6.6-6.8% in 2025, whereas Trading Economics shows quarterly growth of more than 8% in 2025, which states that it is resilient despite the economic pressures of the global economy (</w:t>
      </w:r>
      <w:proofErr w:type="spellStart"/>
      <w:r w:rsidRPr="002D273C">
        <w:rPr>
          <w:rFonts w:ascii="Times New Roman" w:hAnsi="Times New Roman" w:cs="Times New Roman"/>
          <w:sz w:val="24"/>
        </w:rPr>
        <w:t>Husna</w:t>
      </w:r>
      <w:proofErr w:type="spellEnd"/>
      <w:r w:rsidRPr="002D273C">
        <w:rPr>
          <w:rFonts w:ascii="Times New Roman" w:hAnsi="Times New Roman" w:cs="Times New Roman"/>
          <w:sz w:val="24"/>
        </w:rPr>
        <w:t xml:space="preserve">, 2025; Trading Economics, 2025). This growth has contributed to an increase in disposable income and a booming middle-income especially in the major urban </w:t>
      </w:r>
      <w:r w:rsidR="00365D83" w:rsidRPr="002D273C">
        <w:rPr>
          <w:rFonts w:ascii="Times New Roman" w:hAnsi="Times New Roman" w:cs="Times New Roman"/>
          <w:sz w:val="24"/>
        </w:rPr>
        <w:t>centers</w:t>
      </w:r>
      <w:r w:rsidRPr="002D273C">
        <w:rPr>
          <w:rFonts w:ascii="Times New Roman" w:hAnsi="Times New Roman" w:cs="Times New Roman"/>
          <w:sz w:val="24"/>
        </w:rPr>
        <w:t xml:space="preserve"> like Ho Chi Minh City and Hanoi </w:t>
      </w:r>
      <w:r w:rsidR="00365D83">
        <w:rPr>
          <w:rFonts w:ascii="Times New Roman" w:hAnsi="Times New Roman" w:cs="Times New Roman"/>
          <w:sz w:val="24"/>
        </w:rPr>
        <w:t>.</w:t>
      </w:r>
      <w:r w:rsidRPr="002D273C">
        <w:rPr>
          <w:rFonts w:ascii="Times New Roman" w:hAnsi="Times New Roman" w:cs="Times New Roman"/>
          <w:sz w:val="24"/>
        </w:rPr>
        <w:t>Nevertheless, the continued income disparity between urban and rural dwellers restricts the affordability of high-class imported goods to the masses of consumers</w:t>
      </w:r>
      <w:r w:rsidR="00365D83">
        <w:rPr>
          <w:rFonts w:ascii="Times New Roman" w:hAnsi="Times New Roman" w:cs="Times New Roman"/>
          <w:sz w:val="24"/>
        </w:rPr>
        <w:t xml:space="preserve">. </w:t>
      </w:r>
      <w:r w:rsidRPr="002D273C">
        <w:rPr>
          <w:rFonts w:ascii="Times New Roman" w:hAnsi="Times New Roman" w:cs="Times New Roman"/>
          <w:sz w:val="24"/>
        </w:rPr>
        <w:t>Therefore, retailers like Holland and Barrett will have to implement a channel and segmented pricing strategy. The inflation rate is also moderate giving a stable cost-environm</w:t>
      </w:r>
      <w:r>
        <w:rPr>
          <w:rFonts w:ascii="Times New Roman" w:hAnsi="Times New Roman" w:cs="Times New Roman"/>
          <w:sz w:val="24"/>
        </w:rPr>
        <w:t xml:space="preserve">ent in the </w:t>
      </w:r>
      <w:proofErr w:type="gramStart"/>
      <w:r>
        <w:rPr>
          <w:rFonts w:ascii="Times New Roman" w:hAnsi="Times New Roman" w:cs="Times New Roman"/>
          <w:sz w:val="24"/>
        </w:rPr>
        <w:t>medium term</w:t>
      </w:r>
      <w:proofErr w:type="gramEnd"/>
      <w:r>
        <w:rPr>
          <w:rFonts w:ascii="Times New Roman" w:hAnsi="Times New Roman" w:cs="Times New Roman"/>
          <w:sz w:val="24"/>
        </w:rPr>
        <w:t xml:space="preserve"> planning</w:t>
      </w:r>
      <w:r w:rsidR="004576CF" w:rsidRPr="004576CF">
        <w:rPr>
          <w:rFonts w:ascii="Times New Roman" w:hAnsi="Times New Roman" w:cs="Times New Roman"/>
          <w:sz w:val="24"/>
        </w:rPr>
        <w:t>.</w:t>
      </w:r>
    </w:p>
    <w:p w14:paraId="1B9C8814"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Social Factors</w:t>
      </w:r>
    </w:p>
    <w:p w14:paraId="5F1D2382" w14:textId="6B748199"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Vietnam is also attractive as a wellness market because of the social trends. The level of health awareness has grown significantly, and consumers are now more concerned with preventive care and well-being in terms of lifestyle (</w:t>
      </w:r>
      <w:proofErr w:type="spellStart"/>
      <w:r w:rsidRPr="002D273C">
        <w:rPr>
          <w:rFonts w:ascii="Times New Roman" w:hAnsi="Times New Roman" w:cs="Times New Roman"/>
          <w:sz w:val="24"/>
        </w:rPr>
        <w:t>RedFern</w:t>
      </w:r>
      <w:proofErr w:type="spellEnd"/>
      <w:r w:rsidRPr="002D273C">
        <w:rPr>
          <w:rFonts w:ascii="Times New Roman" w:hAnsi="Times New Roman" w:cs="Times New Roman"/>
          <w:sz w:val="24"/>
        </w:rPr>
        <w:t xml:space="preserve"> Digital, 2024). </w:t>
      </w:r>
      <w:r w:rsidR="008473A3" w:rsidRPr="002D273C">
        <w:rPr>
          <w:rFonts w:ascii="Times New Roman" w:hAnsi="Times New Roman" w:cs="Times New Roman"/>
          <w:sz w:val="24"/>
        </w:rPr>
        <w:t>Urbanization</w:t>
      </w:r>
      <w:r w:rsidRPr="002D273C">
        <w:rPr>
          <w:rFonts w:ascii="Times New Roman" w:hAnsi="Times New Roman" w:cs="Times New Roman"/>
          <w:sz w:val="24"/>
        </w:rPr>
        <w:t>, younger health-conscious consumers and an ageing population in search of long-term health assistance are among the factors that have led to the rapid growth of the health and wellness sector. The Chinese market of dietary supplements with a valuation of more than USD 1.5 billion as of 2024 indicates a high demand in both domestic and foreign products (Ken Research, 2025a). However, traditional herbal preparations are also culturally relevant as many are seen as safer or more familiar preparations (</w:t>
      </w:r>
      <w:proofErr w:type="spellStart"/>
      <w:r w:rsidRPr="002D273C">
        <w:rPr>
          <w:rFonts w:ascii="Times New Roman" w:hAnsi="Times New Roman" w:cs="Times New Roman"/>
          <w:sz w:val="24"/>
        </w:rPr>
        <w:t>RedFern</w:t>
      </w:r>
      <w:proofErr w:type="spellEnd"/>
      <w:r w:rsidRPr="002D273C">
        <w:rPr>
          <w:rFonts w:ascii="Times New Roman" w:hAnsi="Times New Roman" w:cs="Times New Roman"/>
          <w:sz w:val="24"/>
        </w:rPr>
        <w:t xml:space="preserve"> Digital, 2024). The social differences between cities and the countryside indicate that the entry into the market must focus on the segment of affluent, urban, and digitally connected consumers to achieve the maximum early adopt</w:t>
      </w:r>
      <w:r>
        <w:rPr>
          <w:rFonts w:ascii="Times New Roman" w:hAnsi="Times New Roman" w:cs="Times New Roman"/>
          <w:sz w:val="24"/>
        </w:rPr>
        <w:t>ion</w:t>
      </w:r>
      <w:r w:rsidR="004576CF" w:rsidRPr="004576CF">
        <w:rPr>
          <w:rFonts w:ascii="Times New Roman" w:hAnsi="Times New Roman" w:cs="Times New Roman"/>
          <w:sz w:val="24"/>
        </w:rPr>
        <w:t>.</w:t>
      </w:r>
    </w:p>
    <w:p w14:paraId="7BE80D90"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Technological Factors</w:t>
      </w:r>
    </w:p>
    <w:p w14:paraId="105D3744" w14:textId="32D0DCFC" w:rsidR="00804221" w:rsidRDefault="002D273C" w:rsidP="00804221">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Vietnamese technological environment is changing fast, and it is </w:t>
      </w:r>
      <w:r w:rsidR="00B91770" w:rsidRPr="002D273C">
        <w:rPr>
          <w:rFonts w:ascii="Times New Roman" w:hAnsi="Times New Roman" w:cs="Times New Roman"/>
          <w:sz w:val="24"/>
        </w:rPr>
        <w:t>fueled</w:t>
      </w:r>
      <w:r w:rsidRPr="002D273C">
        <w:rPr>
          <w:rFonts w:ascii="Times New Roman" w:hAnsi="Times New Roman" w:cs="Times New Roman"/>
          <w:sz w:val="24"/>
        </w:rPr>
        <w:t xml:space="preserve"> by the growing mobile broadband coverage, the increasing internet penetration and high growth in e-commerce. The government </w:t>
      </w:r>
      <w:proofErr w:type="spellStart"/>
      <w:r w:rsidRPr="002D273C">
        <w:rPr>
          <w:rFonts w:ascii="Times New Roman" w:hAnsi="Times New Roman" w:cs="Times New Roman"/>
          <w:sz w:val="24"/>
        </w:rPr>
        <w:t>programmes</w:t>
      </w:r>
      <w:proofErr w:type="spellEnd"/>
      <w:r w:rsidRPr="002D273C">
        <w:rPr>
          <w:rFonts w:ascii="Times New Roman" w:hAnsi="Times New Roman" w:cs="Times New Roman"/>
          <w:sz w:val="24"/>
        </w:rPr>
        <w:t xml:space="preserve"> that encourage cashless payments and online businesses have provided a </w:t>
      </w:r>
      <w:r w:rsidR="00B91770" w:rsidRPr="002D273C">
        <w:rPr>
          <w:rFonts w:ascii="Times New Roman" w:hAnsi="Times New Roman" w:cs="Times New Roman"/>
          <w:sz w:val="24"/>
        </w:rPr>
        <w:t>favorable</w:t>
      </w:r>
      <w:r w:rsidRPr="002D273C">
        <w:rPr>
          <w:rFonts w:ascii="Times New Roman" w:hAnsi="Times New Roman" w:cs="Times New Roman"/>
          <w:sz w:val="24"/>
        </w:rPr>
        <w:t xml:space="preserve"> atmosphere to online shopping. Vietnam’s e-commerce platforms like </w:t>
      </w:r>
      <w:r w:rsidR="00B91770" w:rsidRPr="002D273C">
        <w:rPr>
          <w:rFonts w:ascii="Times New Roman" w:hAnsi="Times New Roman" w:cs="Times New Roman"/>
          <w:sz w:val="24"/>
        </w:rPr>
        <w:t>Shoppe</w:t>
      </w:r>
      <w:r w:rsidRPr="002D273C">
        <w:rPr>
          <w:rFonts w:ascii="Times New Roman" w:hAnsi="Times New Roman" w:cs="Times New Roman"/>
          <w:sz w:val="24"/>
        </w:rPr>
        <w:t xml:space="preserve">, </w:t>
      </w:r>
      <w:proofErr w:type="spellStart"/>
      <w:r w:rsidRPr="002D273C">
        <w:rPr>
          <w:rFonts w:ascii="Times New Roman" w:hAnsi="Times New Roman" w:cs="Times New Roman"/>
          <w:sz w:val="24"/>
        </w:rPr>
        <w:t>Lazada</w:t>
      </w:r>
      <w:proofErr w:type="spellEnd"/>
      <w:r w:rsidRPr="002D273C">
        <w:rPr>
          <w:rFonts w:ascii="Times New Roman" w:hAnsi="Times New Roman" w:cs="Times New Roman"/>
          <w:sz w:val="24"/>
        </w:rPr>
        <w:t xml:space="preserve"> and </w:t>
      </w:r>
      <w:proofErr w:type="spellStart"/>
      <w:r w:rsidRPr="002D273C">
        <w:rPr>
          <w:rFonts w:ascii="Times New Roman" w:hAnsi="Times New Roman" w:cs="Times New Roman"/>
          <w:sz w:val="24"/>
        </w:rPr>
        <w:t>Tiki</w:t>
      </w:r>
      <w:proofErr w:type="spellEnd"/>
      <w:r w:rsidRPr="002D273C">
        <w:rPr>
          <w:rFonts w:ascii="Times New Roman" w:hAnsi="Times New Roman" w:cs="Times New Roman"/>
          <w:sz w:val="24"/>
        </w:rPr>
        <w:t xml:space="preserve"> are growing, and the market will grow at a pace of almost 30 per cent by 2025 (compared to the previous rates of around 16 per cent before the pan</w:t>
      </w:r>
      <w:r>
        <w:rPr>
          <w:rFonts w:ascii="Times New Roman" w:hAnsi="Times New Roman" w:cs="Times New Roman"/>
          <w:sz w:val="24"/>
        </w:rPr>
        <w:t>demic) (Vietnam Briefing, 2025)</w:t>
      </w:r>
      <w:r w:rsidR="00804221" w:rsidRPr="00804221">
        <w:rPr>
          <w:rFonts w:ascii="Times New Roman" w:hAnsi="Times New Roman" w:cs="Times New Roman"/>
          <w:sz w:val="24"/>
        </w:rPr>
        <w:t>.</w:t>
      </w:r>
    </w:p>
    <w:p w14:paraId="631DD92F" w14:textId="77777777" w:rsidR="00804221" w:rsidRDefault="00804221" w:rsidP="00804221">
      <w:pPr>
        <w:spacing w:line="360" w:lineRule="auto"/>
        <w:jc w:val="center"/>
        <w:rPr>
          <w:rFonts w:ascii="Times New Roman" w:hAnsi="Times New Roman" w:cs="Times New Roman"/>
          <w:sz w:val="24"/>
        </w:rPr>
      </w:pPr>
      <w:r>
        <w:rPr>
          <w:noProof/>
        </w:rPr>
        <w:drawing>
          <wp:inline distT="0" distB="0" distL="0" distR="0" wp14:anchorId="1FD8EDBA" wp14:editId="6024A932">
            <wp:extent cx="3726180" cy="2768019"/>
            <wp:effectExtent l="0" t="0" r="7620" b="0"/>
            <wp:docPr id="3" name="Picture 3" descr="Vietnam Payments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tnam Payments Market Siz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46618" cy="2783201"/>
                    </a:xfrm>
                    <a:prstGeom prst="rect">
                      <a:avLst/>
                    </a:prstGeom>
                    <a:noFill/>
                    <a:ln>
                      <a:noFill/>
                    </a:ln>
                  </pic:spPr>
                </pic:pic>
              </a:graphicData>
            </a:graphic>
          </wp:inline>
        </w:drawing>
      </w:r>
    </w:p>
    <w:p w14:paraId="0B21C3BB" w14:textId="77777777" w:rsidR="007C0ACF" w:rsidRDefault="007C0ACF" w:rsidP="007C0ACF">
      <w:pPr>
        <w:pStyle w:val="Caption"/>
        <w:jc w:val="center"/>
        <w:rPr>
          <w:rFonts w:ascii="Times New Roman" w:hAnsi="Times New Roman" w:cs="Times New Roman"/>
          <w:sz w:val="24"/>
        </w:rPr>
      </w:pPr>
      <w:bookmarkStart w:id="11" w:name="_Toc217240221"/>
      <w:r>
        <w:t xml:space="preserve">Figure </w:t>
      </w:r>
      <w:r w:rsidR="00BB2141">
        <w:fldChar w:fldCharType="begin"/>
      </w:r>
      <w:r w:rsidR="00BB2141">
        <w:instrText xml:space="preserve"> SEQ Figure \* ARABIC </w:instrText>
      </w:r>
      <w:r w:rsidR="00BB2141">
        <w:fldChar w:fldCharType="separate"/>
      </w:r>
      <w:r w:rsidR="00AA382C">
        <w:rPr>
          <w:noProof/>
        </w:rPr>
        <w:t>4</w:t>
      </w:r>
      <w:r w:rsidR="00BB2141">
        <w:rPr>
          <w:noProof/>
        </w:rPr>
        <w:fldChar w:fldCharType="end"/>
      </w:r>
      <w:r>
        <w:t xml:space="preserve">: </w:t>
      </w:r>
      <w:r w:rsidRPr="0080568A">
        <w:t>Growth of Vietnam’s Payment Market (USD in Billion)</w:t>
      </w:r>
      <w:bookmarkEnd w:id="11"/>
    </w:p>
    <w:p w14:paraId="295EA6BD" w14:textId="77777777" w:rsidR="00A7275B" w:rsidRPr="007C0ACF" w:rsidRDefault="00A7275B" w:rsidP="00804221">
      <w:pPr>
        <w:spacing w:line="360" w:lineRule="auto"/>
        <w:jc w:val="center"/>
        <w:rPr>
          <w:rFonts w:ascii="Times New Roman" w:hAnsi="Times New Roman" w:cs="Times New Roman"/>
        </w:rPr>
      </w:pPr>
      <w:r w:rsidRPr="007C0ACF">
        <w:rPr>
          <w:rFonts w:ascii="Times New Roman" w:hAnsi="Times New Roman" w:cs="Times New Roman"/>
          <w:bCs/>
        </w:rPr>
        <w:t>(Ken Research, 2025b)</w:t>
      </w:r>
    </w:p>
    <w:p w14:paraId="2F2F7747" w14:textId="033CE6CC" w:rsidR="004576CF" w:rsidRPr="00A7275B"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bCs/>
          <w:sz w:val="24"/>
        </w:rPr>
        <w:t xml:space="preserve">This digital transformation is supported by the fast growth of the payments ecosystem in Vietnam estimated at USD 22 billion in 2024 due to the large smartphone subscriptions, mobile payment services and e-commerce (Ken Research, 2025b). These factors provide a good chance of the </w:t>
      </w:r>
      <w:r w:rsidR="00CF62BE" w:rsidRPr="002D273C">
        <w:rPr>
          <w:rFonts w:ascii="Times New Roman" w:hAnsi="Times New Roman" w:cs="Times New Roman"/>
          <w:bCs/>
          <w:sz w:val="24"/>
        </w:rPr>
        <w:t>Omni channel</w:t>
      </w:r>
      <w:r w:rsidRPr="002D273C">
        <w:rPr>
          <w:rFonts w:ascii="Times New Roman" w:hAnsi="Times New Roman" w:cs="Times New Roman"/>
          <w:bCs/>
          <w:sz w:val="24"/>
        </w:rPr>
        <w:t xml:space="preserve"> entry strategy to Holland and Barret, as it can effectively gain customers and earn repeat purchases. Digital logistics and mobile payments also </w:t>
      </w:r>
      <w:r w:rsidR="00CF62BE" w:rsidRPr="002D273C">
        <w:rPr>
          <w:rFonts w:ascii="Times New Roman" w:hAnsi="Times New Roman" w:cs="Times New Roman"/>
          <w:bCs/>
          <w:sz w:val="24"/>
        </w:rPr>
        <w:t>minimize</w:t>
      </w:r>
      <w:r w:rsidRPr="002D273C">
        <w:rPr>
          <w:rFonts w:ascii="Times New Roman" w:hAnsi="Times New Roman" w:cs="Times New Roman"/>
          <w:bCs/>
          <w:sz w:val="24"/>
        </w:rPr>
        <w:t xml:space="preserve"> transaction friction and enable retail models that are loyalty based, which are especially well adapted to health and wellness products.</w:t>
      </w:r>
      <w:r w:rsidR="009D62CE" w:rsidRPr="009D62CE">
        <w:rPr>
          <w:rFonts w:ascii="Times New Roman" w:hAnsi="Times New Roman" w:cs="Times New Roman"/>
          <w:bCs/>
          <w:sz w:val="24"/>
        </w:rPr>
        <w:t xml:space="preserve"> However, logistics infrastructure remains uneven outside major urban </w:t>
      </w:r>
      <w:r w:rsidR="00CF62BE" w:rsidRPr="009D62CE">
        <w:rPr>
          <w:rFonts w:ascii="Times New Roman" w:hAnsi="Times New Roman" w:cs="Times New Roman"/>
          <w:bCs/>
          <w:sz w:val="24"/>
        </w:rPr>
        <w:t>centers</w:t>
      </w:r>
      <w:r w:rsidR="009D62CE" w:rsidRPr="009D62CE">
        <w:rPr>
          <w:rFonts w:ascii="Times New Roman" w:hAnsi="Times New Roman" w:cs="Times New Roman"/>
          <w:bCs/>
          <w:sz w:val="24"/>
        </w:rPr>
        <w:t>, particularly in cold-chain and delivery capabilities, potentially constraining nationwide service coverage without significant distribution investment.</w:t>
      </w:r>
    </w:p>
    <w:p w14:paraId="4AFFB7BC"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Legal Factors</w:t>
      </w:r>
    </w:p>
    <w:p w14:paraId="4F387213" w14:textId="603EA066" w:rsidR="00E622C3"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law regime that governs foreign business in Vietnam is rooted in the Law on Investment and the Law on Enterprise that offer protection to foreign businesses including equal treatment and right to own assets, although they must comply with legal regulations (Miller, 2024). Import laws present high standards of product safety, labelling and certification, especially in the food, supplement and health-related industries, in which regulation is spread among several ministries. Though the regulatory environment is conducive to foreign direct investment in general, the complexity of procedures, overlapping regulations and </w:t>
      </w:r>
      <w:r w:rsidR="002072BC" w:rsidRPr="002D273C">
        <w:rPr>
          <w:rFonts w:ascii="Times New Roman" w:hAnsi="Times New Roman" w:cs="Times New Roman"/>
          <w:sz w:val="24"/>
        </w:rPr>
        <w:t>licensing</w:t>
      </w:r>
      <w:r w:rsidRPr="002D273C">
        <w:rPr>
          <w:rFonts w:ascii="Times New Roman" w:hAnsi="Times New Roman" w:cs="Times New Roman"/>
          <w:sz w:val="24"/>
        </w:rPr>
        <w:t xml:space="preserve"> delays may raise the compliance costs and prolong the market entry period. Strict product certification and food safety standards consequently require intensive legal preparation of the Vietnamese market entry of wellness retailers.</w:t>
      </w:r>
    </w:p>
    <w:p w14:paraId="437D2762"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Environmental Factors</w:t>
      </w:r>
    </w:p>
    <w:p w14:paraId="335CA455" w14:textId="70B5C44C"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environmental factors are gaining momentum because the consumers are becoming more conscious of sustainability, particularly the younger generations. The governmental policies to environmental ambitions such as net-zero imply the increasing regulatory and social demands of responsible business </w:t>
      </w:r>
      <w:r w:rsidR="00036B93" w:rsidRPr="002D273C">
        <w:rPr>
          <w:rFonts w:ascii="Times New Roman" w:hAnsi="Times New Roman" w:cs="Times New Roman"/>
          <w:sz w:val="24"/>
        </w:rPr>
        <w:t>conduct</w:t>
      </w:r>
      <w:r w:rsidR="00036B93">
        <w:rPr>
          <w:rFonts w:ascii="Times New Roman" w:hAnsi="Times New Roman" w:cs="Times New Roman"/>
          <w:sz w:val="24"/>
        </w:rPr>
        <w:t>.</w:t>
      </w:r>
      <w:r w:rsidR="00036B93" w:rsidRPr="002D273C">
        <w:rPr>
          <w:rFonts w:ascii="Times New Roman" w:hAnsi="Times New Roman" w:cs="Times New Roman"/>
          <w:sz w:val="24"/>
        </w:rPr>
        <w:t xml:space="preserve"> These</w:t>
      </w:r>
      <w:r w:rsidRPr="002D273C">
        <w:rPr>
          <w:rFonts w:ascii="Times New Roman" w:hAnsi="Times New Roman" w:cs="Times New Roman"/>
          <w:sz w:val="24"/>
        </w:rPr>
        <w:t xml:space="preserve"> tendencies correspond with the sustainability positioning of Holland and Barrett, which opens the chances of differentiation based on responsible sourcing, environmentally friendly packaging, and sustainable supply chains. Nevertheless, the changing environmental policies concerning waste disposal, packaging and emissions demand proactive conformity and sustaina</w:t>
      </w:r>
      <w:r>
        <w:rPr>
          <w:rFonts w:ascii="Times New Roman" w:hAnsi="Times New Roman" w:cs="Times New Roman"/>
          <w:sz w:val="24"/>
        </w:rPr>
        <w:t>bility through long integration</w:t>
      </w:r>
      <w:r w:rsidR="004576CF" w:rsidRPr="004576CF">
        <w:rPr>
          <w:rFonts w:ascii="Times New Roman" w:hAnsi="Times New Roman" w:cs="Times New Roman"/>
          <w:sz w:val="24"/>
        </w:rPr>
        <w:t>.</w:t>
      </w:r>
    </w:p>
    <w:p w14:paraId="04192088"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Critical Evaluation</w:t>
      </w:r>
    </w:p>
    <w:p w14:paraId="5301B81A" w14:textId="77777777" w:rsid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Although the PESTLE offers a systematic framework of macro-environment, it is by its nature static and descriptive, and thus this can be quite simplistic to dynamic nature of the fast-changing market in Vietnam. Relationships between political reforms, economic growth, social trends, use of technology, legal framework, and environmental expectations demand analysis in a unified manner. PESTLE does not automatically give these factors a higher or a lower score and so additional analytical tools are required to evaluate the strategic im</w:t>
      </w:r>
      <w:r>
        <w:rPr>
          <w:rFonts w:ascii="Times New Roman" w:hAnsi="Times New Roman" w:cs="Times New Roman"/>
          <w:sz w:val="24"/>
        </w:rPr>
        <w:t>plications in a holistic manner</w:t>
      </w:r>
      <w:r w:rsidR="004576CF" w:rsidRPr="004576CF">
        <w:rPr>
          <w:rFonts w:ascii="Times New Roman" w:hAnsi="Times New Roman" w:cs="Times New Roman"/>
          <w:sz w:val="24"/>
        </w:rPr>
        <w:t>.</w:t>
      </w:r>
    </w:p>
    <w:p w14:paraId="0400AE37" w14:textId="77777777" w:rsidR="007C0ACF" w:rsidRDefault="00E622C3" w:rsidP="007C0ACF">
      <w:pPr>
        <w:pStyle w:val="Heading2"/>
      </w:pPr>
      <w:bookmarkStart w:id="12" w:name="_Toc217240201"/>
      <w:r w:rsidRPr="00E622C3">
        <w:t>Industry-</w:t>
      </w:r>
      <w:r w:rsidR="00262E8A" w:rsidRPr="00E622C3">
        <w:t>Competitive Analysis: Porter’s Five Forces in Vietnam’s Health &amp; Wellness Retail Sector</w:t>
      </w:r>
      <w:bookmarkEnd w:id="12"/>
    </w:p>
    <w:p w14:paraId="2928359F" w14:textId="77777777" w:rsidR="00BC519E" w:rsidRDefault="00BC519E" w:rsidP="00BC519E"/>
    <w:p w14:paraId="069DCCBD" w14:textId="77777777"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Porter’s Five Forces analyses industry structure by examining competitive rivalry, buyer power, supplier power, the threat of substitutes and the threat of new entrants to assess industry attractiveness (Johnson et al., 2020, pp. 64–69).</w:t>
      </w:r>
    </w:p>
    <w:p w14:paraId="6EC41612" w14:textId="77777777" w:rsidR="007C0ACF" w:rsidRDefault="007C0ACF" w:rsidP="007C0ACF">
      <w:pPr>
        <w:jc w:val="center"/>
      </w:pPr>
      <w:r>
        <w:rPr>
          <w:noProof/>
        </w:rPr>
        <w:drawing>
          <wp:inline distT="0" distB="0" distL="0" distR="0" wp14:anchorId="797BDEF1" wp14:editId="6BB15982">
            <wp:extent cx="3802380" cy="1988587"/>
            <wp:effectExtent l="0" t="0" r="7620" b="0"/>
            <wp:docPr id="5" name="Picture 5" descr="Porter's Five Forces: The Ultimate Competitive Strategy Blueprint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orter's Five Forces: The Ultimate Competitive Strategy Blueprint | TSI"/>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14153" cy="1994744"/>
                    </a:xfrm>
                    <a:prstGeom prst="rect">
                      <a:avLst/>
                    </a:prstGeom>
                    <a:noFill/>
                    <a:ln>
                      <a:noFill/>
                    </a:ln>
                  </pic:spPr>
                </pic:pic>
              </a:graphicData>
            </a:graphic>
          </wp:inline>
        </w:drawing>
      </w:r>
    </w:p>
    <w:p w14:paraId="738F9F35" w14:textId="77777777" w:rsidR="007C0ACF" w:rsidRDefault="007C0ACF" w:rsidP="007C0ACF">
      <w:pPr>
        <w:pStyle w:val="Caption"/>
        <w:jc w:val="center"/>
        <w:rPr>
          <w:rFonts w:ascii="Times New Roman" w:hAnsi="Times New Roman" w:cs="Times New Roman"/>
          <w:b/>
          <w:szCs w:val="24"/>
        </w:rPr>
      </w:pPr>
      <w:bookmarkStart w:id="13" w:name="_Toc217240222"/>
      <w:r>
        <w:t xml:space="preserve">Figure </w:t>
      </w:r>
      <w:r w:rsidR="00BB2141">
        <w:fldChar w:fldCharType="begin"/>
      </w:r>
      <w:r w:rsidR="00BB2141">
        <w:instrText xml:space="preserve"> SEQ Figure \* ARABIC </w:instrText>
      </w:r>
      <w:r w:rsidR="00BB2141">
        <w:fldChar w:fldCharType="separate"/>
      </w:r>
      <w:r w:rsidR="00AA382C">
        <w:rPr>
          <w:noProof/>
        </w:rPr>
        <w:t>5</w:t>
      </w:r>
      <w:r w:rsidR="00BB2141">
        <w:rPr>
          <w:noProof/>
        </w:rPr>
        <w:fldChar w:fldCharType="end"/>
      </w:r>
      <w:r>
        <w:t xml:space="preserve">: </w:t>
      </w:r>
      <w:r w:rsidRPr="00F37A9E">
        <w:t>Porter’s Five Forces</w:t>
      </w:r>
      <w:bookmarkEnd w:id="13"/>
    </w:p>
    <w:p w14:paraId="67DB9908" w14:textId="77777777" w:rsidR="007C0ACF" w:rsidRPr="007C0ACF" w:rsidRDefault="007C0ACF" w:rsidP="007C0ACF">
      <w:pPr>
        <w:spacing w:line="360" w:lineRule="auto"/>
        <w:jc w:val="center"/>
        <w:rPr>
          <w:rFonts w:ascii="Times New Roman" w:hAnsi="Times New Roman" w:cs="Times New Roman"/>
          <w:szCs w:val="24"/>
        </w:rPr>
      </w:pPr>
      <w:r w:rsidRPr="007C0ACF">
        <w:rPr>
          <w:rFonts w:ascii="Times New Roman" w:hAnsi="Times New Roman" w:cs="Times New Roman"/>
          <w:szCs w:val="24"/>
        </w:rPr>
        <w:t>(The Strategy Institute, 2024)</w:t>
      </w:r>
    </w:p>
    <w:p w14:paraId="6E8AAD95"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1. Threat of New Entrants</w:t>
      </w:r>
    </w:p>
    <w:p w14:paraId="593219A0" w14:textId="77777777"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threat of </w:t>
      </w:r>
      <w:r>
        <w:rPr>
          <w:rFonts w:ascii="Times New Roman" w:hAnsi="Times New Roman" w:cs="Times New Roman"/>
          <w:sz w:val="24"/>
        </w:rPr>
        <w:t>new entrants</w:t>
      </w:r>
      <w:r w:rsidRPr="002D273C">
        <w:rPr>
          <w:rFonts w:ascii="Times New Roman" w:hAnsi="Times New Roman" w:cs="Times New Roman"/>
          <w:sz w:val="24"/>
        </w:rPr>
        <w:t xml:space="preserve"> in the retail segment of health and wellness in Vietnam is moderate to high at small-store level but less intense among the specialist international chains like Holland and Barrett. Independent health shops and informal vendors may enter the market with small amounts of capital and few regulatory requirements, especially those targeting low-cost local brands or have an informal retail outlet. The boom of e-commerce also lowers the barriers to entry since sites like </w:t>
      </w:r>
      <w:proofErr w:type="spellStart"/>
      <w:r w:rsidRPr="002D273C">
        <w:rPr>
          <w:rFonts w:ascii="Times New Roman" w:hAnsi="Times New Roman" w:cs="Times New Roman"/>
          <w:sz w:val="24"/>
        </w:rPr>
        <w:t>Shopee</w:t>
      </w:r>
      <w:proofErr w:type="spellEnd"/>
      <w:r w:rsidRPr="002D273C">
        <w:rPr>
          <w:rFonts w:ascii="Times New Roman" w:hAnsi="Times New Roman" w:cs="Times New Roman"/>
          <w:sz w:val="24"/>
        </w:rPr>
        <w:t xml:space="preserve"> and </w:t>
      </w:r>
      <w:proofErr w:type="spellStart"/>
      <w:r w:rsidRPr="002D273C">
        <w:rPr>
          <w:rFonts w:ascii="Times New Roman" w:hAnsi="Times New Roman" w:cs="Times New Roman"/>
          <w:sz w:val="24"/>
        </w:rPr>
        <w:t>Lazada</w:t>
      </w:r>
      <w:proofErr w:type="spellEnd"/>
      <w:r w:rsidRPr="002D273C">
        <w:rPr>
          <w:rFonts w:ascii="Times New Roman" w:hAnsi="Times New Roman" w:cs="Times New Roman"/>
          <w:sz w:val="24"/>
        </w:rPr>
        <w:t xml:space="preserve"> allow sellers to access consumers without a large physical retail investment.</w:t>
      </w:r>
    </w:p>
    <w:p w14:paraId="720DE990" w14:textId="1F1B9B0F" w:rsidR="004576CF" w:rsidRPr="004576CF"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Entry as a formal specialist retailer with premium imported products on the other hand has very high barriers. These are the expenses of opening the flagship stores in contemporary retail markets, investments in supply chain, brand awareness and rigorous importation, certification and health standards. Another strategy that international entrants have to undertake is quality assurance and trust-building, which are vital in health-related product segments (Research and Markets, 2025). This makes established multinational retailers, which have strong distribution capability, to be in a better position to enter at scale and less-</w:t>
      </w:r>
      <w:r w:rsidR="00973FEF" w:rsidRPr="002D273C">
        <w:rPr>
          <w:rFonts w:ascii="Times New Roman" w:hAnsi="Times New Roman" w:cs="Times New Roman"/>
          <w:sz w:val="24"/>
        </w:rPr>
        <w:t>capitalized</w:t>
      </w:r>
      <w:r w:rsidRPr="002D273C">
        <w:rPr>
          <w:rFonts w:ascii="Times New Roman" w:hAnsi="Times New Roman" w:cs="Times New Roman"/>
          <w:sz w:val="24"/>
        </w:rPr>
        <w:t xml:space="preserve"> entrants have</w:t>
      </w:r>
      <w:r>
        <w:rPr>
          <w:rFonts w:ascii="Times New Roman" w:hAnsi="Times New Roman" w:cs="Times New Roman"/>
          <w:sz w:val="24"/>
        </w:rPr>
        <w:t xml:space="preserve"> a very difficult time entering</w:t>
      </w:r>
      <w:r w:rsidR="004576CF" w:rsidRPr="004576CF">
        <w:rPr>
          <w:rFonts w:ascii="Times New Roman" w:hAnsi="Times New Roman" w:cs="Times New Roman"/>
          <w:sz w:val="24"/>
        </w:rPr>
        <w:t>.</w:t>
      </w:r>
    </w:p>
    <w:p w14:paraId="1AC61C5F"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2. Bargaining Power of Suppliers</w:t>
      </w:r>
    </w:p>
    <w:p w14:paraId="3D3B2115" w14:textId="77777777"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The power of the suppliers in the health and wellness industry is moderate. H&amp;B has a wide supplier base of suppliers worldwide such as multinational nutritional and botanical manufacturers, which does not depend on one supplier and lowers the bargaining power of an individual supplier. Supplier power is also limited by competition among the suppliers of vitamins, minerals, herbal extracts and specialty ingredients.</w:t>
      </w:r>
    </w:p>
    <w:p w14:paraId="207101CA" w14:textId="77777777" w:rsidR="004576CF" w:rsidRPr="004576CF"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Supplier power can however go up when inputs are patented, highly differentiated or hard to substitute. Moreover, the imported product margins in Vietnam may be influenced by the changes in international prices of ingredients, logistics expenses and exchange rates. H&amp;B should therefore take initiatives to control the relationship with suppliers, diversify supply and expect cost fluctuat</w:t>
      </w:r>
      <w:r>
        <w:rPr>
          <w:rFonts w:ascii="Times New Roman" w:hAnsi="Times New Roman" w:cs="Times New Roman"/>
          <w:sz w:val="24"/>
        </w:rPr>
        <w:t>ions to safeguard profitability</w:t>
      </w:r>
      <w:r w:rsidR="004576CF" w:rsidRPr="004576CF">
        <w:rPr>
          <w:rFonts w:ascii="Times New Roman" w:hAnsi="Times New Roman" w:cs="Times New Roman"/>
          <w:sz w:val="24"/>
        </w:rPr>
        <w:t>.</w:t>
      </w:r>
    </w:p>
    <w:p w14:paraId="2A5E7016"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3. Bargaining Power of Buyers</w:t>
      </w:r>
    </w:p>
    <w:p w14:paraId="03FEBD55" w14:textId="77777777" w:rsidR="009D62CE" w:rsidRPr="009D62CE" w:rsidRDefault="002D273C" w:rsidP="009D62CE">
      <w:pPr>
        <w:spacing w:line="360" w:lineRule="auto"/>
        <w:jc w:val="both"/>
        <w:rPr>
          <w:rFonts w:ascii="Times New Roman" w:hAnsi="Times New Roman" w:cs="Times New Roman"/>
          <w:sz w:val="24"/>
        </w:rPr>
      </w:pPr>
      <w:r w:rsidRPr="002D273C">
        <w:rPr>
          <w:rFonts w:ascii="Times New Roman" w:hAnsi="Times New Roman" w:cs="Times New Roman"/>
          <w:sz w:val="24"/>
        </w:rPr>
        <w:t>Buyer power in the wellness market in Vietnam is high especially the young urban consumers who are price sensitive and brand conscious. The trends driving demand of supplements include the growing health consciousness, growing income and lifestyle changes (Ken Research, 2025a). Consumers have a huge variety of local and imported brands in pharmacies, supermarkets and online platforms to switch to, which provid</w:t>
      </w:r>
      <w:r>
        <w:rPr>
          <w:rFonts w:ascii="Times New Roman" w:hAnsi="Times New Roman" w:cs="Times New Roman"/>
          <w:sz w:val="24"/>
        </w:rPr>
        <w:t>es more switching opportunities</w:t>
      </w:r>
      <w:r w:rsidR="009D62CE">
        <w:rPr>
          <w:rFonts w:ascii="Times New Roman" w:hAnsi="Times New Roman" w:cs="Times New Roman"/>
          <w:sz w:val="24"/>
        </w:rPr>
        <w:t>.</w:t>
      </w:r>
    </w:p>
    <w:p w14:paraId="5EB22857" w14:textId="77777777" w:rsidR="004576CF" w:rsidRPr="004576CF" w:rsidRDefault="009D62CE" w:rsidP="009D62CE">
      <w:pPr>
        <w:spacing w:line="360" w:lineRule="auto"/>
        <w:jc w:val="both"/>
        <w:rPr>
          <w:rFonts w:ascii="Times New Roman" w:hAnsi="Times New Roman" w:cs="Times New Roman"/>
          <w:sz w:val="24"/>
        </w:rPr>
      </w:pPr>
      <w:r w:rsidRPr="009D62CE">
        <w:rPr>
          <w:rFonts w:ascii="Times New Roman" w:hAnsi="Times New Roman" w:cs="Times New Roman"/>
          <w:sz w:val="24"/>
        </w:rPr>
        <w:t xml:space="preserve">In major cities such as Ho Chi Minh City and Hanoi, e-commerce platforms provide easy price comparison and frequent promotions, strengthening buyer power (Research and Markets, 2025). Although strong branding can reduce price sensitivity, H&amp;B must deploy competitive pricing, loyalty </w:t>
      </w:r>
      <w:proofErr w:type="spellStart"/>
      <w:r w:rsidRPr="009D62CE">
        <w:rPr>
          <w:rFonts w:ascii="Times New Roman" w:hAnsi="Times New Roman" w:cs="Times New Roman"/>
          <w:sz w:val="24"/>
        </w:rPr>
        <w:t>programmes</w:t>
      </w:r>
      <w:proofErr w:type="spellEnd"/>
      <w:r w:rsidRPr="009D62CE">
        <w:rPr>
          <w:rFonts w:ascii="Times New Roman" w:hAnsi="Times New Roman" w:cs="Times New Roman"/>
          <w:sz w:val="24"/>
        </w:rPr>
        <w:t xml:space="preserve"> and consumer education initiatives to mitigate buyer influe</w:t>
      </w:r>
      <w:r>
        <w:rPr>
          <w:rFonts w:ascii="Times New Roman" w:hAnsi="Times New Roman" w:cs="Times New Roman"/>
          <w:sz w:val="24"/>
        </w:rPr>
        <w:t>nce and sustain differentiation</w:t>
      </w:r>
      <w:r w:rsidR="004576CF" w:rsidRPr="004576CF">
        <w:rPr>
          <w:rFonts w:ascii="Times New Roman" w:hAnsi="Times New Roman" w:cs="Times New Roman"/>
          <w:sz w:val="24"/>
        </w:rPr>
        <w:t>.</w:t>
      </w:r>
    </w:p>
    <w:p w14:paraId="73C26FDD"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4. Threat of Substitutes</w:t>
      </w:r>
    </w:p>
    <w:p w14:paraId="054A5E76" w14:textId="77777777"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In Vietnam, there is a high threat of substitutes in the health products market. The local wellness remedies and traditional herbal medicines are still culturally entrenched and provide cheaper alternatives to imported supplements. Moreover, prescription drugs, enriched foods and OTCs are available at pharmacies and supermarkets, and can be used by consumers instead of specialty supplements. The substitution is further enhanced by the impact of cross-border e-commerce and grey-market imports, which allow the access to the international brands outside the official retailing channels. Such dynamics demand Holland and Barrett to distinguish by certified quality of products, safety and a trust</w:t>
      </w:r>
      <w:r>
        <w:rPr>
          <w:rFonts w:ascii="Times New Roman" w:hAnsi="Times New Roman" w:cs="Times New Roman"/>
          <w:sz w:val="24"/>
        </w:rPr>
        <w:t>ed specialist retail experience</w:t>
      </w:r>
      <w:r w:rsidR="004576CF" w:rsidRPr="004576CF">
        <w:rPr>
          <w:rFonts w:ascii="Times New Roman" w:hAnsi="Times New Roman" w:cs="Times New Roman"/>
          <w:sz w:val="24"/>
        </w:rPr>
        <w:t>.</w:t>
      </w:r>
    </w:p>
    <w:p w14:paraId="11167B02"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5. Competitive Rivalry</w:t>
      </w:r>
    </w:p>
    <w:p w14:paraId="2679C0AA" w14:textId="3CD14382" w:rsidR="00E622C3"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level of competitive rivalry in the health and wellness industry in Vietnam is high and becoming more fragmented. The competitors involve pharmacy chains, supermarkets, </w:t>
      </w:r>
      <w:r w:rsidR="00CA3398" w:rsidRPr="002D273C">
        <w:rPr>
          <w:rFonts w:ascii="Times New Roman" w:hAnsi="Times New Roman" w:cs="Times New Roman"/>
          <w:sz w:val="24"/>
        </w:rPr>
        <w:t>specialized</w:t>
      </w:r>
      <w:r w:rsidRPr="002D273C">
        <w:rPr>
          <w:rFonts w:ascii="Times New Roman" w:hAnsi="Times New Roman" w:cs="Times New Roman"/>
          <w:sz w:val="24"/>
        </w:rPr>
        <w:t xml:space="preserve"> stores and online sellers. Pharmaceutical giants like </w:t>
      </w:r>
      <w:proofErr w:type="spellStart"/>
      <w:r w:rsidRPr="002D273C">
        <w:rPr>
          <w:rFonts w:ascii="Times New Roman" w:hAnsi="Times New Roman" w:cs="Times New Roman"/>
          <w:sz w:val="24"/>
        </w:rPr>
        <w:t>Pharmicity</w:t>
      </w:r>
      <w:proofErr w:type="spellEnd"/>
      <w:r w:rsidRPr="002D273C">
        <w:rPr>
          <w:rFonts w:ascii="Times New Roman" w:hAnsi="Times New Roman" w:cs="Times New Roman"/>
          <w:sz w:val="24"/>
        </w:rPr>
        <w:t xml:space="preserve"> have large nationwide stores, which increase competition among wellness consumers (IMARC Group, 2025). E-commerce and supermarkets also increase competition by providing promotions of prices, convenience, and wide product availability. As a result, competition is spread in terms of prices, quality, service and accessibility, which justifies the necessity of H&amp;B to implement the strategy of a distinctive differentiation in terms of expertise</w:t>
      </w:r>
      <w:r>
        <w:rPr>
          <w:rFonts w:ascii="Times New Roman" w:hAnsi="Times New Roman" w:cs="Times New Roman"/>
          <w:sz w:val="24"/>
        </w:rPr>
        <w:t>, trust and premium positioning</w:t>
      </w:r>
      <w:r w:rsidR="002C25C1" w:rsidRPr="002C25C1">
        <w:rPr>
          <w:rFonts w:ascii="Times New Roman" w:hAnsi="Times New Roman" w:cs="Times New Roman"/>
          <w:sz w:val="24"/>
        </w:rPr>
        <w:t>.</w:t>
      </w:r>
    </w:p>
    <w:p w14:paraId="27E0F16E"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Critical Evaluation</w:t>
      </w:r>
    </w:p>
    <w:p w14:paraId="7B9AE139" w14:textId="77777777"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The Five Forces model by Porter gives a useful framework over competitive forces but does not apply well to digital-first markets such as the health and wellness retail market in Vietnam. Conventional Five Forces presupposes fairly constant industry boundaries and structural characteristics. Nevertheless, the fast emergence of online stores, m-commerce, and influencer-based sales, and hybrid retail designs break the boundaries in the industry. Digital ecosystems enable incumbents and new players to achieve fast and low-cost access to the market and lower the entry barriers of the traditional market and weaken the analysis of power of suppliers and buyers (</w:t>
      </w:r>
      <w:proofErr w:type="spellStart"/>
      <w:r w:rsidRPr="002D273C">
        <w:rPr>
          <w:rFonts w:ascii="Times New Roman" w:hAnsi="Times New Roman" w:cs="Times New Roman"/>
          <w:sz w:val="24"/>
        </w:rPr>
        <w:t>Mondal</w:t>
      </w:r>
      <w:proofErr w:type="spellEnd"/>
      <w:r w:rsidRPr="002D273C">
        <w:rPr>
          <w:rFonts w:ascii="Times New Roman" w:hAnsi="Times New Roman" w:cs="Times New Roman"/>
          <w:sz w:val="24"/>
        </w:rPr>
        <w:t xml:space="preserve">, Menon and </w:t>
      </w:r>
      <w:proofErr w:type="spellStart"/>
      <w:r w:rsidRPr="002D273C">
        <w:rPr>
          <w:rFonts w:ascii="Times New Roman" w:hAnsi="Times New Roman" w:cs="Times New Roman"/>
          <w:sz w:val="24"/>
        </w:rPr>
        <w:t>Sahadev</w:t>
      </w:r>
      <w:proofErr w:type="spellEnd"/>
      <w:r w:rsidRPr="002D273C">
        <w:rPr>
          <w:rFonts w:ascii="Times New Roman" w:hAnsi="Times New Roman" w:cs="Times New Roman"/>
          <w:sz w:val="24"/>
        </w:rPr>
        <w:t>, 2025). Thus, although Five Forces can be used as a starting point, it is essential to supplement it with dynamic analysis of digital ecosystems and scenario planning to capture strategic co</w:t>
      </w:r>
      <w:r>
        <w:rPr>
          <w:rFonts w:ascii="Times New Roman" w:hAnsi="Times New Roman" w:cs="Times New Roman"/>
          <w:sz w:val="24"/>
        </w:rPr>
        <w:t>mpetition in all its complexity</w:t>
      </w:r>
      <w:r w:rsidR="004576CF" w:rsidRPr="004576CF">
        <w:rPr>
          <w:rFonts w:ascii="Times New Roman" w:hAnsi="Times New Roman" w:cs="Times New Roman"/>
          <w:sz w:val="24"/>
        </w:rPr>
        <w:t>.</w:t>
      </w:r>
    </w:p>
    <w:p w14:paraId="7FBF46DB" w14:textId="77777777" w:rsidR="00CD11DA" w:rsidRDefault="00CD11DA" w:rsidP="00E35106">
      <w:pPr>
        <w:pStyle w:val="Heading2"/>
      </w:pPr>
      <w:bookmarkStart w:id="14" w:name="_Toc217240202"/>
      <w:r w:rsidRPr="00CD11DA">
        <w:t>SWOT Analysis (Performance Analysis)</w:t>
      </w:r>
      <w:bookmarkEnd w:id="14"/>
    </w:p>
    <w:p w14:paraId="680E4933" w14:textId="7A39A584"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SWOT analysis evaluates an </w:t>
      </w:r>
      <w:r w:rsidR="00036B93" w:rsidRPr="00BC519E">
        <w:rPr>
          <w:rFonts w:ascii="Times New Roman" w:hAnsi="Times New Roman" w:cs="Times New Roman"/>
          <w:sz w:val="24"/>
        </w:rPr>
        <w:t>organization’s</w:t>
      </w:r>
      <w:r w:rsidRPr="00BC519E">
        <w:rPr>
          <w:rFonts w:ascii="Times New Roman" w:hAnsi="Times New Roman" w:cs="Times New Roman"/>
          <w:sz w:val="24"/>
        </w:rPr>
        <w:t xml:space="preserve"> internal strengths and weaknesses alongside external opportunities and threats to inform strategic decision-making </w:t>
      </w:r>
      <w:r>
        <w:rPr>
          <w:rFonts w:ascii="Times New Roman" w:hAnsi="Times New Roman" w:cs="Times New Roman"/>
          <w:sz w:val="24"/>
        </w:rPr>
        <w:t>(Johnson et al., 2020, pp. 115–119</w:t>
      </w:r>
      <w:r w:rsidRPr="00BC519E">
        <w:rPr>
          <w:rFonts w:ascii="Times New Roman" w:hAnsi="Times New Roman" w:cs="Times New Roman"/>
          <w:sz w:val="24"/>
        </w:rPr>
        <w:t>).</w:t>
      </w:r>
    </w:p>
    <w:p w14:paraId="071B1D4C"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Strengths</w:t>
      </w:r>
    </w:p>
    <w:p w14:paraId="363F9213" w14:textId="77777777" w:rsidR="001C21F5" w:rsidRDefault="001C21F5" w:rsidP="001C21F5">
      <w:pPr>
        <w:spacing w:line="360" w:lineRule="auto"/>
        <w:jc w:val="center"/>
        <w:rPr>
          <w:rFonts w:ascii="Times New Roman" w:hAnsi="Times New Roman" w:cs="Times New Roman"/>
          <w:sz w:val="24"/>
        </w:rPr>
      </w:pPr>
      <w:r w:rsidRPr="001C21F5">
        <w:rPr>
          <w:rFonts w:ascii="Times New Roman" w:hAnsi="Times New Roman" w:cs="Times New Roman"/>
          <w:noProof/>
          <w:sz w:val="24"/>
        </w:rPr>
        <w:drawing>
          <wp:inline distT="0" distB="0" distL="0" distR="0" wp14:anchorId="3DDE1034" wp14:editId="0B208059">
            <wp:extent cx="3358384" cy="19583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63013" cy="1961039"/>
                    </a:xfrm>
                    <a:prstGeom prst="rect">
                      <a:avLst/>
                    </a:prstGeom>
                  </pic:spPr>
                </pic:pic>
              </a:graphicData>
            </a:graphic>
          </wp:inline>
        </w:drawing>
      </w:r>
    </w:p>
    <w:p w14:paraId="3FD3B5D9" w14:textId="77777777" w:rsidR="001C21F5" w:rsidRDefault="001C21F5" w:rsidP="001C21F5">
      <w:pPr>
        <w:pStyle w:val="Caption"/>
        <w:jc w:val="center"/>
        <w:rPr>
          <w:rFonts w:ascii="Times New Roman" w:hAnsi="Times New Roman" w:cs="Times New Roman"/>
          <w:sz w:val="24"/>
        </w:rPr>
      </w:pPr>
      <w:bookmarkStart w:id="15" w:name="_Toc217240223"/>
      <w:r>
        <w:t xml:space="preserve">Figure </w:t>
      </w:r>
      <w:r w:rsidR="00BB2141">
        <w:fldChar w:fldCharType="begin"/>
      </w:r>
      <w:r w:rsidR="00BB2141">
        <w:instrText xml:space="preserve"> SEQ Figure \* ARABIC </w:instrText>
      </w:r>
      <w:r w:rsidR="00BB2141">
        <w:fldChar w:fldCharType="separate"/>
      </w:r>
      <w:r w:rsidR="00AA382C">
        <w:rPr>
          <w:noProof/>
        </w:rPr>
        <w:t>6</w:t>
      </w:r>
      <w:r w:rsidR="00BB2141">
        <w:rPr>
          <w:noProof/>
        </w:rPr>
        <w:fldChar w:fldCharType="end"/>
      </w:r>
      <w:r>
        <w:t>: SWOT Analysis</w:t>
      </w:r>
      <w:bookmarkEnd w:id="15"/>
    </w:p>
    <w:p w14:paraId="37F42298" w14:textId="77777777" w:rsidR="001C21F5" w:rsidRPr="00FA77CD" w:rsidRDefault="001C21F5" w:rsidP="001C21F5">
      <w:pPr>
        <w:spacing w:line="360" w:lineRule="auto"/>
        <w:jc w:val="center"/>
        <w:rPr>
          <w:rFonts w:ascii="Times New Roman" w:hAnsi="Times New Roman" w:cs="Times New Roman"/>
        </w:rPr>
      </w:pPr>
      <w:r w:rsidRPr="00FA77CD">
        <w:rPr>
          <w:rFonts w:ascii="Times New Roman" w:hAnsi="Times New Roman" w:cs="Times New Roman"/>
        </w:rPr>
        <w:t>(</w:t>
      </w:r>
      <w:proofErr w:type="spellStart"/>
      <w:r w:rsidRPr="00FA77CD">
        <w:rPr>
          <w:rFonts w:ascii="Times New Roman" w:hAnsi="Times New Roman" w:cs="Times New Roman"/>
        </w:rPr>
        <w:t>Buntin</w:t>
      </w:r>
      <w:proofErr w:type="spellEnd"/>
      <w:r w:rsidRPr="00FA77CD">
        <w:rPr>
          <w:rFonts w:ascii="Times New Roman" w:hAnsi="Times New Roman" w:cs="Times New Roman"/>
        </w:rPr>
        <w:t>, 2025)</w:t>
      </w:r>
    </w:p>
    <w:p w14:paraId="2BDFF61D" w14:textId="77777777" w:rsidR="001C21F5" w:rsidRDefault="001C21F5" w:rsidP="001C21F5">
      <w:pPr>
        <w:spacing w:line="360" w:lineRule="auto"/>
        <w:jc w:val="center"/>
        <w:rPr>
          <w:rFonts w:ascii="Times New Roman" w:hAnsi="Times New Roman" w:cs="Times New Roman"/>
          <w:sz w:val="24"/>
        </w:rPr>
      </w:pPr>
    </w:p>
    <w:p w14:paraId="49F188A8" w14:textId="5CB7B3CC" w:rsidR="00CD11DA" w:rsidRPr="007C0ACF" w:rsidRDefault="002D273C" w:rsidP="00CD11DA">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main strength of Holland and Barrett is that the brand has a high international credibility in the health and wellness industry. In information asymmetrical markets like the dietary supplements, brand trust plays a very important role in the purchase decision of consumers (Porter and Kramer, 2011). The quality assurance of the product, transparency, and ethical sourcing of H&amp;B gives it an advantage in the new markets where the issues of counterfeit and inferior products dominate. Another advantage is that it has diversified portfolio of products including vitamins, minerals, herbal supplements, natural foods and personal care. Portfolio breadth helps to avoid dependence on individual categories and allows covering various segments of wellness (Siegel, 2024). H&amp;B also has the specialist retailing competencies such as in-store advisory services, wellness education and </w:t>
      </w:r>
      <w:r w:rsidR="00AD0467" w:rsidRPr="002D273C">
        <w:rPr>
          <w:rFonts w:ascii="Times New Roman" w:hAnsi="Times New Roman" w:cs="Times New Roman"/>
          <w:sz w:val="24"/>
        </w:rPr>
        <w:t>Omni channel</w:t>
      </w:r>
      <w:r w:rsidRPr="002D273C">
        <w:rPr>
          <w:rFonts w:ascii="Times New Roman" w:hAnsi="Times New Roman" w:cs="Times New Roman"/>
          <w:sz w:val="24"/>
        </w:rPr>
        <w:t xml:space="preserve"> integration which are identified as key success factors in the premium health</w:t>
      </w:r>
      <w:r>
        <w:rPr>
          <w:rFonts w:ascii="Times New Roman" w:hAnsi="Times New Roman" w:cs="Times New Roman"/>
          <w:sz w:val="24"/>
        </w:rPr>
        <w:t xml:space="preserve"> retailing (</w:t>
      </w:r>
      <w:proofErr w:type="spellStart"/>
      <w:r>
        <w:rPr>
          <w:rFonts w:ascii="Times New Roman" w:hAnsi="Times New Roman" w:cs="Times New Roman"/>
          <w:sz w:val="24"/>
        </w:rPr>
        <w:t>Pione</w:t>
      </w:r>
      <w:proofErr w:type="spellEnd"/>
      <w:r>
        <w:rPr>
          <w:rFonts w:ascii="Times New Roman" w:hAnsi="Times New Roman" w:cs="Times New Roman"/>
          <w:sz w:val="24"/>
        </w:rPr>
        <w:t xml:space="preserve"> et al., 2025)</w:t>
      </w:r>
      <w:r w:rsidR="00CD11DA" w:rsidRPr="007C0ACF">
        <w:rPr>
          <w:rFonts w:ascii="Times New Roman" w:hAnsi="Times New Roman" w:cs="Times New Roman"/>
          <w:sz w:val="24"/>
        </w:rPr>
        <w:t>.</w:t>
      </w:r>
    </w:p>
    <w:p w14:paraId="521471DE"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Weaknesses</w:t>
      </w:r>
    </w:p>
    <w:p w14:paraId="75612D82" w14:textId="77777777" w:rsidR="00CD11DA" w:rsidRPr="007C0ACF" w:rsidRDefault="002D273C" w:rsidP="00CD11DA">
      <w:pPr>
        <w:spacing w:line="360" w:lineRule="auto"/>
        <w:jc w:val="both"/>
        <w:rPr>
          <w:rFonts w:ascii="Times New Roman" w:hAnsi="Times New Roman" w:cs="Times New Roman"/>
          <w:sz w:val="24"/>
        </w:rPr>
      </w:pPr>
      <w:r w:rsidRPr="002D273C">
        <w:rPr>
          <w:rFonts w:ascii="Times New Roman" w:hAnsi="Times New Roman" w:cs="Times New Roman"/>
          <w:sz w:val="24"/>
        </w:rPr>
        <w:t>In spite of these strengths, H&amp;B has internal weaknesses in Vietnam. The brand awareness is at a low level and it might need a lot of marketing to gain trust and adoption. A price-sensitive market with income differences may also restrict accessibility with premium pricing potentially restricting early mass-market penetration by the rich urban customers (OECD, 2025). Also, there is a lack of local supply-chain infrastructure, which exposes the operations to regulatory delays, logistics expenses, and currency</w:t>
      </w:r>
      <w:r>
        <w:rPr>
          <w:rFonts w:ascii="Times New Roman" w:hAnsi="Times New Roman" w:cs="Times New Roman"/>
          <w:sz w:val="24"/>
        </w:rPr>
        <w:t xml:space="preserve"> risk in the first market-entry</w:t>
      </w:r>
      <w:r w:rsidR="00CD11DA" w:rsidRPr="007C0ACF">
        <w:rPr>
          <w:rFonts w:ascii="Times New Roman" w:hAnsi="Times New Roman" w:cs="Times New Roman"/>
          <w:sz w:val="24"/>
        </w:rPr>
        <w:t>.</w:t>
      </w:r>
    </w:p>
    <w:p w14:paraId="2C1BC897"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Opportunities</w:t>
      </w:r>
    </w:p>
    <w:p w14:paraId="40EB2624" w14:textId="6B335CA6"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Vietnam holds good external opportunities owing to the fast rate of increasing health consciousness and consumption of preventive healthcare. Scholarly literature can verify that the growing </w:t>
      </w:r>
      <w:r w:rsidR="0043631F" w:rsidRPr="002D273C">
        <w:rPr>
          <w:rFonts w:ascii="Times New Roman" w:hAnsi="Times New Roman" w:cs="Times New Roman"/>
          <w:sz w:val="24"/>
        </w:rPr>
        <w:t>urbanization</w:t>
      </w:r>
      <w:r w:rsidRPr="002D273C">
        <w:rPr>
          <w:rFonts w:ascii="Times New Roman" w:hAnsi="Times New Roman" w:cs="Times New Roman"/>
          <w:sz w:val="24"/>
        </w:rPr>
        <w:t xml:space="preserve"> and health issues linked to lifestyles are augmenting the demand of supplements and functional foods in Southeast Asia (Nguyen and </w:t>
      </w:r>
      <w:proofErr w:type="spellStart"/>
      <w:r w:rsidRPr="002D273C">
        <w:rPr>
          <w:rFonts w:ascii="Times New Roman" w:hAnsi="Times New Roman" w:cs="Times New Roman"/>
          <w:sz w:val="24"/>
        </w:rPr>
        <w:t>Dekhili</w:t>
      </w:r>
      <w:proofErr w:type="spellEnd"/>
      <w:r w:rsidRPr="002D273C">
        <w:rPr>
          <w:rFonts w:ascii="Times New Roman" w:hAnsi="Times New Roman" w:cs="Times New Roman"/>
          <w:sz w:val="24"/>
        </w:rPr>
        <w:t>, 2019). The growing e-commerce ecosystem in Vietnam also increases the accessibility of the market, giving international brands an opportunity to embrace an asset-light entry mode prior to the full physical growth in retailing (PwC, 2024).</w:t>
      </w:r>
    </w:p>
    <w:p w14:paraId="18231264" w14:textId="77D1EFC0" w:rsidR="00CD11DA" w:rsidRPr="007C0ACF"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Another opportunity is strategic partnerships with shopping malls, pharmacy chains, or supermarket groups. The literature on retail </w:t>
      </w:r>
      <w:r w:rsidR="00FA56A8" w:rsidRPr="002D273C">
        <w:rPr>
          <w:rFonts w:ascii="Times New Roman" w:hAnsi="Times New Roman" w:cs="Times New Roman"/>
          <w:sz w:val="24"/>
        </w:rPr>
        <w:t>internationalization</w:t>
      </w:r>
      <w:r w:rsidRPr="002D273C">
        <w:rPr>
          <w:rFonts w:ascii="Times New Roman" w:hAnsi="Times New Roman" w:cs="Times New Roman"/>
          <w:sz w:val="24"/>
        </w:rPr>
        <w:t xml:space="preserve"> has placed emphasis on the use of partnerships as tools of reducing cultural distance and regulator</w:t>
      </w:r>
      <w:r>
        <w:rPr>
          <w:rFonts w:ascii="Times New Roman" w:hAnsi="Times New Roman" w:cs="Times New Roman"/>
          <w:sz w:val="24"/>
        </w:rPr>
        <w:t>y uncertainty in the new market</w:t>
      </w:r>
      <w:r w:rsidR="00CD11DA" w:rsidRPr="007C0ACF">
        <w:rPr>
          <w:rFonts w:ascii="Times New Roman" w:hAnsi="Times New Roman" w:cs="Times New Roman"/>
          <w:sz w:val="24"/>
        </w:rPr>
        <w:t>.</w:t>
      </w:r>
    </w:p>
    <w:p w14:paraId="14853B9B"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Threats</w:t>
      </w:r>
    </w:p>
    <w:p w14:paraId="564C6267" w14:textId="77777777" w:rsidR="00E622C3" w:rsidRPr="00CD11DA" w:rsidRDefault="002D273C" w:rsidP="00CD11DA">
      <w:pPr>
        <w:spacing w:line="360" w:lineRule="auto"/>
        <w:jc w:val="both"/>
        <w:rPr>
          <w:rFonts w:ascii="Times New Roman" w:hAnsi="Times New Roman" w:cs="Times New Roman"/>
          <w:sz w:val="24"/>
        </w:rPr>
      </w:pPr>
      <w:r w:rsidRPr="002D273C">
        <w:rPr>
          <w:rFonts w:ascii="Times New Roman" w:hAnsi="Times New Roman" w:cs="Times New Roman"/>
          <w:sz w:val="24"/>
        </w:rPr>
        <w:t xml:space="preserve">Vietnamese wellness industry is vulnerable to fake products and grey imports, which deter consumer confidence and heighten competition on price (OECD, 2025). Moreover, local wellness products and traditional herbal medicine are still culturally entrenched, and they can be used as an alternative to imported supplements and restrict penetration of foreign brands to the market (Nguyen and </w:t>
      </w:r>
      <w:proofErr w:type="spellStart"/>
      <w:r w:rsidRPr="002D273C">
        <w:rPr>
          <w:rFonts w:ascii="Times New Roman" w:hAnsi="Times New Roman" w:cs="Times New Roman"/>
          <w:sz w:val="24"/>
        </w:rPr>
        <w:t>Dekhili</w:t>
      </w:r>
      <w:proofErr w:type="spellEnd"/>
      <w:r w:rsidRPr="002D273C">
        <w:rPr>
          <w:rFonts w:ascii="Times New Roman" w:hAnsi="Times New Roman" w:cs="Times New Roman"/>
          <w:sz w:val="24"/>
        </w:rPr>
        <w:t>, 2019). Compliance risks also occur due to regulatory complexity and the changing product certification standards, which may slow down the market entry and raise the operational costs (PwC, 2024).</w:t>
      </w:r>
    </w:p>
    <w:p w14:paraId="4B67F2FE"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Critical Evaluation</w:t>
      </w:r>
    </w:p>
    <w:p w14:paraId="6DE1D17D" w14:textId="77777777" w:rsidR="00CD11DA" w:rsidRPr="00CD11DA" w:rsidRDefault="002D273C" w:rsidP="00CD11DA">
      <w:pPr>
        <w:spacing w:line="360" w:lineRule="auto"/>
        <w:jc w:val="both"/>
        <w:rPr>
          <w:rFonts w:ascii="Times New Roman" w:hAnsi="Times New Roman" w:cs="Times New Roman"/>
          <w:sz w:val="24"/>
        </w:rPr>
      </w:pPr>
      <w:r w:rsidRPr="002D273C">
        <w:rPr>
          <w:rFonts w:ascii="Times New Roman" w:hAnsi="Times New Roman" w:cs="Times New Roman"/>
          <w:sz w:val="24"/>
        </w:rPr>
        <w:t xml:space="preserve">Although SWOT analysis offers a handy overview of both internal and external conditions, it does not offer </w:t>
      </w:r>
      <w:proofErr w:type="spellStart"/>
      <w:r w:rsidRPr="002D273C">
        <w:rPr>
          <w:rFonts w:ascii="Times New Roman" w:hAnsi="Times New Roman" w:cs="Times New Roman"/>
          <w:sz w:val="24"/>
        </w:rPr>
        <w:t>prioritisation</w:t>
      </w:r>
      <w:proofErr w:type="spellEnd"/>
      <w:r w:rsidRPr="002D273C">
        <w:rPr>
          <w:rFonts w:ascii="Times New Roman" w:hAnsi="Times New Roman" w:cs="Times New Roman"/>
          <w:sz w:val="24"/>
        </w:rPr>
        <w:t xml:space="preserve"> and causality. The framework does not show the factors, which are dominant strategically and their interaction. This also means that SWOT needs to be combined with Five Forces, VRIO and PESTLE analysis in order to stay out of oversimplified strategic conclusions (Hill and Westbrook, 1997).</w:t>
      </w:r>
    </w:p>
    <w:p w14:paraId="0B2E92BD" w14:textId="77777777" w:rsidR="00046F28" w:rsidRPr="00046F28" w:rsidRDefault="00046F28" w:rsidP="00E622C3">
      <w:pPr>
        <w:pStyle w:val="Heading2"/>
      </w:pPr>
      <w:bookmarkStart w:id="16" w:name="_Toc217240203"/>
      <w:r w:rsidRPr="00046F28">
        <w:t>Insights &amp; Strategic Implications</w:t>
      </w:r>
      <w:bookmarkEnd w:id="16"/>
    </w:p>
    <w:p w14:paraId="14C0068C" w14:textId="4F27EAF4"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combined assessment of the macro-environment of Vietnam, industry structure and firm-level capabilities suggests that the Vietnam market is a </w:t>
      </w:r>
      <w:r w:rsidR="000907D3" w:rsidRPr="002D273C">
        <w:rPr>
          <w:rFonts w:ascii="Times New Roman" w:hAnsi="Times New Roman" w:cs="Times New Roman"/>
          <w:sz w:val="24"/>
        </w:rPr>
        <w:t>favorable</w:t>
      </w:r>
      <w:r w:rsidRPr="002D273C">
        <w:rPr>
          <w:rFonts w:ascii="Times New Roman" w:hAnsi="Times New Roman" w:cs="Times New Roman"/>
          <w:sz w:val="24"/>
        </w:rPr>
        <w:t xml:space="preserve"> but difficult market to Holland and Barrett. The analysis of PESTLE indicates good long-term prospects, such as the increasing health awareness, digital preparedness and trade integration, contributing to the high demand potential. Nevertheless, the complexity of the regulations, disparity of incomes and unequal infrastructures will present a risk of execution that will need strategic adjustment instead of a uniform market penetration.</w:t>
      </w:r>
    </w:p>
    <w:p w14:paraId="25C7F0F1" w14:textId="77777777"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Five Forces analysis by Porter indicates that the level of competition is high in spite of the robust growth in the market, which is attributed to the fragmented retail </w:t>
      </w:r>
      <w:proofErr w:type="spellStart"/>
      <w:r w:rsidRPr="002D273C">
        <w:rPr>
          <w:rFonts w:ascii="Times New Roman" w:hAnsi="Times New Roman" w:cs="Times New Roman"/>
          <w:sz w:val="24"/>
        </w:rPr>
        <w:t>organisation</w:t>
      </w:r>
      <w:proofErr w:type="spellEnd"/>
      <w:r w:rsidRPr="002D273C">
        <w:rPr>
          <w:rFonts w:ascii="Times New Roman" w:hAnsi="Times New Roman" w:cs="Times New Roman"/>
          <w:sz w:val="24"/>
        </w:rPr>
        <w:t>, embedded substitutes that are culturally instilled like the traditional herbal remedies and price elastic consumers. This restricts the feasibility of cost leadership or mass expansion in a short time, and focuses on differentiation along the lines of trust, expertise and perceived quality. According to research, foreign wellness retailers have an advantage because they can use specialist knowledge and brand credibility instead of price competition (Moorman et al., 2023).</w:t>
      </w:r>
    </w:p>
    <w:p w14:paraId="02731D5A" w14:textId="1A17FF72" w:rsidR="00046F28" w:rsidRPr="007C0ACF"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SWOT analysis also reveals that despite the high brand and ability, the </w:t>
      </w:r>
      <w:r w:rsidR="006013C0" w:rsidRPr="002D273C">
        <w:rPr>
          <w:rFonts w:ascii="Times New Roman" w:hAnsi="Times New Roman" w:cs="Times New Roman"/>
          <w:sz w:val="24"/>
        </w:rPr>
        <w:t>localization</w:t>
      </w:r>
      <w:r w:rsidRPr="002D273C">
        <w:rPr>
          <w:rFonts w:ascii="Times New Roman" w:hAnsi="Times New Roman" w:cs="Times New Roman"/>
          <w:sz w:val="24"/>
        </w:rPr>
        <w:t xml:space="preserve"> is necessary to H&amp;B. Incremental market commitment and strategic alliances are hence essential to curbing liability of foreignness and uncertainty, which is in line with the </w:t>
      </w:r>
      <w:r w:rsidR="006013C0" w:rsidRPr="002D273C">
        <w:rPr>
          <w:rFonts w:ascii="Times New Roman" w:hAnsi="Times New Roman" w:cs="Times New Roman"/>
          <w:sz w:val="24"/>
        </w:rPr>
        <w:t>internationalization</w:t>
      </w:r>
      <w:r w:rsidRPr="002D273C">
        <w:rPr>
          <w:rFonts w:ascii="Times New Roman" w:hAnsi="Times New Roman" w:cs="Times New Roman"/>
          <w:sz w:val="24"/>
        </w:rPr>
        <w:t xml:space="preserve"> theory that focuses on learning progressively </w:t>
      </w:r>
      <w:r w:rsidR="004940E9">
        <w:rPr>
          <w:rFonts w:ascii="Times New Roman" w:hAnsi="Times New Roman" w:cs="Times New Roman"/>
          <w:sz w:val="24"/>
        </w:rPr>
        <w:t xml:space="preserve">in </w:t>
      </w:r>
      <w:r w:rsidRPr="002D273C">
        <w:rPr>
          <w:rFonts w:ascii="Times New Roman" w:hAnsi="Times New Roman" w:cs="Times New Roman"/>
          <w:sz w:val="24"/>
        </w:rPr>
        <w:t>local</w:t>
      </w:r>
      <w:r>
        <w:rPr>
          <w:rFonts w:ascii="Times New Roman" w:hAnsi="Times New Roman" w:cs="Times New Roman"/>
          <w:sz w:val="24"/>
        </w:rPr>
        <w:t>ly (</w:t>
      </w:r>
      <w:proofErr w:type="spellStart"/>
      <w:r>
        <w:rPr>
          <w:rFonts w:ascii="Times New Roman" w:hAnsi="Times New Roman" w:cs="Times New Roman"/>
          <w:sz w:val="24"/>
        </w:rPr>
        <w:t>Johanson</w:t>
      </w:r>
      <w:proofErr w:type="spellEnd"/>
      <w:r>
        <w:rPr>
          <w:rFonts w:ascii="Times New Roman" w:hAnsi="Times New Roman" w:cs="Times New Roman"/>
          <w:sz w:val="24"/>
        </w:rPr>
        <w:t xml:space="preserve"> and </w:t>
      </w:r>
      <w:proofErr w:type="spellStart"/>
      <w:r>
        <w:rPr>
          <w:rFonts w:ascii="Times New Roman" w:hAnsi="Times New Roman" w:cs="Times New Roman"/>
          <w:sz w:val="24"/>
        </w:rPr>
        <w:t>Vahlne</w:t>
      </w:r>
      <w:proofErr w:type="spellEnd"/>
      <w:r>
        <w:rPr>
          <w:rFonts w:ascii="Times New Roman" w:hAnsi="Times New Roman" w:cs="Times New Roman"/>
          <w:sz w:val="24"/>
        </w:rPr>
        <w:t>, 2015).</w:t>
      </w:r>
    </w:p>
    <w:p w14:paraId="1539CA55" w14:textId="77777777" w:rsidR="00E35106" w:rsidRPr="00E622C3" w:rsidRDefault="00E35106" w:rsidP="00E622C3">
      <w:pPr>
        <w:pStyle w:val="Heading1"/>
      </w:pPr>
      <w:bookmarkStart w:id="17" w:name="_Toc217240204"/>
      <w:r w:rsidRPr="00E622C3">
        <w:t>Section 3: Strategy Development and Formulation</w:t>
      </w:r>
      <w:bookmarkEnd w:id="17"/>
    </w:p>
    <w:p w14:paraId="6513E10A" w14:textId="77777777" w:rsidR="00046F28" w:rsidRPr="00046F28" w:rsidRDefault="00046F28" w:rsidP="00E622C3">
      <w:pPr>
        <w:pStyle w:val="Heading2"/>
      </w:pPr>
      <w:bookmarkStart w:id="18" w:name="_Toc217240205"/>
      <w:r w:rsidRPr="00046F28">
        <w:t>Strategic Direction and Rationale</w:t>
      </w:r>
      <w:bookmarkEnd w:id="18"/>
    </w:p>
    <w:p w14:paraId="46AD3C63" w14:textId="53DD5F14"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decision by Holland and Barrett (H&amp;B) to expand to Vietnam is strategically done in order to facilitate long-term growth, which is capability consistent with international expansion, and not short-term market capture. Vietnam has a good blend of powerful structural demand drivers in increasing health awareness, </w:t>
      </w:r>
      <w:r w:rsidR="0025532A" w:rsidRPr="002D273C">
        <w:rPr>
          <w:rFonts w:ascii="Times New Roman" w:hAnsi="Times New Roman" w:cs="Times New Roman"/>
          <w:sz w:val="24"/>
        </w:rPr>
        <w:t>urbanization</w:t>
      </w:r>
      <w:r w:rsidRPr="002D273C">
        <w:rPr>
          <w:rFonts w:ascii="Times New Roman" w:hAnsi="Times New Roman" w:cs="Times New Roman"/>
          <w:sz w:val="24"/>
        </w:rPr>
        <w:t xml:space="preserve"> and digital consumption, and a poorly-developed specialist wellness retail segment. Nonetheless, it can be </w:t>
      </w:r>
      <w:r w:rsidR="0025532A" w:rsidRPr="002D273C">
        <w:rPr>
          <w:rFonts w:ascii="Times New Roman" w:hAnsi="Times New Roman" w:cs="Times New Roman"/>
          <w:sz w:val="24"/>
        </w:rPr>
        <w:t>analyzed</w:t>
      </w:r>
      <w:r w:rsidRPr="002D273C">
        <w:rPr>
          <w:rFonts w:ascii="Times New Roman" w:hAnsi="Times New Roman" w:cs="Times New Roman"/>
          <w:sz w:val="24"/>
        </w:rPr>
        <w:t xml:space="preserve"> that the market can be </w:t>
      </w:r>
      <w:r w:rsidR="0025532A" w:rsidRPr="002D273C">
        <w:rPr>
          <w:rFonts w:ascii="Times New Roman" w:hAnsi="Times New Roman" w:cs="Times New Roman"/>
          <w:sz w:val="24"/>
        </w:rPr>
        <w:t>characterized</w:t>
      </w:r>
      <w:r w:rsidRPr="002D273C">
        <w:rPr>
          <w:rFonts w:ascii="Times New Roman" w:hAnsi="Times New Roman" w:cs="Times New Roman"/>
          <w:sz w:val="24"/>
        </w:rPr>
        <w:t xml:space="preserve"> by the high intensity of competition as well, the regulatory complexity and price sensitivity, which necessitates a careful and flexible strategy.</w:t>
      </w:r>
    </w:p>
    <w:p w14:paraId="7EF27030" w14:textId="2C5C17A9"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Strategic management literature posits that first-mover advantages may be created by venturing into emerging markets at the phase of category formation in case the firms have transferable capabilities and </w:t>
      </w:r>
      <w:r w:rsidR="00607F4E" w:rsidRPr="002D273C">
        <w:rPr>
          <w:rFonts w:ascii="Times New Roman" w:hAnsi="Times New Roman" w:cs="Times New Roman"/>
          <w:sz w:val="24"/>
        </w:rPr>
        <w:t>localize</w:t>
      </w:r>
      <w:r w:rsidRPr="002D273C">
        <w:rPr>
          <w:rFonts w:ascii="Times New Roman" w:hAnsi="Times New Roman" w:cs="Times New Roman"/>
          <w:sz w:val="24"/>
        </w:rPr>
        <w:t xml:space="preserve"> implementation (</w:t>
      </w:r>
      <w:proofErr w:type="spellStart"/>
      <w:r w:rsidRPr="002D273C">
        <w:rPr>
          <w:rFonts w:ascii="Times New Roman" w:hAnsi="Times New Roman" w:cs="Times New Roman"/>
          <w:sz w:val="24"/>
        </w:rPr>
        <w:t>Cuervo-Cazurra</w:t>
      </w:r>
      <w:proofErr w:type="spellEnd"/>
      <w:r w:rsidRPr="002D273C">
        <w:rPr>
          <w:rFonts w:ascii="Times New Roman" w:hAnsi="Times New Roman" w:cs="Times New Roman"/>
          <w:sz w:val="24"/>
        </w:rPr>
        <w:t xml:space="preserve"> and </w:t>
      </w:r>
      <w:proofErr w:type="spellStart"/>
      <w:r w:rsidRPr="002D273C">
        <w:rPr>
          <w:rFonts w:ascii="Times New Roman" w:hAnsi="Times New Roman" w:cs="Times New Roman"/>
          <w:sz w:val="24"/>
        </w:rPr>
        <w:t>Ramamurti</w:t>
      </w:r>
      <w:proofErr w:type="spellEnd"/>
      <w:r w:rsidRPr="002D273C">
        <w:rPr>
          <w:rFonts w:ascii="Times New Roman" w:hAnsi="Times New Roman" w:cs="Times New Roman"/>
          <w:sz w:val="24"/>
        </w:rPr>
        <w:t xml:space="preserve">, 2017). In line with this, the H&amp;B approach is incremental based on learning and risk-conscious, without going big at the early stages, which is mostly a failure in institutionally volatile situations (Meyer, </w:t>
      </w:r>
      <w:proofErr w:type="spellStart"/>
      <w:r w:rsidRPr="002D273C">
        <w:rPr>
          <w:rFonts w:ascii="Times New Roman" w:hAnsi="Times New Roman" w:cs="Times New Roman"/>
          <w:sz w:val="24"/>
        </w:rPr>
        <w:t>Mudambi</w:t>
      </w:r>
      <w:proofErr w:type="spellEnd"/>
      <w:r w:rsidRPr="002D273C">
        <w:rPr>
          <w:rFonts w:ascii="Times New Roman" w:hAnsi="Times New Roman" w:cs="Times New Roman"/>
          <w:sz w:val="24"/>
        </w:rPr>
        <w:t xml:space="preserve"> and </w:t>
      </w:r>
      <w:proofErr w:type="spellStart"/>
      <w:r w:rsidRPr="002D273C">
        <w:rPr>
          <w:rFonts w:ascii="Times New Roman" w:hAnsi="Times New Roman" w:cs="Times New Roman"/>
          <w:sz w:val="24"/>
        </w:rPr>
        <w:t>Narula</w:t>
      </w:r>
      <w:proofErr w:type="spellEnd"/>
      <w:r w:rsidRPr="002D273C">
        <w:rPr>
          <w:rFonts w:ascii="Times New Roman" w:hAnsi="Times New Roman" w:cs="Times New Roman"/>
          <w:sz w:val="24"/>
        </w:rPr>
        <w:t>, 2011).</w:t>
      </w:r>
    </w:p>
    <w:p w14:paraId="35C6D38E" w14:textId="068FFED2" w:rsidR="00046F28" w:rsidRPr="00046F28"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concentration of demand is among digitally connected urban middle-class consumers, with a selective, metropolitan-focused and </w:t>
      </w:r>
      <w:r w:rsidR="0025348E" w:rsidRPr="002D273C">
        <w:rPr>
          <w:rFonts w:ascii="Times New Roman" w:hAnsi="Times New Roman" w:cs="Times New Roman"/>
          <w:sz w:val="24"/>
        </w:rPr>
        <w:t>Omni channel</w:t>
      </w:r>
      <w:r w:rsidRPr="002D273C">
        <w:rPr>
          <w:rFonts w:ascii="Times New Roman" w:hAnsi="Times New Roman" w:cs="Times New Roman"/>
          <w:sz w:val="24"/>
        </w:rPr>
        <w:t xml:space="preserve"> growth strategy. In general, Vietnam is appealing provided that H&amp;B follows the differentiated, locally responsive strategy in accordance with consumer </w:t>
      </w:r>
      <w:r w:rsidR="0025348E" w:rsidRPr="002D273C">
        <w:rPr>
          <w:rFonts w:ascii="Times New Roman" w:hAnsi="Times New Roman" w:cs="Times New Roman"/>
          <w:sz w:val="24"/>
        </w:rPr>
        <w:t>behavi</w:t>
      </w:r>
      <w:r w:rsidR="0025348E">
        <w:rPr>
          <w:rFonts w:ascii="Times New Roman" w:hAnsi="Times New Roman" w:cs="Times New Roman"/>
          <w:sz w:val="24"/>
        </w:rPr>
        <w:t>or</w:t>
      </w:r>
      <w:r>
        <w:rPr>
          <w:rFonts w:ascii="Times New Roman" w:hAnsi="Times New Roman" w:cs="Times New Roman"/>
          <w:sz w:val="24"/>
        </w:rPr>
        <w:t xml:space="preserve"> and institutional restraint</w:t>
      </w:r>
      <w:r w:rsidR="00046F28" w:rsidRPr="00046F28">
        <w:rPr>
          <w:rFonts w:ascii="Times New Roman" w:hAnsi="Times New Roman" w:cs="Times New Roman"/>
          <w:sz w:val="24"/>
        </w:rPr>
        <w:t>.</w:t>
      </w:r>
    </w:p>
    <w:p w14:paraId="27AEBAA4" w14:textId="77777777" w:rsidR="00046F28" w:rsidRDefault="00046F28" w:rsidP="00E622C3">
      <w:pPr>
        <w:pStyle w:val="Heading2"/>
      </w:pPr>
      <w:bookmarkStart w:id="19" w:name="_Toc217240206"/>
      <w:r w:rsidRPr="00046F28">
        <w:t xml:space="preserve">Strategic Model: </w:t>
      </w:r>
      <w:proofErr w:type="spellStart"/>
      <w:r w:rsidRPr="00046F28">
        <w:t>Ansoff</w:t>
      </w:r>
      <w:proofErr w:type="spellEnd"/>
      <w:r w:rsidRPr="00046F28">
        <w:t xml:space="preserve"> Matrix</w:t>
      </w:r>
      <w:bookmarkEnd w:id="19"/>
    </w:p>
    <w:p w14:paraId="753AE710" w14:textId="77777777"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The </w:t>
      </w:r>
      <w:proofErr w:type="spellStart"/>
      <w:r w:rsidRPr="00BC519E">
        <w:rPr>
          <w:rFonts w:ascii="Times New Roman" w:hAnsi="Times New Roman" w:cs="Times New Roman"/>
          <w:sz w:val="24"/>
        </w:rPr>
        <w:t>Ansoff</w:t>
      </w:r>
      <w:proofErr w:type="spellEnd"/>
      <w:r w:rsidRPr="00BC519E">
        <w:rPr>
          <w:rFonts w:ascii="Times New Roman" w:hAnsi="Times New Roman" w:cs="Times New Roman"/>
          <w:sz w:val="24"/>
        </w:rPr>
        <w:t xml:space="preserve"> Matrix is a growth framework that </w:t>
      </w:r>
      <w:proofErr w:type="spellStart"/>
      <w:r w:rsidRPr="00BC519E">
        <w:rPr>
          <w:rFonts w:ascii="Times New Roman" w:hAnsi="Times New Roman" w:cs="Times New Roman"/>
          <w:sz w:val="24"/>
        </w:rPr>
        <w:t>categorises</w:t>
      </w:r>
      <w:proofErr w:type="spellEnd"/>
      <w:r w:rsidRPr="00BC519E">
        <w:rPr>
          <w:rFonts w:ascii="Times New Roman" w:hAnsi="Times New Roman" w:cs="Times New Roman"/>
          <w:sz w:val="24"/>
        </w:rPr>
        <w:t xml:space="preserve"> strategic options according to products and markets, distinguishing between market penetration, market development, product development and diversification (Jo</w:t>
      </w:r>
      <w:r>
        <w:rPr>
          <w:rFonts w:ascii="Times New Roman" w:hAnsi="Times New Roman" w:cs="Times New Roman"/>
          <w:sz w:val="24"/>
        </w:rPr>
        <w:t>hnson et al., 2020, pp. 244–248</w:t>
      </w:r>
      <w:r w:rsidRPr="00BC519E">
        <w:rPr>
          <w:rFonts w:ascii="Times New Roman" w:hAnsi="Times New Roman" w:cs="Times New Roman"/>
          <w:sz w:val="24"/>
        </w:rPr>
        <w:t>).</w:t>
      </w:r>
    </w:p>
    <w:p w14:paraId="6FBF4792" w14:textId="77777777" w:rsidR="00FA77CD" w:rsidRDefault="00FA77CD" w:rsidP="00FA77CD">
      <w:pPr>
        <w:spacing w:line="360" w:lineRule="auto"/>
        <w:jc w:val="center"/>
        <w:rPr>
          <w:rFonts w:ascii="Times New Roman" w:hAnsi="Times New Roman" w:cs="Times New Roman"/>
          <w:sz w:val="24"/>
        </w:rPr>
      </w:pPr>
      <w:r>
        <w:rPr>
          <w:noProof/>
        </w:rPr>
        <w:drawing>
          <wp:inline distT="0" distB="0" distL="0" distR="0" wp14:anchorId="78E8878F" wp14:editId="0BA55FC1">
            <wp:extent cx="2727960" cy="2187989"/>
            <wp:effectExtent l="0" t="0" r="0" b="3175"/>
            <wp:docPr id="8" name="Picture 8" descr="Ansoff Matrix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soff Matrix Explained - SM Insigh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38172" cy="2196180"/>
                    </a:xfrm>
                    <a:prstGeom prst="rect">
                      <a:avLst/>
                    </a:prstGeom>
                    <a:noFill/>
                    <a:ln>
                      <a:noFill/>
                    </a:ln>
                  </pic:spPr>
                </pic:pic>
              </a:graphicData>
            </a:graphic>
          </wp:inline>
        </w:drawing>
      </w:r>
    </w:p>
    <w:p w14:paraId="1829A87F" w14:textId="77777777" w:rsidR="00FA77CD" w:rsidRDefault="00FA77CD" w:rsidP="00FA77CD">
      <w:pPr>
        <w:pStyle w:val="Caption"/>
        <w:jc w:val="center"/>
      </w:pPr>
      <w:bookmarkStart w:id="20" w:name="_Toc217240224"/>
      <w:r>
        <w:t xml:space="preserve">Figure </w:t>
      </w:r>
      <w:r w:rsidR="00BB2141">
        <w:fldChar w:fldCharType="begin"/>
      </w:r>
      <w:r w:rsidR="00BB2141">
        <w:instrText xml:space="preserve"> SEQ Figure \* ARABIC </w:instrText>
      </w:r>
      <w:r w:rsidR="00BB2141">
        <w:fldChar w:fldCharType="separate"/>
      </w:r>
      <w:r w:rsidR="00AA382C">
        <w:rPr>
          <w:noProof/>
        </w:rPr>
        <w:t>7</w:t>
      </w:r>
      <w:r w:rsidR="00BB2141">
        <w:rPr>
          <w:noProof/>
        </w:rPr>
        <w:fldChar w:fldCharType="end"/>
      </w:r>
      <w:r>
        <w:t xml:space="preserve">: </w:t>
      </w:r>
      <w:proofErr w:type="spellStart"/>
      <w:r>
        <w:t>Ansoff</w:t>
      </w:r>
      <w:proofErr w:type="spellEnd"/>
      <w:r>
        <w:t xml:space="preserve"> Matrix</w:t>
      </w:r>
      <w:bookmarkEnd w:id="20"/>
    </w:p>
    <w:p w14:paraId="1131DEBD" w14:textId="77777777" w:rsidR="00FA77CD" w:rsidRDefault="00FA77CD" w:rsidP="00FA77CD">
      <w:pPr>
        <w:spacing w:after="0" w:line="240" w:lineRule="auto"/>
        <w:jc w:val="center"/>
        <w:rPr>
          <w:rFonts w:ascii="Times New Roman" w:eastAsia="Times New Roman" w:hAnsi="Times New Roman" w:cs="Times New Roman"/>
          <w:szCs w:val="24"/>
        </w:rPr>
      </w:pPr>
      <w:r w:rsidRPr="00FA77CD">
        <w:rPr>
          <w:rFonts w:ascii="Times New Roman" w:eastAsia="Times New Roman" w:hAnsi="Times New Roman" w:cs="Times New Roman"/>
          <w:szCs w:val="24"/>
        </w:rPr>
        <w:t>(</w:t>
      </w:r>
      <w:proofErr w:type="spellStart"/>
      <w:r w:rsidRPr="00FA77CD">
        <w:rPr>
          <w:rFonts w:ascii="Times New Roman" w:eastAsia="Times New Roman" w:hAnsi="Times New Roman" w:cs="Times New Roman"/>
          <w:szCs w:val="24"/>
        </w:rPr>
        <w:t>Jurevicius</w:t>
      </w:r>
      <w:proofErr w:type="spellEnd"/>
      <w:r w:rsidRPr="00FA77CD">
        <w:rPr>
          <w:rFonts w:ascii="Times New Roman" w:eastAsia="Times New Roman" w:hAnsi="Times New Roman" w:cs="Times New Roman"/>
          <w:szCs w:val="24"/>
        </w:rPr>
        <w:t>, 2024)</w:t>
      </w:r>
    </w:p>
    <w:p w14:paraId="413AC0E4" w14:textId="77777777" w:rsidR="00FA77CD" w:rsidRPr="00FA77CD" w:rsidRDefault="00FA77CD" w:rsidP="00FA77CD">
      <w:pPr>
        <w:spacing w:after="0" w:line="240" w:lineRule="auto"/>
        <w:jc w:val="center"/>
        <w:rPr>
          <w:rFonts w:ascii="Times New Roman" w:eastAsia="Times New Roman" w:hAnsi="Times New Roman" w:cs="Times New Roman"/>
          <w:szCs w:val="24"/>
        </w:rPr>
      </w:pPr>
    </w:p>
    <w:p w14:paraId="0606C891" w14:textId="329594E3"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entry of H&amp;B in Vietnam can best be </w:t>
      </w:r>
      <w:r w:rsidR="007E25F0" w:rsidRPr="002D273C">
        <w:rPr>
          <w:rFonts w:ascii="Times New Roman" w:hAnsi="Times New Roman" w:cs="Times New Roman"/>
          <w:sz w:val="24"/>
        </w:rPr>
        <w:t>conceptualized</w:t>
      </w:r>
      <w:r w:rsidRPr="002D273C">
        <w:rPr>
          <w:rFonts w:ascii="Times New Roman" w:hAnsi="Times New Roman" w:cs="Times New Roman"/>
          <w:sz w:val="24"/>
        </w:rPr>
        <w:t xml:space="preserve"> as a Market Development strategy of the growth matrix of </w:t>
      </w:r>
      <w:proofErr w:type="spellStart"/>
      <w:r w:rsidRPr="002D273C">
        <w:rPr>
          <w:rFonts w:ascii="Times New Roman" w:hAnsi="Times New Roman" w:cs="Times New Roman"/>
          <w:sz w:val="24"/>
        </w:rPr>
        <w:t>ansoff</w:t>
      </w:r>
      <w:proofErr w:type="spellEnd"/>
      <w:r w:rsidRPr="002D273C">
        <w:rPr>
          <w:rFonts w:ascii="Times New Roman" w:hAnsi="Times New Roman" w:cs="Times New Roman"/>
          <w:sz w:val="24"/>
        </w:rPr>
        <w:t xml:space="preserve"> whereby the existing products are deployed in a new geographic area (</w:t>
      </w:r>
      <w:proofErr w:type="spellStart"/>
      <w:r w:rsidRPr="002D273C">
        <w:rPr>
          <w:rFonts w:ascii="Times New Roman" w:hAnsi="Times New Roman" w:cs="Times New Roman"/>
          <w:sz w:val="24"/>
        </w:rPr>
        <w:t>Ansoff</w:t>
      </w:r>
      <w:proofErr w:type="spellEnd"/>
      <w:r w:rsidRPr="002D273C">
        <w:rPr>
          <w:rFonts w:ascii="Times New Roman" w:hAnsi="Times New Roman" w:cs="Times New Roman"/>
          <w:sz w:val="24"/>
        </w:rPr>
        <w:t xml:space="preserve">, 1957). This is a suitable strategy since H&amp;B already has a </w:t>
      </w:r>
      <w:proofErr w:type="gramStart"/>
      <w:r w:rsidRPr="002D273C">
        <w:rPr>
          <w:rFonts w:ascii="Times New Roman" w:hAnsi="Times New Roman" w:cs="Times New Roman"/>
          <w:sz w:val="24"/>
        </w:rPr>
        <w:t>well established</w:t>
      </w:r>
      <w:proofErr w:type="gramEnd"/>
      <w:r w:rsidRPr="002D273C">
        <w:rPr>
          <w:rFonts w:ascii="Times New Roman" w:hAnsi="Times New Roman" w:cs="Times New Roman"/>
          <w:sz w:val="24"/>
        </w:rPr>
        <w:t xml:space="preserve"> core wellness portfolio, which is </w:t>
      </w:r>
      <w:r w:rsidR="007E25F0" w:rsidRPr="002D273C">
        <w:rPr>
          <w:rFonts w:ascii="Times New Roman" w:hAnsi="Times New Roman" w:cs="Times New Roman"/>
          <w:sz w:val="24"/>
        </w:rPr>
        <w:t>standardized</w:t>
      </w:r>
      <w:r w:rsidRPr="002D273C">
        <w:rPr>
          <w:rFonts w:ascii="Times New Roman" w:hAnsi="Times New Roman" w:cs="Times New Roman"/>
          <w:sz w:val="24"/>
        </w:rPr>
        <w:t xml:space="preserve"> and has adequate quality assurance measures and thus does not require a lot of product innovation upon entry.</w:t>
      </w:r>
    </w:p>
    <w:p w14:paraId="4D491F11" w14:textId="77777777"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Other </w:t>
      </w:r>
      <w:proofErr w:type="spellStart"/>
      <w:r w:rsidRPr="002D273C">
        <w:rPr>
          <w:rFonts w:ascii="Times New Roman" w:hAnsi="Times New Roman" w:cs="Times New Roman"/>
          <w:sz w:val="24"/>
        </w:rPr>
        <w:t>Ansoff</w:t>
      </w:r>
      <w:proofErr w:type="spellEnd"/>
      <w:r w:rsidRPr="002D273C">
        <w:rPr>
          <w:rFonts w:ascii="Times New Roman" w:hAnsi="Times New Roman" w:cs="Times New Roman"/>
          <w:sz w:val="24"/>
        </w:rPr>
        <w:t xml:space="preserve"> avenues are more dangerous. Market penetration is impossible because H&amp;B is not in the Vietnamese market, and product development would result in complexity that is unwarranted before enough market knowledge is gained. The </w:t>
      </w:r>
      <w:proofErr w:type="gramStart"/>
      <w:r w:rsidRPr="002D273C">
        <w:rPr>
          <w:rFonts w:ascii="Times New Roman" w:hAnsi="Times New Roman" w:cs="Times New Roman"/>
          <w:sz w:val="24"/>
        </w:rPr>
        <w:t>most risky</w:t>
      </w:r>
      <w:proofErr w:type="gramEnd"/>
      <w:r w:rsidRPr="002D273C">
        <w:rPr>
          <w:rFonts w:ascii="Times New Roman" w:hAnsi="Times New Roman" w:cs="Times New Roman"/>
          <w:sz w:val="24"/>
        </w:rPr>
        <w:t xml:space="preserve"> form of growth is diversification, which involves the mix of new products and new markets, which are especially inappropriate in institutional complex emerging markets (Marquis and </w:t>
      </w:r>
      <w:proofErr w:type="spellStart"/>
      <w:r w:rsidRPr="002D273C">
        <w:rPr>
          <w:rFonts w:ascii="Times New Roman" w:hAnsi="Times New Roman" w:cs="Times New Roman"/>
          <w:sz w:val="24"/>
        </w:rPr>
        <w:t>Raynard</w:t>
      </w:r>
      <w:proofErr w:type="spellEnd"/>
      <w:r w:rsidRPr="002D273C">
        <w:rPr>
          <w:rFonts w:ascii="Times New Roman" w:hAnsi="Times New Roman" w:cs="Times New Roman"/>
          <w:sz w:val="24"/>
        </w:rPr>
        <w:t>, 2015).</w:t>
      </w:r>
    </w:p>
    <w:p w14:paraId="0939B874" w14:textId="59AF005B" w:rsidR="00046F28" w:rsidRPr="00046F28"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More importantly, the market development is consistent with incremental </w:t>
      </w:r>
      <w:r w:rsidR="007E25F0" w:rsidRPr="002D273C">
        <w:rPr>
          <w:rFonts w:ascii="Times New Roman" w:hAnsi="Times New Roman" w:cs="Times New Roman"/>
          <w:sz w:val="24"/>
        </w:rPr>
        <w:t>internationalization</w:t>
      </w:r>
      <w:r w:rsidRPr="002D273C">
        <w:rPr>
          <w:rFonts w:ascii="Times New Roman" w:hAnsi="Times New Roman" w:cs="Times New Roman"/>
          <w:sz w:val="24"/>
        </w:rPr>
        <w:t xml:space="preserve"> logic, as it allows H&amp;B to transfer the benefits of the brand, gradually modifying operations on the basis of the experiences of the experiential learning (</w:t>
      </w:r>
      <w:proofErr w:type="spellStart"/>
      <w:r w:rsidRPr="002D273C">
        <w:rPr>
          <w:rFonts w:ascii="Times New Roman" w:hAnsi="Times New Roman" w:cs="Times New Roman"/>
          <w:sz w:val="24"/>
        </w:rPr>
        <w:t>Johanson</w:t>
      </w:r>
      <w:proofErr w:type="spellEnd"/>
      <w:r w:rsidRPr="002D273C">
        <w:rPr>
          <w:rFonts w:ascii="Times New Roman" w:hAnsi="Times New Roman" w:cs="Times New Roman"/>
          <w:sz w:val="24"/>
        </w:rPr>
        <w:t xml:space="preserve"> and </w:t>
      </w:r>
      <w:proofErr w:type="spellStart"/>
      <w:r w:rsidRPr="002D273C">
        <w:rPr>
          <w:rFonts w:ascii="Times New Roman" w:hAnsi="Times New Roman" w:cs="Times New Roman"/>
          <w:sz w:val="24"/>
        </w:rPr>
        <w:t>Vahlne</w:t>
      </w:r>
      <w:proofErr w:type="spellEnd"/>
      <w:r w:rsidRPr="002D273C">
        <w:rPr>
          <w:rFonts w:ascii="Times New Roman" w:hAnsi="Times New Roman" w:cs="Times New Roman"/>
          <w:sz w:val="24"/>
        </w:rPr>
        <w:t xml:space="preserve">, 2015). This </w:t>
      </w:r>
      <w:r w:rsidR="007E25F0" w:rsidRPr="002D273C">
        <w:rPr>
          <w:rFonts w:ascii="Times New Roman" w:hAnsi="Times New Roman" w:cs="Times New Roman"/>
          <w:sz w:val="24"/>
        </w:rPr>
        <w:t>minimizes</w:t>
      </w:r>
      <w:r w:rsidRPr="002D273C">
        <w:rPr>
          <w:rFonts w:ascii="Times New Roman" w:hAnsi="Times New Roman" w:cs="Times New Roman"/>
          <w:sz w:val="24"/>
        </w:rPr>
        <w:t xml:space="preserve"> the overextension of the strategy and maintains long-term growth prospects.</w:t>
      </w:r>
    </w:p>
    <w:p w14:paraId="0665F57D" w14:textId="77777777" w:rsidR="00046F28" w:rsidRPr="00046F28" w:rsidRDefault="00046F28" w:rsidP="00E622C3">
      <w:pPr>
        <w:pStyle w:val="Heading2"/>
      </w:pPr>
      <w:bookmarkStart w:id="21" w:name="_Toc217240207"/>
      <w:r w:rsidRPr="00046F28">
        <w:t>Selection of Market Entry Mode</w:t>
      </w:r>
      <w:bookmarkEnd w:id="21"/>
    </w:p>
    <w:p w14:paraId="10876A7F" w14:textId="77777777" w:rsidR="00655EA8" w:rsidRPr="00655EA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The choice of a proper market entry mode is the key to turning the process of market development into the action. Wholly owned subsidiary would provide the highest level of control but will require high capital investment and regulatory and institutional risk. Franchising is light in capital, but quality control and brand image are an issue especially in the health and wellness industry where consumer confidence and legal adherence are paramount (</w:t>
      </w:r>
      <w:proofErr w:type="spellStart"/>
      <w:r w:rsidRPr="00655EA8">
        <w:rPr>
          <w:rFonts w:ascii="Times New Roman" w:hAnsi="Times New Roman" w:cs="Times New Roman"/>
          <w:sz w:val="24"/>
        </w:rPr>
        <w:t>Perrigot</w:t>
      </w:r>
      <w:proofErr w:type="spellEnd"/>
      <w:r w:rsidRPr="00655EA8">
        <w:rPr>
          <w:rFonts w:ascii="Times New Roman" w:hAnsi="Times New Roman" w:cs="Times New Roman"/>
          <w:sz w:val="24"/>
        </w:rPr>
        <w:t>, 2018).</w:t>
      </w:r>
    </w:p>
    <w:p w14:paraId="360D3273" w14:textId="77777777" w:rsidR="004576CF"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 xml:space="preserve">Based on this, the most feasible entry mode is a joint venture or strategic alliance with the retail or mall operators who are already established. Empirical studies show that collaborative entry modes enable the foreign companies to reduce the liability of foreignness by taking advantage of local partners institute knowledge and network (Meyer, Wright and </w:t>
      </w:r>
      <w:proofErr w:type="spellStart"/>
      <w:r w:rsidRPr="00655EA8">
        <w:rPr>
          <w:rFonts w:ascii="Times New Roman" w:hAnsi="Times New Roman" w:cs="Times New Roman"/>
          <w:sz w:val="24"/>
        </w:rPr>
        <w:t>Pruthi</w:t>
      </w:r>
      <w:proofErr w:type="spellEnd"/>
      <w:r w:rsidRPr="00655EA8">
        <w:rPr>
          <w:rFonts w:ascii="Times New Roman" w:hAnsi="Times New Roman" w:cs="Times New Roman"/>
          <w:sz w:val="24"/>
        </w:rPr>
        <w:t>, 2009). This would help directly solve weaknesses identified in the SWOT analysis, especially the fact that H&amp;B lacks local supply-chain infrastructure, but would allow it to learn fas</w:t>
      </w:r>
      <w:r>
        <w:rPr>
          <w:rFonts w:ascii="Times New Roman" w:hAnsi="Times New Roman" w:cs="Times New Roman"/>
          <w:sz w:val="24"/>
        </w:rPr>
        <w:t>ter and gain greater legitimacy</w:t>
      </w:r>
      <w:r w:rsidR="002C25C1">
        <w:rPr>
          <w:rFonts w:ascii="Times New Roman" w:hAnsi="Times New Roman" w:cs="Times New Roman"/>
          <w:sz w:val="24"/>
        </w:rPr>
        <w:t>.</w:t>
      </w:r>
    </w:p>
    <w:p w14:paraId="335534FA" w14:textId="77777777" w:rsidR="00BC519E" w:rsidRDefault="00BC519E" w:rsidP="00655EA8">
      <w:pPr>
        <w:spacing w:line="360" w:lineRule="auto"/>
        <w:jc w:val="both"/>
        <w:rPr>
          <w:rFonts w:ascii="Times New Roman" w:hAnsi="Times New Roman" w:cs="Times New Roman"/>
          <w:sz w:val="24"/>
        </w:rPr>
      </w:pPr>
    </w:p>
    <w:p w14:paraId="66DE346F" w14:textId="77777777" w:rsidR="00BC519E" w:rsidRPr="004576CF" w:rsidRDefault="00BC519E" w:rsidP="00655EA8">
      <w:pPr>
        <w:spacing w:line="360" w:lineRule="auto"/>
        <w:jc w:val="both"/>
        <w:rPr>
          <w:rFonts w:ascii="Times New Roman" w:hAnsi="Times New Roman" w:cs="Times New Roman"/>
          <w:sz w:val="24"/>
        </w:rPr>
      </w:pPr>
    </w:p>
    <w:p w14:paraId="758E6974" w14:textId="77777777" w:rsidR="00046F28" w:rsidRDefault="00046F28" w:rsidP="00E622C3">
      <w:pPr>
        <w:pStyle w:val="Heading2"/>
      </w:pPr>
      <w:bookmarkStart w:id="22" w:name="_Toc217240208"/>
      <w:r w:rsidRPr="00046F28">
        <w:t>Competitive Positioning: Porter’s Generic Strategies</w:t>
      </w:r>
      <w:bookmarkEnd w:id="22"/>
    </w:p>
    <w:p w14:paraId="73706CE4" w14:textId="29B9F6C5"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Porter’s Generic Strategies explain how </w:t>
      </w:r>
      <w:r w:rsidR="00772608" w:rsidRPr="00BC519E">
        <w:rPr>
          <w:rFonts w:ascii="Times New Roman" w:hAnsi="Times New Roman" w:cs="Times New Roman"/>
          <w:sz w:val="24"/>
        </w:rPr>
        <w:t>organizations</w:t>
      </w:r>
      <w:r w:rsidRPr="00BC519E">
        <w:rPr>
          <w:rFonts w:ascii="Times New Roman" w:hAnsi="Times New Roman" w:cs="Times New Roman"/>
          <w:sz w:val="24"/>
        </w:rPr>
        <w:t xml:space="preserve"> achieve competitive advantage through cost leadership, differentiation or focus within a chosen market scope (Johnson et al., 2020, pp. 211–214).</w:t>
      </w:r>
    </w:p>
    <w:p w14:paraId="3B0E5A71" w14:textId="77777777" w:rsidR="00BC519E" w:rsidRPr="00BC519E" w:rsidRDefault="00BC519E" w:rsidP="00BC519E">
      <w:pPr>
        <w:spacing w:line="360" w:lineRule="auto"/>
        <w:jc w:val="both"/>
        <w:rPr>
          <w:rFonts w:ascii="Times New Roman" w:hAnsi="Times New Roman" w:cs="Times New Roman"/>
          <w:sz w:val="24"/>
        </w:rPr>
      </w:pPr>
    </w:p>
    <w:p w14:paraId="30B08562" w14:textId="77777777" w:rsidR="00FA77CD" w:rsidRDefault="00FA77CD" w:rsidP="00FA77CD">
      <w:pPr>
        <w:jc w:val="center"/>
      </w:pPr>
    </w:p>
    <w:p w14:paraId="7EF9BC64" w14:textId="77777777" w:rsidR="00FA77CD" w:rsidRDefault="00FA77CD" w:rsidP="00FA77CD">
      <w:pPr>
        <w:jc w:val="center"/>
        <w:rPr>
          <w:rFonts w:ascii="Times New Roman" w:hAnsi="Times New Roman" w:cs="Times New Roman"/>
        </w:rPr>
      </w:pPr>
      <w:r w:rsidRPr="00FA77CD">
        <w:rPr>
          <w:rFonts w:ascii="Times New Roman" w:hAnsi="Times New Roman" w:cs="Times New Roman"/>
          <w:noProof/>
        </w:rPr>
        <w:drawing>
          <wp:inline distT="0" distB="0" distL="0" distR="0" wp14:anchorId="62572AAE" wp14:editId="450D3E8F">
            <wp:extent cx="2701555" cy="2392680"/>
            <wp:effectExtent l="0" t="0" r="381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08603" cy="2398922"/>
                    </a:xfrm>
                    <a:prstGeom prst="rect">
                      <a:avLst/>
                    </a:prstGeom>
                  </pic:spPr>
                </pic:pic>
              </a:graphicData>
            </a:graphic>
          </wp:inline>
        </w:drawing>
      </w:r>
    </w:p>
    <w:p w14:paraId="4DBD4695" w14:textId="77777777" w:rsidR="00FA77CD" w:rsidRDefault="00AA382C" w:rsidP="00AA382C">
      <w:pPr>
        <w:pStyle w:val="Caption"/>
        <w:jc w:val="center"/>
        <w:rPr>
          <w:rFonts w:ascii="Times New Roman" w:hAnsi="Times New Roman" w:cs="Times New Roman"/>
        </w:rPr>
      </w:pPr>
      <w:bookmarkStart w:id="23" w:name="_Toc217240225"/>
      <w:r>
        <w:t xml:space="preserve">Figure </w:t>
      </w:r>
      <w:r w:rsidR="00BB2141">
        <w:fldChar w:fldCharType="begin"/>
      </w:r>
      <w:r w:rsidR="00BB2141">
        <w:instrText xml:space="preserve"> SEQ Figure \* ARABIC </w:instrText>
      </w:r>
      <w:r w:rsidR="00BB2141">
        <w:fldChar w:fldCharType="separate"/>
      </w:r>
      <w:r>
        <w:rPr>
          <w:noProof/>
        </w:rPr>
        <w:t>8</w:t>
      </w:r>
      <w:r w:rsidR="00BB2141">
        <w:rPr>
          <w:noProof/>
        </w:rPr>
        <w:fldChar w:fldCharType="end"/>
      </w:r>
      <w:r>
        <w:t xml:space="preserve">: </w:t>
      </w:r>
      <w:r w:rsidRPr="00EE3237">
        <w:t>Porter’s Generic Strategies</w:t>
      </w:r>
      <w:bookmarkEnd w:id="23"/>
    </w:p>
    <w:p w14:paraId="71499E83" w14:textId="77777777" w:rsidR="00FA77CD" w:rsidRPr="00FA77CD" w:rsidRDefault="00FA77CD" w:rsidP="00FA77CD">
      <w:pPr>
        <w:jc w:val="center"/>
        <w:rPr>
          <w:rFonts w:ascii="Times New Roman" w:hAnsi="Times New Roman" w:cs="Times New Roman"/>
        </w:rPr>
      </w:pPr>
      <w:r w:rsidRPr="00FA77CD">
        <w:rPr>
          <w:rFonts w:ascii="Times New Roman" w:hAnsi="Times New Roman" w:cs="Times New Roman"/>
        </w:rPr>
        <w:t>(</w:t>
      </w:r>
      <w:proofErr w:type="spellStart"/>
      <w:r w:rsidRPr="00FA77CD">
        <w:rPr>
          <w:rFonts w:ascii="Times New Roman" w:hAnsi="Times New Roman" w:cs="Times New Roman"/>
        </w:rPr>
        <w:t>Shyamadanthi</w:t>
      </w:r>
      <w:proofErr w:type="spellEnd"/>
      <w:r w:rsidRPr="00FA77CD">
        <w:rPr>
          <w:rFonts w:ascii="Times New Roman" w:hAnsi="Times New Roman" w:cs="Times New Roman"/>
        </w:rPr>
        <w:t>, 2022)</w:t>
      </w:r>
    </w:p>
    <w:p w14:paraId="3053065F" w14:textId="3A317434" w:rsidR="00655EA8" w:rsidRPr="00655EA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The competitive positioning of Holland &amp; Barrett in Vietnam ought to be founded on a differentiation focus strategy as opposed to cost leadership strategy. The strategy of cost leadership would be inappropriate in the face of high price competition, a high level of low-cost substitutes, and the presence of counterfeit wellness products, all of which erode the margins and the brand image.</w:t>
      </w:r>
      <w:r w:rsidR="00593701">
        <w:rPr>
          <w:rFonts w:ascii="Times New Roman" w:hAnsi="Times New Roman" w:cs="Times New Roman"/>
          <w:sz w:val="24"/>
        </w:rPr>
        <w:t xml:space="preserve"> The</w:t>
      </w:r>
      <w:r w:rsidRPr="00655EA8">
        <w:rPr>
          <w:rFonts w:ascii="Times New Roman" w:hAnsi="Times New Roman" w:cs="Times New Roman"/>
          <w:sz w:val="24"/>
        </w:rPr>
        <w:t xml:space="preserve"> price wars in fragmented, imitative industries are likely to create long-term profitability problems, especially in the situations when differentiation is possible.</w:t>
      </w:r>
    </w:p>
    <w:p w14:paraId="7C282ADF" w14:textId="77777777" w:rsidR="00655EA8" w:rsidRPr="00655EA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Differentiation focus will allow H&amp;B to focus on urban and health-conscious consumers who are concerned with the product authenticity, safety and specialist knowledge. Such a positioning is validated by the fact that H&amp;B has a high level of wellness credential, intense quality assurance procedures and ethical sourcing commitments that no local retailers and informal sellers can mimic. Health-related retailing research suggests that trust, perceived quality, and perceived advisory services play an important role in influencing consumer choices in situations where the goods or services are associated with health risk and information asymmetry (</w:t>
      </w:r>
      <w:proofErr w:type="spellStart"/>
      <w:r w:rsidRPr="00655EA8">
        <w:rPr>
          <w:rFonts w:ascii="Times New Roman" w:hAnsi="Times New Roman" w:cs="Times New Roman"/>
          <w:sz w:val="24"/>
        </w:rPr>
        <w:t>Alsubhi</w:t>
      </w:r>
      <w:proofErr w:type="spellEnd"/>
      <w:r w:rsidRPr="00655EA8">
        <w:rPr>
          <w:rFonts w:ascii="Times New Roman" w:hAnsi="Times New Roman" w:cs="Times New Roman"/>
          <w:sz w:val="24"/>
        </w:rPr>
        <w:t xml:space="preserve"> et al., 2022).</w:t>
      </w:r>
    </w:p>
    <w:p w14:paraId="2C01AE57" w14:textId="77777777" w:rsidR="00046F28" w:rsidRPr="00FA77CD"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 xml:space="preserve">This approach is in line with </w:t>
      </w:r>
      <w:r w:rsidR="00BC519E">
        <w:rPr>
          <w:rFonts w:ascii="Times New Roman" w:hAnsi="Times New Roman" w:cs="Times New Roman"/>
          <w:sz w:val="24"/>
        </w:rPr>
        <w:t xml:space="preserve">the </w:t>
      </w:r>
      <w:r w:rsidRPr="00655EA8">
        <w:rPr>
          <w:rFonts w:ascii="Times New Roman" w:hAnsi="Times New Roman" w:cs="Times New Roman"/>
          <w:sz w:val="24"/>
        </w:rPr>
        <w:t xml:space="preserve">Five Forces revelations. Competitive rivalry and high threat of substitution </w:t>
      </w:r>
      <w:r w:rsidR="00BC519E">
        <w:rPr>
          <w:rFonts w:ascii="Times New Roman" w:hAnsi="Times New Roman" w:cs="Times New Roman"/>
          <w:sz w:val="24"/>
        </w:rPr>
        <w:t>necessitate</w:t>
      </w:r>
      <w:r w:rsidRPr="00655EA8">
        <w:rPr>
          <w:rFonts w:ascii="Times New Roman" w:hAnsi="Times New Roman" w:cs="Times New Roman"/>
          <w:sz w:val="24"/>
        </w:rPr>
        <w:t xml:space="preserve"> non-price competition and </w:t>
      </w:r>
      <w:r w:rsidR="00BC519E">
        <w:rPr>
          <w:rFonts w:ascii="Times New Roman" w:hAnsi="Times New Roman" w:cs="Times New Roman"/>
          <w:sz w:val="24"/>
        </w:rPr>
        <w:t>brand-based</w:t>
      </w:r>
      <w:r w:rsidRPr="00655EA8">
        <w:rPr>
          <w:rFonts w:ascii="Times New Roman" w:hAnsi="Times New Roman" w:cs="Times New Roman"/>
          <w:sz w:val="24"/>
        </w:rPr>
        <w:t xml:space="preserve"> strengths as seen in the SWOT analysis</w:t>
      </w:r>
      <w:r w:rsidR="00BC519E">
        <w:rPr>
          <w:rFonts w:ascii="Times New Roman" w:hAnsi="Times New Roman" w:cs="Times New Roman"/>
          <w:sz w:val="24"/>
        </w:rPr>
        <w:t>,</w:t>
      </w:r>
      <w:r w:rsidRPr="00655EA8">
        <w:rPr>
          <w:rFonts w:ascii="Times New Roman" w:hAnsi="Times New Roman" w:cs="Times New Roman"/>
          <w:sz w:val="24"/>
        </w:rPr>
        <w:t xml:space="preserve"> provide a believable and sustainable differentiation stance in the</w:t>
      </w:r>
      <w:r>
        <w:rPr>
          <w:rFonts w:ascii="Times New Roman" w:hAnsi="Times New Roman" w:cs="Times New Roman"/>
          <w:sz w:val="24"/>
        </w:rPr>
        <w:t xml:space="preserve"> Vietnam wellness retail market</w:t>
      </w:r>
      <w:r w:rsidR="00046F28" w:rsidRPr="00FA77CD">
        <w:rPr>
          <w:rFonts w:ascii="Times New Roman" w:hAnsi="Times New Roman" w:cs="Times New Roman"/>
          <w:sz w:val="24"/>
        </w:rPr>
        <w:t>.</w:t>
      </w:r>
    </w:p>
    <w:p w14:paraId="578A06DC" w14:textId="77777777" w:rsidR="00046F28" w:rsidRDefault="00046F28" w:rsidP="00E622C3">
      <w:pPr>
        <w:pStyle w:val="Heading2"/>
      </w:pPr>
      <w:bookmarkStart w:id="24" w:name="_Toc217240209"/>
      <w:r w:rsidRPr="00046F28">
        <w:t>Strategic Fit and Capability Assessment: VRIO Framework</w:t>
      </w:r>
      <w:bookmarkEnd w:id="24"/>
    </w:p>
    <w:p w14:paraId="65361C28" w14:textId="65EB911F"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The VRIO framework assesses whether </w:t>
      </w:r>
      <w:r w:rsidR="00A30C93" w:rsidRPr="00BC519E">
        <w:rPr>
          <w:rFonts w:ascii="Times New Roman" w:hAnsi="Times New Roman" w:cs="Times New Roman"/>
          <w:sz w:val="24"/>
        </w:rPr>
        <w:t>organizational</w:t>
      </w:r>
      <w:r w:rsidRPr="00BC519E">
        <w:rPr>
          <w:rFonts w:ascii="Times New Roman" w:hAnsi="Times New Roman" w:cs="Times New Roman"/>
          <w:sz w:val="24"/>
        </w:rPr>
        <w:t xml:space="preserve"> resources and capabilities provide sustained competitive advantage by evaluating their value, rarity, inimitability and </w:t>
      </w:r>
      <w:r>
        <w:rPr>
          <w:rFonts w:ascii="Times New Roman" w:hAnsi="Times New Roman" w:cs="Times New Roman"/>
          <w:sz w:val="24"/>
        </w:rPr>
        <w:t>managerial</w:t>
      </w:r>
      <w:r w:rsidRPr="00BC519E">
        <w:rPr>
          <w:rFonts w:ascii="Times New Roman" w:hAnsi="Times New Roman" w:cs="Times New Roman"/>
          <w:sz w:val="24"/>
        </w:rPr>
        <w:t xml:space="preserve"> support (Johnson et al., 2020, pp. 101–104).</w:t>
      </w:r>
    </w:p>
    <w:p w14:paraId="67E31C7F" w14:textId="77777777" w:rsidR="00FA77CD" w:rsidRDefault="00FA77CD" w:rsidP="00046F28">
      <w:pPr>
        <w:spacing w:line="360" w:lineRule="auto"/>
        <w:jc w:val="both"/>
        <w:rPr>
          <w:rFonts w:ascii="Times New Roman" w:hAnsi="Times New Roman" w:cs="Times New Roman"/>
          <w:sz w:val="24"/>
        </w:rPr>
      </w:pPr>
    </w:p>
    <w:p w14:paraId="0EC9188B" w14:textId="77777777" w:rsidR="00FA77CD" w:rsidRDefault="00FA77CD" w:rsidP="00FA77CD">
      <w:pPr>
        <w:spacing w:line="360" w:lineRule="auto"/>
        <w:jc w:val="center"/>
        <w:rPr>
          <w:rFonts w:ascii="Times New Roman" w:hAnsi="Times New Roman" w:cs="Times New Roman"/>
          <w:sz w:val="24"/>
        </w:rPr>
      </w:pPr>
      <w:r w:rsidRPr="00FA77CD">
        <w:rPr>
          <w:rFonts w:ascii="Times New Roman" w:hAnsi="Times New Roman" w:cs="Times New Roman"/>
          <w:noProof/>
          <w:sz w:val="24"/>
        </w:rPr>
        <w:drawing>
          <wp:inline distT="0" distB="0" distL="0" distR="0" wp14:anchorId="2825DCA0" wp14:editId="4F8DB673">
            <wp:extent cx="4505954" cy="2915057"/>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05954" cy="2915057"/>
                    </a:xfrm>
                    <a:prstGeom prst="rect">
                      <a:avLst/>
                    </a:prstGeom>
                  </pic:spPr>
                </pic:pic>
              </a:graphicData>
            </a:graphic>
          </wp:inline>
        </w:drawing>
      </w:r>
    </w:p>
    <w:p w14:paraId="53BF4F42" w14:textId="77777777" w:rsidR="00FA77CD" w:rsidRDefault="00FA77CD" w:rsidP="00FA77CD">
      <w:pPr>
        <w:pStyle w:val="Caption"/>
        <w:jc w:val="center"/>
      </w:pPr>
      <w:bookmarkStart w:id="25" w:name="_Toc217240226"/>
      <w:r>
        <w:t xml:space="preserve">Figure </w:t>
      </w:r>
      <w:r w:rsidR="00BB2141">
        <w:fldChar w:fldCharType="begin"/>
      </w:r>
      <w:r w:rsidR="00BB2141">
        <w:instrText xml:space="preserve"> SEQ Figure \* ARABIC </w:instrText>
      </w:r>
      <w:r w:rsidR="00BB2141">
        <w:fldChar w:fldCharType="separate"/>
      </w:r>
      <w:r w:rsidR="00AA382C">
        <w:rPr>
          <w:noProof/>
        </w:rPr>
        <w:t>9</w:t>
      </w:r>
      <w:r w:rsidR="00BB2141">
        <w:rPr>
          <w:noProof/>
        </w:rPr>
        <w:fldChar w:fldCharType="end"/>
      </w:r>
      <w:r>
        <w:t>: VRIO Framework</w:t>
      </w:r>
      <w:bookmarkEnd w:id="25"/>
    </w:p>
    <w:p w14:paraId="6D506ABE" w14:textId="77777777" w:rsidR="00FA77CD" w:rsidRPr="00FA77CD" w:rsidRDefault="00FA77CD" w:rsidP="00FA77CD">
      <w:pPr>
        <w:jc w:val="center"/>
        <w:rPr>
          <w:rFonts w:ascii="Times New Roman" w:hAnsi="Times New Roman" w:cs="Times New Roman"/>
        </w:rPr>
      </w:pPr>
      <w:r w:rsidRPr="00FA77CD">
        <w:rPr>
          <w:rFonts w:ascii="Times New Roman" w:hAnsi="Times New Roman" w:cs="Times New Roman"/>
        </w:rPr>
        <w:t>(</w:t>
      </w:r>
      <w:proofErr w:type="spellStart"/>
      <w:r w:rsidRPr="00FA77CD">
        <w:rPr>
          <w:rFonts w:ascii="Times New Roman" w:hAnsi="Times New Roman" w:cs="Times New Roman"/>
        </w:rPr>
        <w:t>Messineo</w:t>
      </w:r>
      <w:proofErr w:type="spellEnd"/>
      <w:r w:rsidRPr="00FA77CD">
        <w:rPr>
          <w:rFonts w:ascii="Times New Roman" w:hAnsi="Times New Roman" w:cs="Times New Roman"/>
        </w:rPr>
        <w:t>, 2024)</w:t>
      </w:r>
    </w:p>
    <w:p w14:paraId="411BFE13" w14:textId="42C7986C" w:rsidR="00655EA8" w:rsidRPr="00655EA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 xml:space="preserve">The use of VRIO framework suggests that H&amp;B has a number of strategically relevant capabilities. Its brand reputation and credibility is a precious asset that is hard to come by in a market that is influenced by counterfeits. The ethical sourcing standard and product quality assurance is also useful and, to some extent, inimitable because of the established </w:t>
      </w:r>
      <w:r w:rsidR="009C630D" w:rsidRPr="00655EA8">
        <w:rPr>
          <w:rFonts w:ascii="Times New Roman" w:hAnsi="Times New Roman" w:cs="Times New Roman"/>
          <w:sz w:val="24"/>
        </w:rPr>
        <w:t>organizational</w:t>
      </w:r>
      <w:r w:rsidRPr="00655EA8">
        <w:rPr>
          <w:rFonts w:ascii="Times New Roman" w:hAnsi="Times New Roman" w:cs="Times New Roman"/>
          <w:sz w:val="24"/>
        </w:rPr>
        <w:t xml:space="preserve"> routines and supplier relationships. In addition, the advisory-based retail format of H&amp;B is also an </w:t>
      </w:r>
      <w:r w:rsidR="009C630D" w:rsidRPr="00655EA8">
        <w:rPr>
          <w:rFonts w:ascii="Times New Roman" w:hAnsi="Times New Roman" w:cs="Times New Roman"/>
          <w:sz w:val="24"/>
        </w:rPr>
        <w:t>organizational</w:t>
      </w:r>
      <w:r w:rsidRPr="00655EA8">
        <w:rPr>
          <w:rFonts w:ascii="Times New Roman" w:hAnsi="Times New Roman" w:cs="Times New Roman"/>
          <w:sz w:val="24"/>
        </w:rPr>
        <w:t xml:space="preserve"> strength that increases customer confidence and loyalty.</w:t>
      </w:r>
    </w:p>
    <w:p w14:paraId="69EEECE7" w14:textId="6AAF5393" w:rsidR="00046F28" w:rsidRPr="00046F2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Barney (1991) shares the same view that the key to achieving sustained competitive advantage is possession of resources that are valuable, rare, hard to copy and well-</w:t>
      </w:r>
      <w:r w:rsidR="00683A94" w:rsidRPr="00655EA8">
        <w:rPr>
          <w:rFonts w:ascii="Times New Roman" w:hAnsi="Times New Roman" w:cs="Times New Roman"/>
          <w:sz w:val="24"/>
        </w:rPr>
        <w:t>organized</w:t>
      </w:r>
      <w:r w:rsidRPr="00655EA8">
        <w:rPr>
          <w:rFonts w:ascii="Times New Roman" w:hAnsi="Times New Roman" w:cs="Times New Roman"/>
          <w:sz w:val="24"/>
        </w:rPr>
        <w:t xml:space="preserve">. H&amp;B satisfies most of the VRIO requirements, but there is a weakness in the area of local </w:t>
      </w:r>
      <w:r w:rsidR="00683A94" w:rsidRPr="00655EA8">
        <w:rPr>
          <w:rFonts w:ascii="Times New Roman" w:hAnsi="Times New Roman" w:cs="Times New Roman"/>
          <w:sz w:val="24"/>
        </w:rPr>
        <w:t>emboldens</w:t>
      </w:r>
      <w:r w:rsidRPr="00655EA8">
        <w:rPr>
          <w:rFonts w:ascii="Times New Roman" w:hAnsi="Times New Roman" w:cs="Times New Roman"/>
          <w:sz w:val="24"/>
        </w:rPr>
        <w:t xml:space="preserve">. Strategic alliances are thus highly vital in offsetting institutional and infrastructural constraints, altering the advantages of H&amp;B into capabilities which can be executed </w:t>
      </w:r>
      <w:r>
        <w:rPr>
          <w:rFonts w:ascii="Times New Roman" w:hAnsi="Times New Roman" w:cs="Times New Roman"/>
          <w:sz w:val="24"/>
        </w:rPr>
        <w:t>locally</w:t>
      </w:r>
      <w:r w:rsidR="00046F28" w:rsidRPr="00046F28">
        <w:rPr>
          <w:rFonts w:ascii="Times New Roman" w:hAnsi="Times New Roman" w:cs="Times New Roman"/>
          <w:sz w:val="24"/>
        </w:rPr>
        <w:t>.</w:t>
      </w:r>
    </w:p>
    <w:p w14:paraId="0E033722" w14:textId="77777777" w:rsidR="00046F28" w:rsidRPr="00046F28" w:rsidRDefault="00046F28" w:rsidP="00E622C3">
      <w:pPr>
        <w:pStyle w:val="Heading2"/>
      </w:pPr>
      <w:bookmarkStart w:id="26" w:name="_Toc217240210"/>
      <w:r w:rsidRPr="00046F28">
        <w:t>Strategy Implementation Components</w:t>
      </w:r>
      <w:bookmarkEnd w:id="26"/>
    </w:p>
    <w:p w14:paraId="2C66C555" w14:textId="65138E59" w:rsidR="00046F28" w:rsidRPr="00046F28" w:rsidRDefault="00046F28" w:rsidP="00046F28">
      <w:pPr>
        <w:spacing w:line="360" w:lineRule="auto"/>
        <w:jc w:val="both"/>
        <w:rPr>
          <w:rFonts w:ascii="Times New Roman" w:hAnsi="Times New Roman" w:cs="Times New Roman"/>
          <w:sz w:val="24"/>
        </w:rPr>
      </w:pPr>
      <w:r w:rsidRPr="00046F28">
        <w:rPr>
          <w:rFonts w:ascii="Times New Roman" w:hAnsi="Times New Roman" w:cs="Times New Roman"/>
          <w:sz w:val="24"/>
        </w:rPr>
        <w:t xml:space="preserve">Implementation should follow a </w:t>
      </w:r>
      <w:r w:rsidRPr="007C0ACF">
        <w:rPr>
          <w:rFonts w:ascii="Times New Roman" w:hAnsi="Times New Roman" w:cs="Times New Roman"/>
          <w:bCs/>
          <w:sz w:val="24"/>
        </w:rPr>
        <w:t>phased rollout</w:t>
      </w:r>
      <w:r w:rsidRPr="007C0ACF">
        <w:rPr>
          <w:rFonts w:ascii="Times New Roman" w:hAnsi="Times New Roman" w:cs="Times New Roman"/>
          <w:sz w:val="24"/>
        </w:rPr>
        <w:t>,</w:t>
      </w:r>
      <w:r w:rsidRPr="00046F28">
        <w:rPr>
          <w:rFonts w:ascii="Times New Roman" w:hAnsi="Times New Roman" w:cs="Times New Roman"/>
          <w:sz w:val="24"/>
        </w:rPr>
        <w:t xml:space="preserve"> beginning with pilot stores in Ho Chi Minh City and Hanoi, supported by an integrated e-commerce platform. </w:t>
      </w:r>
      <w:r w:rsidR="00655EA8" w:rsidRPr="00655EA8">
        <w:rPr>
          <w:rFonts w:ascii="Times New Roman" w:hAnsi="Times New Roman" w:cs="Times New Roman"/>
          <w:sz w:val="24"/>
        </w:rPr>
        <w:t xml:space="preserve"> The main aspects are the intensive local staff training, supplier compliance and certification, and trust-based marketing aimed at the education and product transparency. A gradual process allows uninterrupted learning and adjustment, which is critical in new markets that are </w:t>
      </w:r>
      <w:r w:rsidR="0065767A" w:rsidRPr="00655EA8">
        <w:rPr>
          <w:rFonts w:ascii="Times New Roman" w:hAnsi="Times New Roman" w:cs="Times New Roman"/>
          <w:sz w:val="24"/>
        </w:rPr>
        <w:t>characterized</w:t>
      </w:r>
      <w:r w:rsidR="00655EA8" w:rsidRPr="00655EA8">
        <w:rPr>
          <w:rFonts w:ascii="Times New Roman" w:hAnsi="Times New Roman" w:cs="Times New Roman"/>
          <w:sz w:val="24"/>
        </w:rPr>
        <w:t xml:space="preserve"> by uncertainty (</w:t>
      </w:r>
      <w:proofErr w:type="spellStart"/>
      <w:r w:rsidR="00655EA8" w:rsidRPr="00655EA8">
        <w:rPr>
          <w:rFonts w:ascii="Times New Roman" w:hAnsi="Times New Roman" w:cs="Times New Roman"/>
          <w:sz w:val="24"/>
        </w:rPr>
        <w:t>Johanson</w:t>
      </w:r>
      <w:proofErr w:type="spellEnd"/>
      <w:r w:rsidR="00655EA8" w:rsidRPr="00655EA8">
        <w:rPr>
          <w:rFonts w:ascii="Times New Roman" w:hAnsi="Times New Roman" w:cs="Times New Roman"/>
          <w:sz w:val="24"/>
        </w:rPr>
        <w:t xml:space="preserve"> and </w:t>
      </w:r>
      <w:proofErr w:type="spellStart"/>
      <w:r w:rsidR="00655EA8" w:rsidRPr="00655EA8">
        <w:rPr>
          <w:rFonts w:ascii="Times New Roman" w:hAnsi="Times New Roman" w:cs="Times New Roman"/>
          <w:sz w:val="24"/>
        </w:rPr>
        <w:t>Vahlne</w:t>
      </w:r>
      <w:proofErr w:type="spellEnd"/>
      <w:r w:rsidR="00655EA8" w:rsidRPr="00655EA8">
        <w:rPr>
          <w:rFonts w:ascii="Times New Roman" w:hAnsi="Times New Roman" w:cs="Times New Roman"/>
          <w:sz w:val="24"/>
        </w:rPr>
        <w:t>, 2015).</w:t>
      </w:r>
    </w:p>
    <w:p w14:paraId="7DAD0745" w14:textId="77777777" w:rsidR="00046F28" w:rsidRPr="00046F28" w:rsidRDefault="00046F28" w:rsidP="00E622C3">
      <w:pPr>
        <w:pStyle w:val="Heading2"/>
      </w:pPr>
      <w:bookmarkStart w:id="27" w:name="_Toc217240211"/>
      <w:r w:rsidRPr="00046F28">
        <w:t>Risk Analysis and Mitigation</w:t>
      </w:r>
      <w:bookmarkEnd w:id="27"/>
    </w:p>
    <w:p w14:paraId="71FCE783" w14:textId="77777777" w:rsidR="00046F28" w:rsidRDefault="00655EA8" w:rsidP="00046F28">
      <w:pPr>
        <w:spacing w:line="360" w:lineRule="auto"/>
        <w:jc w:val="both"/>
        <w:rPr>
          <w:rFonts w:ascii="Times New Roman" w:hAnsi="Times New Roman" w:cs="Times New Roman"/>
          <w:sz w:val="24"/>
        </w:rPr>
      </w:pPr>
      <w:r w:rsidRPr="00655EA8">
        <w:rPr>
          <w:rFonts w:ascii="Times New Roman" w:hAnsi="Times New Roman" w:cs="Times New Roman"/>
          <w:sz w:val="24"/>
        </w:rPr>
        <w:t xml:space="preserve">The major risks are regulatory delays, fake competitions, price sensitivity and supply-chain disruption. These threats are in line with those that are established in the PESTLE, SWOT and Five Forces analyses. The mitigation strategies would be entry through partnerships, gradual capital investment, development of strong compliance mechanisms, and consumer education </w:t>
      </w:r>
      <w:proofErr w:type="spellStart"/>
      <w:r w:rsidRPr="00655EA8">
        <w:rPr>
          <w:rFonts w:ascii="Times New Roman" w:hAnsi="Times New Roman" w:cs="Times New Roman"/>
          <w:sz w:val="24"/>
        </w:rPr>
        <w:t>programmes</w:t>
      </w:r>
      <w:proofErr w:type="spellEnd"/>
      <w:r w:rsidRPr="00655EA8">
        <w:rPr>
          <w:rFonts w:ascii="Times New Roman" w:hAnsi="Times New Roman" w:cs="Times New Roman"/>
          <w:sz w:val="24"/>
        </w:rPr>
        <w:t xml:space="preserve"> that reinforce brand authenticity and trust. These actions strengthen the resilience in strategies without compromising the potential growth in the long term (M</w:t>
      </w:r>
      <w:r>
        <w:rPr>
          <w:rFonts w:ascii="Times New Roman" w:hAnsi="Times New Roman" w:cs="Times New Roman"/>
          <w:sz w:val="24"/>
        </w:rPr>
        <w:t xml:space="preserve">eyer, </w:t>
      </w:r>
      <w:proofErr w:type="spellStart"/>
      <w:r>
        <w:rPr>
          <w:rFonts w:ascii="Times New Roman" w:hAnsi="Times New Roman" w:cs="Times New Roman"/>
          <w:sz w:val="24"/>
        </w:rPr>
        <w:t>Mudambi</w:t>
      </w:r>
      <w:proofErr w:type="spellEnd"/>
      <w:r>
        <w:rPr>
          <w:rFonts w:ascii="Times New Roman" w:hAnsi="Times New Roman" w:cs="Times New Roman"/>
          <w:sz w:val="24"/>
        </w:rPr>
        <w:t xml:space="preserve"> and </w:t>
      </w:r>
      <w:proofErr w:type="spellStart"/>
      <w:r>
        <w:rPr>
          <w:rFonts w:ascii="Times New Roman" w:hAnsi="Times New Roman" w:cs="Times New Roman"/>
          <w:sz w:val="24"/>
        </w:rPr>
        <w:t>Narula</w:t>
      </w:r>
      <w:proofErr w:type="spellEnd"/>
      <w:r>
        <w:rPr>
          <w:rFonts w:ascii="Times New Roman" w:hAnsi="Times New Roman" w:cs="Times New Roman"/>
          <w:sz w:val="24"/>
        </w:rPr>
        <w:t>, 2011)</w:t>
      </w:r>
      <w:r w:rsidR="00046F28" w:rsidRPr="00046F28">
        <w:rPr>
          <w:rFonts w:ascii="Times New Roman" w:hAnsi="Times New Roman" w:cs="Times New Roman"/>
          <w:sz w:val="24"/>
        </w:rPr>
        <w:t>.</w:t>
      </w:r>
    </w:p>
    <w:p w14:paraId="0E4A79C4" w14:textId="77777777" w:rsidR="00E35106" w:rsidRPr="00CF1A29" w:rsidRDefault="00E35106" w:rsidP="00CF1A29">
      <w:pPr>
        <w:pStyle w:val="Heading1"/>
      </w:pPr>
      <w:bookmarkStart w:id="28" w:name="_Toc217240212"/>
      <w:r w:rsidRPr="00E35106">
        <w:t>S</w:t>
      </w:r>
      <w:r w:rsidR="00E622C3">
        <w:t>ection</w:t>
      </w:r>
      <w:r w:rsidRPr="00E35106">
        <w:t xml:space="preserve"> 4: </w:t>
      </w:r>
      <w:r>
        <w:t>Performance Evaluation Framework</w:t>
      </w:r>
      <w:bookmarkEnd w:id="28"/>
    </w:p>
    <w:p w14:paraId="5A2DFA57" w14:textId="77777777" w:rsidR="00E35106" w:rsidRPr="00E35106" w:rsidRDefault="00E35106" w:rsidP="00E622C3">
      <w:pPr>
        <w:pStyle w:val="Heading2"/>
      </w:pPr>
      <w:bookmarkStart w:id="29" w:name="_Toc217240213"/>
      <w:r w:rsidRPr="00E35106">
        <w:t xml:space="preserve">Balanced Scorecard Framework </w:t>
      </w:r>
      <w:r>
        <w:t>for Holland &amp; Barrett</w:t>
      </w:r>
      <w:bookmarkEnd w:id="29"/>
    </w:p>
    <w:p w14:paraId="30E9C6E7" w14:textId="63B5EFF4" w:rsidR="00E35106" w:rsidRDefault="00E35106" w:rsidP="00E35106">
      <w:pPr>
        <w:spacing w:line="360" w:lineRule="auto"/>
        <w:jc w:val="both"/>
        <w:rPr>
          <w:rFonts w:ascii="Times New Roman" w:hAnsi="Times New Roman" w:cs="Times New Roman"/>
          <w:sz w:val="24"/>
        </w:rPr>
      </w:pPr>
      <w:r w:rsidRPr="007C0ACF">
        <w:rPr>
          <w:rFonts w:ascii="Times New Roman" w:hAnsi="Times New Roman" w:cs="Times New Roman"/>
          <w:sz w:val="24"/>
        </w:rPr>
        <w:t xml:space="preserve">The Balanced Scorecard is used to align H&amp;B’s Vietnam strategy with operational execution by defining </w:t>
      </w:r>
      <w:r w:rsidRPr="007C0ACF">
        <w:rPr>
          <w:rFonts w:ascii="Times New Roman" w:hAnsi="Times New Roman" w:cs="Times New Roman"/>
          <w:bCs/>
          <w:sz w:val="24"/>
        </w:rPr>
        <w:t>explicit objectives, KPIs, targets, and initiatives</w:t>
      </w:r>
      <w:r w:rsidRPr="007C0ACF">
        <w:rPr>
          <w:rFonts w:ascii="Times New Roman" w:hAnsi="Times New Roman" w:cs="Times New Roman"/>
          <w:sz w:val="24"/>
        </w:rPr>
        <w:t xml:space="preserve"> across four perspectives (</w:t>
      </w:r>
      <w:r w:rsidR="00CF1A29">
        <w:rPr>
          <w:rFonts w:ascii="Times New Roman" w:hAnsi="Times New Roman" w:cs="Times New Roman"/>
          <w:sz w:val="24"/>
        </w:rPr>
        <w:t xml:space="preserve"> Johnson et al., 2020)</w:t>
      </w:r>
      <w:r w:rsidR="00667E5D">
        <w:rPr>
          <w:rFonts w:ascii="Times New Roman" w:hAnsi="Times New Roman" w:cs="Times New Roman"/>
          <w:sz w:val="24"/>
        </w:rPr>
        <w:t>.</w:t>
      </w:r>
    </w:p>
    <w:p w14:paraId="138069F5" w14:textId="77777777" w:rsidR="00FA77CD" w:rsidRPr="007C0ACF" w:rsidRDefault="00FA77CD" w:rsidP="00E35106">
      <w:pPr>
        <w:spacing w:line="360" w:lineRule="auto"/>
        <w:jc w:val="both"/>
        <w:rPr>
          <w:rFonts w:ascii="Times New Roman" w:hAnsi="Times New Roman" w:cs="Times New Roman"/>
          <w:sz w:val="24"/>
        </w:rPr>
      </w:pPr>
    </w:p>
    <w:p w14:paraId="406D8DE8" w14:textId="77777777" w:rsidR="00E35106" w:rsidRPr="00E35106" w:rsidRDefault="00E35106" w:rsidP="00E35106">
      <w:pPr>
        <w:spacing w:line="360" w:lineRule="auto"/>
        <w:jc w:val="both"/>
        <w:rPr>
          <w:rFonts w:ascii="Times New Roman" w:hAnsi="Times New Roman" w:cs="Times New Roman"/>
          <w:b/>
          <w:bCs/>
          <w:sz w:val="24"/>
        </w:rPr>
      </w:pPr>
      <w:r w:rsidRPr="00E35106">
        <w:rPr>
          <w:rFonts w:ascii="Times New Roman" w:hAnsi="Times New Roman" w:cs="Times New Roman"/>
          <w:b/>
          <w:bCs/>
          <w:sz w:val="24"/>
        </w:rPr>
        <w:t>Financial Perspective</w:t>
      </w:r>
    </w:p>
    <w:p w14:paraId="45E9D612" w14:textId="77777777" w:rsidR="00E35106" w:rsidRPr="00E35106" w:rsidRDefault="00E35106" w:rsidP="00E35106">
      <w:pPr>
        <w:numPr>
          <w:ilvl w:val="0"/>
          <w:numId w:val="2"/>
        </w:numPr>
        <w:spacing w:line="360" w:lineRule="auto"/>
        <w:jc w:val="both"/>
        <w:rPr>
          <w:rFonts w:ascii="Times New Roman" w:hAnsi="Times New Roman" w:cs="Times New Roman"/>
          <w:sz w:val="24"/>
        </w:rPr>
      </w:pPr>
      <w:r w:rsidRPr="00E35106">
        <w:rPr>
          <w:rFonts w:ascii="Times New Roman" w:hAnsi="Times New Roman" w:cs="Times New Roman"/>
          <w:b/>
          <w:bCs/>
          <w:sz w:val="24"/>
        </w:rPr>
        <w:t>Objective:</w:t>
      </w:r>
      <w:r w:rsidRPr="00E35106">
        <w:rPr>
          <w:rFonts w:ascii="Times New Roman" w:hAnsi="Times New Roman" w:cs="Times New Roman"/>
          <w:sz w:val="24"/>
        </w:rPr>
        <w:t xml:space="preserve"> Achieve profitable and risk-controlled market entry.</w:t>
      </w:r>
    </w:p>
    <w:p w14:paraId="36C653BF" w14:textId="77777777" w:rsidR="00E35106" w:rsidRDefault="00E35106" w:rsidP="00E35106">
      <w:pPr>
        <w:numPr>
          <w:ilvl w:val="0"/>
          <w:numId w:val="2"/>
        </w:numPr>
        <w:spacing w:line="360" w:lineRule="auto"/>
        <w:rPr>
          <w:rFonts w:ascii="Times New Roman" w:hAnsi="Times New Roman" w:cs="Times New Roman"/>
          <w:sz w:val="24"/>
        </w:rPr>
      </w:pPr>
      <w:r w:rsidRPr="00E35106">
        <w:rPr>
          <w:rFonts w:ascii="Times New Roman" w:hAnsi="Times New Roman" w:cs="Times New Roman"/>
          <w:b/>
          <w:bCs/>
          <w:sz w:val="24"/>
        </w:rPr>
        <w:t>Measures / KPIs:</w:t>
      </w:r>
    </w:p>
    <w:p w14:paraId="71878CBE"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Revenue growth from Vietnam operations</w:t>
      </w:r>
    </w:p>
    <w:p w14:paraId="782F445D" w14:textId="77777777" w:rsidR="00E35106" w:rsidRDefault="00E35106" w:rsidP="00E35106">
      <w:pPr>
        <w:spacing w:line="360" w:lineRule="auto"/>
        <w:ind w:left="720"/>
        <w:rPr>
          <w:rFonts w:ascii="Times New Roman" w:hAnsi="Times New Roman" w:cs="Times New Roman"/>
          <w:sz w:val="24"/>
        </w:rPr>
      </w:pPr>
      <w:r>
        <w:rPr>
          <w:rFonts w:ascii="Times New Roman" w:hAnsi="Times New Roman" w:cs="Times New Roman"/>
          <w:sz w:val="24"/>
        </w:rPr>
        <w:t>– Gross margin retention</w:t>
      </w:r>
    </w:p>
    <w:p w14:paraId="485EA0FD"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Return on invested capital (ROIC)</w:t>
      </w:r>
    </w:p>
    <w:p w14:paraId="7152F7D4" w14:textId="77777777" w:rsidR="00E35106" w:rsidRDefault="00E35106" w:rsidP="00E35106">
      <w:pPr>
        <w:numPr>
          <w:ilvl w:val="0"/>
          <w:numId w:val="2"/>
        </w:numPr>
        <w:spacing w:line="360" w:lineRule="auto"/>
        <w:rPr>
          <w:rFonts w:ascii="Times New Roman" w:hAnsi="Times New Roman" w:cs="Times New Roman"/>
          <w:sz w:val="24"/>
        </w:rPr>
      </w:pPr>
      <w:r w:rsidRPr="00E35106">
        <w:rPr>
          <w:rFonts w:ascii="Times New Roman" w:hAnsi="Times New Roman" w:cs="Times New Roman"/>
          <w:b/>
          <w:bCs/>
          <w:sz w:val="24"/>
        </w:rPr>
        <w:t>Targets:</w:t>
      </w:r>
    </w:p>
    <w:p w14:paraId="16FA6BC4"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 </w:t>
      </w:r>
      <w:r w:rsidRPr="007C0ACF">
        <w:rPr>
          <w:rFonts w:ascii="Times New Roman" w:hAnsi="Times New Roman" w:cs="Times New Roman"/>
          <w:bCs/>
          <w:sz w:val="24"/>
        </w:rPr>
        <w:t>12% annual revenue growth</w:t>
      </w:r>
      <w:r w:rsidRPr="007C0ACF">
        <w:rPr>
          <w:rFonts w:ascii="Times New Roman" w:hAnsi="Times New Roman" w:cs="Times New Roman"/>
          <w:sz w:val="24"/>
        </w:rPr>
        <w:t xml:space="preserve"> from Vietnam within first 3 years</w:t>
      </w:r>
    </w:p>
    <w:p w14:paraId="2004F979"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Maintain </w:t>
      </w:r>
      <w:r w:rsidRPr="007C0ACF">
        <w:rPr>
          <w:rFonts w:ascii="Times New Roman" w:hAnsi="Times New Roman" w:cs="Times New Roman"/>
          <w:bCs/>
          <w:sz w:val="24"/>
        </w:rPr>
        <w:t>gross margins ≥ 55%</w:t>
      </w:r>
      <w:r w:rsidRPr="007C0ACF">
        <w:rPr>
          <w:rFonts w:ascii="Times New Roman" w:hAnsi="Times New Roman" w:cs="Times New Roman"/>
          <w:sz w:val="24"/>
        </w:rPr>
        <w:t>, consistent with H&amp;B’s premium positioning</w:t>
      </w:r>
    </w:p>
    <w:p w14:paraId="79E3646E"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Achieve </w:t>
      </w:r>
      <w:r w:rsidRPr="007C0ACF">
        <w:rPr>
          <w:rFonts w:ascii="Times New Roman" w:hAnsi="Times New Roman" w:cs="Times New Roman"/>
          <w:bCs/>
          <w:sz w:val="24"/>
        </w:rPr>
        <w:t>ROIC ≥ 10% by Year 3</w:t>
      </w:r>
    </w:p>
    <w:p w14:paraId="2390C91F" w14:textId="77777777" w:rsidR="00E35106" w:rsidRDefault="00E35106" w:rsidP="00E35106">
      <w:pPr>
        <w:numPr>
          <w:ilvl w:val="0"/>
          <w:numId w:val="2"/>
        </w:numPr>
        <w:spacing w:line="360" w:lineRule="auto"/>
        <w:rPr>
          <w:rFonts w:ascii="Times New Roman" w:hAnsi="Times New Roman" w:cs="Times New Roman"/>
          <w:sz w:val="24"/>
        </w:rPr>
      </w:pPr>
      <w:r w:rsidRPr="00E35106">
        <w:rPr>
          <w:rFonts w:ascii="Times New Roman" w:hAnsi="Times New Roman" w:cs="Times New Roman"/>
          <w:b/>
          <w:bCs/>
          <w:sz w:val="24"/>
        </w:rPr>
        <w:t>Initiatives:</w:t>
      </w:r>
      <w:r w:rsidRPr="00E35106">
        <w:rPr>
          <w:rFonts w:ascii="Times New Roman" w:hAnsi="Times New Roman" w:cs="Times New Roman"/>
          <w:sz w:val="24"/>
        </w:rPr>
        <w:br/>
        <w:t>– Phased s</w:t>
      </w:r>
      <w:r>
        <w:rPr>
          <w:rFonts w:ascii="Times New Roman" w:hAnsi="Times New Roman" w:cs="Times New Roman"/>
          <w:sz w:val="24"/>
        </w:rPr>
        <w:t>tore rollout (2–3 pilot stores)</w:t>
      </w:r>
    </w:p>
    <w:p w14:paraId="0480792A"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Partnership-</w:t>
      </w:r>
      <w:r>
        <w:rPr>
          <w:rFonts w:ascii="Times New Roman" w:hAnsi="Times New Roman" w:cs="Times New Roman"/>
          <w:sz w:val="24"/>
        </w:rPr>
        <w:t>led entry to reduce fixed costs</w:t>
      </w:r>
    </w:p>
    <w:p w14:paraId="4FB4FE00"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Tight control of import and compliance expenses</w:t>
      </w:r>
    </w:p>
    <w:p w14:paraId="6D811340" w14:textId="77777777" w:rsidR="00E35106" w:rsidRPr="00E35106" w:rsidRDefault="00E35106" w:rsidP="00E35106">
      <w:pPr>
        <w:spacing w:line="360" w:lineRule="auto"/>
        <w:jc w:val="both"/>
        <w:rPr>
          <w:rFonts w:ascii="Times New Roman" w:hAnsi="Times New Roman" w:cs="Times New Roman"/>
          <w:b/>
          <w:bCs/>
          <w:sz w:val="24"/>
        </w:rPr>
      </w:pPr>
      <w:r w:rsidRPr="00E35106">
        <w:rPr>
          <w:rFonts w:ascii="Times New Roman" w:hAnsi="Times New Roman" w:cs="Times New Roman"/>
          <w:b/>
          <w:bCs/>
          <w:sz w:val="24"/>
        </w:rPr>
        <w:t>Customer Perspective</w:t>
      </w:r>
    </w:p>
    <w:p w14:paraId="0BCC6282" w14:textId="77777777" w:rsidR="00E35106" w:rsidRPr="00E35106" w:rsidRDefault="00E35106" w:rsidP="00E35106">
      <w:pPr>
        <w:numPr>
          <w:ilvl w:val="0"/>
          <w:numId w:val="3"/>
        </w:numPr>
        <w:spacing w:line="360" w:lineRule="auto"/>
        <w:jc w:val="both"/>
        <w:rPr>
          <w:rFonts w:ascii="Times New Roman" w:hAnsi="Times New Roman" w:cs="Times New Roman"/>
          <w:sz w:val="24"/>
        </w:rPr>
      </w:pPr>
      <w:r w:rsidRPr="00E35106">
        <w:rPr>
          <w:rFonts w:ascii="Times New Roman" w:hAnsi="Times New Roman" w:cs="Times New Roman"/>
          <w:b/>
          <w:bCs/>
          <w:sz w:val="24"/>
        </w:rPr>
        <w:t>Objective:</w:t>
      </w:r>
      <w:r w:rsidRPr="00E35106">
        <w:rPr>
          <w:rFonts w:ascii="Times New Roman" w:hAnsi="Times New Roman" w:cs="Times New Roman"/>
          <w:sz w:val="24"/>
        </w:rPr>
        <w:t xml:space="preserve"> Build trust and loyalty among urban, health-conscious consumers.</w:t>
      </w:r>
    </w:p>
    <w:p w14:paraId="3AEBCA34" w14:textId="77777777" w:rsidR="00E35106" w:rsidRDefault="00E35106" w:rsidP="00E35106">
      <w:pPr>
        <w:numPr>
          <w:ilvl w:val="0"/>
          <w:numId w:val="3"/>
        </w:numPr>
        <w:spacing w:line="360" w:lineRule="auto"/>
        <w:rPr>
          <w:rFonts w:ascii="Times New Roman" w:hAnsi="Times New Roman" w:cs="Times New Roman"/>
          <w:sz w:val="24"/>
        </w:rPr>
      </w:pPr>
      <w:r w:rsidRPr="00E35106">
        <w:rPr>
          <w:rFonts w:ascii="Times New Roman" w:hAnsi="Times New Roman" w:cs="Times New Roman"/>
          <w:b/>
          <w:bCs/>
          <w:sz w:val="24"/>
        </w:rPr>
        <w:t>Measures / KPIs:</w:t>
      </w:r>
    </w:p>
    <w:p w14:paraId="02B8F07B"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Brand awarenes</w:t>
      </w:r>
      <w:r>
        <w:rPr>
          <w:rFonts w:ascii="Times New Roman" w:hAnsi="Times New Roman" w:cs="Times New Roman"/>
          <w:sz w:val="24"/>
        </w:rPr>
        <w:t>s in Ho Chi Minh City and Hanoi</w:t>
      </w:r>
    </w:p>
    <w:p w14:paraId="0BEE4C05" w14:textId="77777777" w:rsidR="00E35106" w:rsidRDefault="00E35106" w:rsidP="00E35106">
      <w:pPr>
        <w:spacing w:line="360" w:lineRule="auto"/>
        <w:ind w:left="720"/>
        <w:rPr>
          <w:rFonts w:ascii="Times New Roman" w:hAnsi="Times New Roman" w:cs="Times New Roman"/>
          <w:sz w:val="24"/>
        </w:rPr>
      </w:pPr>
      <w:r>
        <w:rPr>
          <w:rFonts w:ascii="Times New Roman" w:hAnsi="Times New Roman" w:cs="Times New Roman"/>
          <w:sz w:val="24"/>
        </w:rPr>
        <w:t>– Net Promoter Score (NPS)</w:t>
      </w:r>
    </w:p>
    <w:p w14:paraId="4FE70B2C"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Repeat purchase rate</w:t>
      </w:r>
    </w:p>
    <w:p w14:paraId="6DA48006" w14:textId="77777777" w:rsidR="00E35106" w:rsidRDefault="00E35106" w:rsidP="00E35106">
      <w:pPr>
        <w:numPr>
          <w:ilvl w:val="0"/>
          <w:numId w:val="3"/>
        </w:numPr>
        <w:spacing w:line="360" w:lineRule="auto"/>
        <w:rPr>
          <w:rFonts w:ascii="Times New Roman" w:hAnsi="Times New Roman" w:cs="Times New Roman"/>
          <w:sz w:val="24"/>
        </w:rPr>
      </w:pPr>
      <w:r w:rsidRPr="00E35106">
        <w:rPr>
          <w:rFonts w:ascii="Times New Roman" w:hAnsi="Times New Roman" w:cs="Times New Roman"/>
          <w:b/>
          <w:bCs/>
          <w:sz w:val="24"/>
        </w:rPr>
        <w:t>Targets:</w:t>
      </w:r>
    </w:p>
    <w:p w14:paraId="5AD04A0F"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40% aided brand awareness</w:t>
      </w:r>
      <w:r w:rsidRPr="007C0ACF">
        <w:rPr>
          <w:rFonts w:ascii="Times New Roman" w:hAnsi="Times New Roman" w:cs="Times New Roman"/>
          <w:sz w:val="24"/>
        </w:rPr>
        <w:t xml:space="preserve"> in target cities within 24 months</w:t>
      </w:r>
    </w:p>
    <w:p w14:paraId="03B6003D"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NPS ≥ +50</w:t>
      </w:r>
      <w:r w:rsidRPr="007C0ACF">
        <w:rPr>
          <w:rFonts w:ascii="Times New Roman" w:hAnsi="Times New Roman" w:cs="Times New Roman"/>
          <w:sz w:val="24"/>
        </w:rPr>
        <w:t>, reflecting strong trust and advocacy</w:t>
      </w:r>
    </w:p>
    <w:p w14:paraId="7833CF04"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 30% repeat purchase rate</w:t>
      </w:r>
      <w:r w:rsidRPr="007C0ACF">
        <w:rPr>
          <w:rFonts w:ascii="Times New Roman" w:hAnsi="Times New Roman" w:cs="Times New Roman"/>
          <w:sz w:val="24"/>
        </w:rPr>
        <w:t xml:space="preserve"> by Year 2</w:t>
      </w:r>
    </w:p>
    <w:p w14:paraId="7699C8C2" w14:textId="77777777" w:rsidR="00E35106" w:rsidRDefault="00E35106" w:rsidP="00E35106">
      <w:pPr>
        <w:numPr>
          <w:ilvl w:val="0"/>
          <w:numId w:val="3"/>
        </w:numPr>
        <w:spacing w:line="360" w:lineRule="auto"/>
        <w:rPr>
          <w:rFonts w:ascii="Times New Roman" w:hAnsi="Times New Roman" w:cs="Times New Roman"/>
          <w:sz w:val="24"/>
        </w:rPr>
      </w:pPr>
      <w:r w:rsidRPr="00E35106">
        <w:rPr>
          <w:rFonts w:ascii="Times New Roman" w:hAnsi="Times New Roman" w:cs="Times New Roman"/>
          <w:b/>
          <w:bCs/>
          <w:sz w:val="24"/>
        </w:rPr>
        <w:t>Initiatives:</w:t>
      </w:r>
    </w:p>
    <w:p w14:paraId="04B7A182"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Health-educat</w:t>
      </w:r>
      <w:r>
        <w:rPr>
          <w:rFonts w:ascii="Times New Roman" w:hAnsi="Times New Roman" w:cs="Times New Roman"/>
          <w:sz w:val="24"/>
        </w:rPr>
        <w:t>ion-focused marketing campaigns</w:t>
      </w:r>
    </w:p>
    <w:p w14:paraId="13BBA26A"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In-s</w:t>
      </w:r>
      <w:r>
        <w:rPr>
          <w:rFonts w:ascii="Times New Roman" w:hAnsi="Times New Roman" w:cs="Times New Roman"/>
          <w:sz w:val="24"/>
        </w:rPr>
        <w:t>tore wellness advisory services</w:t>
      </w:r>
    </w:p>
    <w:p w14:paraId="20527A1A"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xml:space="preserve">– Digital loyalty </w:t>
      </w:r>
      <w:proofErr w:type="spellStart"/>
      <w:r w:rsidRPr="00E35106">
        <w:rPr>
          <w:rFonts w:ascii="Times New Roman" w:hAnsi="Times New Roman" w:cs="Times New Roman"/>
          <w:sz w:val="24"/>
        </w:rPr>
        <w:t>programme</w:t>
      </w:r>
      <w:proofErr w:type="spellEnd"/>
      <w:r w:rsidRPr="00E35106">
        <w:rPr>
          <w:rFonts w:ascii="Times New Roman" w:hAnsi="Times New Roman" w:cs="Times New Roman"/>
          <w:sz w:val="24"/>
        </w:rPr>
        <w:t xml:space="preserve"> integrated with e-commerce</w:t>
      </w:r>
    </w:p>
    <w:p w14:paraId="1722F6C3" w14:textId="77777777" w:rsidR="00E35106" w:rsidRPr="00E35106" w:rsidRDefault="00E35106" w:rsidP="00E35106">
      <w:pPr>
        <w:spacing w:line="360" w:lineRule="auto"/>
        <w:jc w:val="both"/>
        <w:rPr>
          <w:rFonts w:ascii="Times New Roman" w:hAnsi="Times New Roman" w:cs="Times New Roman"/>
          <w:b/>
          <w:bCs/>
          <w:sz w:val="24"/>
        </w:rPr>
      </w:pPr>
      <w:r w:rsidRPr="00E35106">
        <w:rPr>
          <w:rFonts w:ascii="Times New Roman" w:hAnsi="Times New Roman" w:cs="Times New Roman"/>
          <w:b/>
          <w:bCs/>
          <w:sz w:val="24"/>
        </w:rPr>
        <w:t>Internal Process Perspective</w:t>
      </w:r>
    </w:p>
    <w:p w14:paraId="33615CF9" w14:textId="77777777" w:rsidR="00E35106" w:rsidRPr="00E35106" w:rsidRDefault="00E35106" w:rsidP="00E35106">
      <w:pPr>
        <w:numPr>
          <w:ilvl w:val="0"/>
          <w:numId w:val="4"/>
        </w:numPr>
        <w:spacing w:line="360" w:lineRule="auto"/>
        <w:jc w:val="both"/>
        <w:rPr>
          <w:rFonts w:ascii="Times New Roman" w:hAnsi="Times New Roman" w:cs="Times New Roman"/>
          <w:sz w:val="24"/>
        </w:rPr>
      </w:pPr>
      <w:r w:rsidRPr="00E35106">
        <w:rPr>
          <w:rFonts w:ascii="Times New Roman" w:hAnsi="Times New Roman" w:cs="Times New Roman"/>
          <w:b/>
          <w:bCs/>
          <w:sz w:val="24"/>
        </w:rPr>
        <w:t>Objective:</w:t>
      </w:r>
      <w:r w:rsidRPr="00E35106">
        <w:rPr>
          <w:rFonts w:ascii="Times New Roman" w:hAnsi="Times New Roman" w:cs="Times New Roman"/>
          <w:sz w:val="24"/>
        </w:rPr>
        <w:t xml:space="preserve"> Ensure regulatory compliance and operational reliability.</w:t>
      </w:r>
    </w:p>
    <w:p w14:paraId="393896E5" w14:textId="77777777" w:rsidR="00E35106" w:rsidRDefault="00E35106" w:rsidP="00E35106">
      <w:pPr>
        <w:numPr>
          <w:ilvl w:val="0"/>
          <w:numId w:val="4"/>
        </w:numPr>
        <w:spacing w:line="360" w:lineRule="auto"/>
        <w:rPr>
          <w:rFonts w:ascii="Times New Roman" w:hAnsi="Times New Roman" w:cs="Times New Roman"/>
          <w:sz w:val="24"/>
        </w:rPr>
      </w:pPr>
      <w:r w:rsidRPr="00E35106">
        <w:rPr>
          <w:rFonts w:ascii="Times New Roman" w:hAnsi="Times New Roman" w:cs="Times New Roman"/>
          <w:b/>
          <w:bCs/>
          <w:sz w:val="24"/>
        </w:rPr>
        <w:t>Measures / KPIs:</w:t>
      </w:r>
    </w:p>
    <w:p w14:paraId="4B01B23F"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Prod</w:t>
      </w:r>
      <w:r>
        <w:rPr>
          <w:rFonts w:ascii="Times New Roman" w:hAnsi="Times New Roman" w:cs="Times New Roman"/>
          <w:sz w:val="24"/>
        </w:rPr>
        <w:t>uct certification approval time</w:t>
      </w:r>
    </w:p>
    <w:p w14:paraId="1B1FF9AC" w14:textId="77777777" w:rsidR="00E35106" w:rsidRDefault="00E35106" w:rsidP="00E35106">
      <w:pPr>
        <w:spacing w:line="360" w:lineRule="auto"/>
        <w:ind w:left="720"/>
        <w:rPr>
          <w:rFonts w:ascii="Times New Roman" w:hAnsi="Times New Roman" w:cs="Times New Roman"/>
          <w:sz w:val="24"/>
        </w:rPr>
      </w:pPr>
      <w:r>
        <w:rPr>
          <w:rFonts w:ascii="Times New Roman" w:hAnsi="Times New Roman" w:cs="Times New Roman"/>
          <w:sz w:val="24"/>
        </w:rPr>
        <w:t>– Supplier compliance rate</w:t>
      </w:r>
    </w:p>
    <w:p w14:paraId="34BA0CB5"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Inventory turnover</w:t>
      </w:r>
    </w:p>
    <w:p w14:paraId="608651B2" w14:textId="77777777" w:rsidR="00E35106" w:rsidRDefault="00E35106" w:rsidP="00E35106">
      <w:pPr>
        <w:numPr>
          <w:ilvl w:val="0"/>
          <w:numId w:val="4"/>
        </w:numPr>
        <w:spacing w:line="360" w:lineRule="auto"/>
        <w:rPr>
          <w:rFonts w:ascii="Times New Roman" w:hAnsi="Times New Roman" w:cs="Times New Roman"/>
          <w:sz w:val="24"/>
        </w:rPr>
      </w:pPr>
      <w:r w:rsidRPr="00E35106">
        <w:rPr>
          <w:rFonts w:ascii="Times New Roman" w:hAnsi="Times New Roman" w:cs="Times New Roman"/>
          <w:b/>
          <w:bCs/>
          <w:sz w:val="24"/>
        </w:rPr>
        <w:t>Targets:</w:t>
      </w:r>
    </w:p>
    <w:p w14:paraId="1BF9009E"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100% regulatory compliance</w:t>
      </w:r>
      <w:r w:rsidRPr="007C0ACF">
        <w:rPr>
          <w:rFonts w:ascii="Times New Roman" w:hAnsi="Times New Roman" w:cs="Times New Roman"/>
          <w:sz w:val="24"/>
        </w:rPr>
        <w:t xml:space="preserve"> for all SKUs</w:t>
      </w:r>
    </w:p>
    <w:p w14:paraId="3A9976E7"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 95% certified supplier compliance</w:t>
      </w:r>
    </w:p>
    <w:p w14:paraId="2C735D07"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Inventory turnover of </w:t>
      </w:r>
      <w:r w:rsidRPr="007C0ACF">
        <w:rPr>
          <w:rFonts w:ascii="Times New Roman" w:hAnsi="Times New Roman" w:cs="Times New Roman"/>
          <w:bCs/>
          <w:sz w:val="24"/>
        </w:rPr>
        <w:t>6–8 cycles per year</w:t>
      </w:r>
    </w:p>
    <w:p w14:paraId="60C4989A" w14:textId="77777777" w:rsidR="00E35106" w:rsidRDefault="00E35106" w:rsidP="00E35106">
      <w:pPr>
        <w:numPr>
          <w:ilvl w:val="0"/>
          <w:numId w:val="4"/>
        </w:numPr>
        <w:spacing w:line="360" w:lineRule="auto"/>
        <w:rPr>
          <w:rFonts w:ascii="Times New Roman" w:hAnsi="Times New Roman" w:cs="Times New Roman"/>
          <w:sz w:val="24"/>
        </w:rPr>
      </w:pPr>
      <w:r w:rsidRPr="00E35106">
        <w:rPr>
          <w:rFonts w:ascii="Times New Roman" w:hAnsi="Times New Roman" w:cs="Times New Roman"/>
          <w:b/>
          <w:bCs/>
          <w:sz w:val="24"/>
        </w:rPr>
        <w:t>Initiatives:</w:t>
      </w:r>
    </w:p>
    <w:p w14:paraId="711F3B96"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Supplier au</w:t>
      </w:r>
      <w:r>
        <w:rPr>
          <w:rFonts w:ascii="Times New Roman" w:hAnsi="Times New Roman" w:cs="Times New Roman"/>
          <w:sz w:val="24"/>
        </w:rPr>
        <w:t>diting and traceability systems</w:t>
      </w:r>
    </w:p>
    <w:p w14:paraId="563DDC0E"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Dedic</w:t>
      </w:r>
      <w:r>
        <w:rPr>
          <w:rFonts w:ascii="Times New Roman" w:hAnsi="Times New Roman" w:cs="Times New Roman"/>
          <w:sz w:val="24"/>
        </w:rPr>
        <w:t>ated regulatory compliance team</w:t>
      </w:r>
    </w:p>
    <w:p w14:paraId="1E2FFAF3"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Technology-enabled inventory management</w:t>
      </w:r>
    </w:p>
    <w:p w14:paraId="31BB0B67" w14:textId="77777777" w:rsidR="00E35106" w:rsidRPr="00E35106" w:rsidRDefault="00E35106" w:rsidP="00E35106">
      <w:pPr>
        <w:spacing w:line="360" w:lineRule="auto"/>
        <w:jc w:val="both"/>
        <w:rPr>
          <w:rFonts w:ascii="Times New Roman" w:hAnsi="Times New Roman" w:cs="Times New Roman"/>
          <w:b/>
          <w:bCs/>
          <w:sz w:val="24"/>
        </w:rPr>
      </w:pPr>
      <w:r w:rsidRPr="00E35106">
        <w:rPr>
          <w:rFonts w:ascii="Times New Roman" w:hAnsi="Times New Roman" w:cs="Times New Roman"/>
          <w:b/>
          <w:bCs/>
          <w:sz w:val="24"/>
        </w:rPr>
        <w:t>Learning &amp; Growth Perspective</w:t>
      </w:r>
    </w:p>
    <w:p w14:paraId="6FB14110" w14:textId="73D62FD3" w:rsidR="00E35106" w:rsidRPr="00E35106" w:rsidRDefault="00E35106" w:rsidP="00E35106">
      <w:pPr>
        <w:numPr>
          <w:ilvl w:val="0"/>
          <w:numId w:val="5"/>
        </w:numPr>
        <w:spacing w:line="360" w:lineRule="auto"/>
        <w:jc w:val="both"/>
        <w:rPr>
          <w:rFonts w:ascii="Times New Roman" w:hAnsi="Times New Roman" w:cs="Times New Roman"/>
          <w:sz w:val="24"/>
        </w:rPr>
      </w:pPr>
      <w:r w:rsidRPr="00E35106">
        <w:rPr>
          <w:rFonts w:ascii="Times New Roman" w:hAnsi="Times New Roman" w:cs="Times New Roman"/>
          <w:b/>
          <w:bCs/>
          <w:sz w:val="24"/>
        </w:rPr>
        <w:t>Objective:</w:t>
      </w:r>
      <w:r w:rsidRPr="00E35106">
        <w:rPr>
          <w:rFonts w:ascii="Times New Roman" w:hAnsi="Times New Roman" w:cs="Times New Roman"/>
          <w:sz w:val="24"/>
        </w:rPr>
        <w:t xml:space="preserve"> Build local capability and </w:t>
      </w:r>
      <w:r w:rsidR="00036B93" w:rsidRPr="00E35106">
        <w:rPr>
          <w:rFonts w:ascii="Times New Roman" w:hAnsi="Times New Roman" w:cs="Times New Roman"/>
          <w:sz w:val="24"/>
        </w:rPr>
        <w:t>organizational</w:t>
      </w:r>
      <w:r w:rsidRPr="00E35106">
        <w:rPr>
          <w:rFonts w:ascii="Times New Roman" w:hAnsi="Times New Roman" w:cs="Times New Roman"/>
          <w:sz w:val="24"/>
        </w:rPr>
        <w:t xml:space="preserve"> learning.</w:t>
      </w:r>
    </w:p>
    <w:p w14:paraId="7E19EA0F" w14:textId="77777777" w:rsidR="00E35106" w:rsidRDefault="00E35106" w:rsidP="00E35106">
      <w:pPr>
        <w:numPr>
          <w:ilvl w:val="0"/>
          <w:numId w:val="5"/>
        </w:numPr>
        <w:spacing w:line="360" w:lineRule="auto"/>
        <w:rPr>
          <w:rFonts w:ascii="Times New Roman" w:hAnsi="Times New Roman" w:cs="Times New Roman"/>
          <w:sz w:val="24"/>
        </w:rPr>
      </w:pPr>
      <w:r w:rsidRPr="00E35106">
        <w:rPr>
          <w:rFonts w:ascii="Times New Roman" w:hAnsi="Times New Roman" w:cs="Times New Roman"/>
          <w:b/>
          <w:bCs/>
          <w:sz w:val="24"/>
        </w:rPr>
        <w:t>Measures / KPIs:</w:t>
      </w:r>
    </w:p>
    <w:p w14:paraId="43354D57"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w:t>
      </w:r>
      <w:r>
        <w:rPr>
          <w:rFonts w:ascii="Times New Roman" w:hAnsi="Times New Roman" w:cs="Times New Roman"/>
          <w:sz w:val="24"/>
        </w:rPr>
        <w:t xml:space="preserve"> Staff training completion rate</w:t>
      </w:r>
    </w:p>
    <w:p w14:paraId="6EE4E13D" w14:textId="77777777" w:rsidR="00E35106" w:rsidRDefault="00E35106" w:rsidP="00E35106">
      <w:pPr>
        <w:spacing w:line="360" w:lineRule="auto"/>
        <w:ind w:left="720"/>
        <w:rPr>
          <w:rFonts w:ascii="Times New Roman" w:hAnsi="Times New Roman" w:cs="Times New Roman"/>
          <w:sz w:val="24"/>
        </w:rPr>
      </w:pPr>
      <w:r>
        <w:rPr>
          <w:rFonts w:ascii="Times New Roman" w:hAnsi="Times New Roman" w:cs="Times New Roman"/>
          <w:sz w:val="24"/>
        </w:rPr>
        <w:t>– Certified wellness advisors</w:t>
      </w:r>
    </w:p>
    <w:p w14:paraId="5DA1CACF"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Local management ratio</w:t>
      </w:r>
    </w:p>
    <w:p w14:paraId="22EE4589" w14:textId="77777777" w:rsidR="00E35106" w:rsidRDefault="00E35106" w:rsidP="00E35106">
      <w:pPr>
        <w:numPr>
          <w:ilvl w:val="0"/>
          <w:numId w:val="5"/>
        </w:numPr>
        <w:spacing w:line="360" w:lineRule="auto"/>
        <w:rPr>
          <w:rFonts w:ascii="Times New Roman" w:hAnsi="Times New Roman" w:cs="Times New Roman"/>
          <w:sz w:val="24"/>
        </w:rPr>
      </w:pPr>
      <w:r w:rsidRPr="00E35106">
        <w:rPr>
          <w:rFonts w:ascii="Times New Roman" w:hAnsi="Times New Roman" w:cs="Times New Roman"/>
          <w:b/>
          <w:bCs/>
          <w:sz w:val="24"/>
        </w:rPr>
        <w:t>Targets:</w:t>
      </w:r>
    </w:p>
    <w:p w14:paraId="29EE668C"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100% frontline staff trained</w:t>
      </w:r>
      <w:r w:rsidRPr="007C0ACF">
        <w:rPr>
          <w:rFonts w:ascii="Times New Roman" w:hAnsi="Times New Roman" w:cs="Times New Roman"/>
          <w:sz w:val="24"/>
        </w:rPr>
        <w:t xml:space="preserve"> within 6 months of store opening</w:t>
      </w:r>
    </w:p>
    <w:p w14:paraId="39E0D12A"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 70% of store advisors certified</w:t>
      </w:r>
      <w:r w:rsidRPr="007C0ACF">
        <w:rPr>
          <w:rFonts w:ascii="Times New Roman" w:hAnsi="Times New Roman" w:cs="Times New Roman"/>
          <w:sz w:val="24"/>
        </w:rPr>
        <w:t xml:space="preserve"> in wellness consultation</w:t>
      </w:r>
    </w:p>
    <w:p w14:paraId="00C51CF7"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 60% local management</w:t>
      </w:r>
      <w:r w:rsidRPr="007C0ACF">
        <w:rPr>
          <w:rFonts w:ascii="Times New Roman" w:hAnsi="Times New Roman" w:cs="Times New Roman"/>
          <w:sz w:val="24"/>
        </w:rPr>
        <w:t xml:space="preserve"> within 2 years</w:t>
      </w:r>
    </w:p>
    <w:p w14:paraId="24F4E801" w14:textId="77777777" w:rsidR="00E35106" w:rsidRDefault="00E35106" w:rsidP="00E35106">
      <w:pPr>
        <w:pStyle w:val="ListParagraph"/>
        <w:numPr>
          <w:ilvl w:val="0"/>
          <w:numId w:val="5"/>
        </w:numPr>
        <w:spacing w:line="360" w:lineRule="auto"/>
        <w:rPr>
          <w:rFonts w:ascii="Times New Roman" w:hAnsi="Times New Roman" w:cs="Times New Roman"/>
          <w:sz w:val="24"/>
        </w:rPr>
      </w:pPr>
      <w:r w:rsidRPr="00E35106">
        <w:rPr>
          <w:rFonts w:ascii="Times New Roman" w:hAnsi="Times New Roman" w:cs="Times New Roman"/>
          <w:b/>
          <w:bCs/>
          <w:sz w:val="24"/>
        </w:rPr>
        <w:t>Initiatives:</w:t>
      </w:r>
    </w:p>
    <w:p w14:paraId="627531A6" w14:textId="77777777" w:rsidR="00E35106" w:rsidRDefault="00E35106" w:rsidP="00E35106">
      <w:pPr>
        <w:pStyle w:val="ListParagraph"/>
        <w:spacing w:line="360" w:lineRule="auto"/>
        <w:rPr>
          <w:rFonts w:ascii="Times New Roman" w:hAnsi="Times New Roman" w:cs="Times New Roman"/>
          <w:sz w:val="24"/>
        </w:rPr>
      </w:pPr>
      <w:r w:rsidRPr="00E35106">
        <w:rPr>
          <w:rFonts w:ascii="Times New Roman" w:hAnsi="Times New Roman" w:cs="Times New Roman"/>
          <w:sz w:val="24"/>
        </w:rPr>
        <w:t>–</w:t>
      </w:r>
      <w:r>
        <w:rPr>
          <w:rFonts w:ascii="Times New Roman" w:hAnsi="Times New Roman" w:cs="Times New Roman"/>
          <w:sz w:val="24"/>
        </w:rPr>
        <w:t xml:space="preserve"> Continuous training </w:t>
      </w:r>
      <w:proofErr w:type="spellStart"/>
      <w:r>
        <w:rPr>
          <w:rFonts w:ascii="Times New Roman" w:hAnsi="Times New Roman" w:cs="Times New Roman"/>
          <w:sz w:val="24"/>
        </w:rPr>
        <w:t>programmes</w:t>
      </w:r>
      <w:proofErr w:type="spellEnd"/>
    </w:p>
    <w:p w14:paraId="44FE96FE" w14:textId="77777777" w:rsidR="00E35106" w:rsidRDefault="00E35106" w:rsidP="00E35106">
      <w:pPr>
        <w:pStyle w:val="ListParagraph"/>
        <w:spacing w:line="360" w:lineRule="auto"/>
        <w:rPr>
          <w:rFonts w:ascii="Times New Roman" w:hAnsi="Times New Roman" w:cs="Times New Roman"/>
          <w:sz w:val="24"/>
        </w:rPr>
      </w:pPr>
      <w:r w:rsidRPr="00E35106">
        <w:rPr>
          <w:rFonts w:ascii="Times New Roman" w:hAnsi="Times New Roman" w:cs="Times New Roman"/>
          <w:sz w:val="24"/>
        </w:rPr>
        <w:t>– K</w:t>
      </w:r>
      <w:r>
        <w:rPr>
          <w:rFonts w:ascii="Times New Roman" w:hAnsi="Times New Roman" w:cs="Times New Roman"/>
          <w:sz w:val="24"/>
        </w:rPr>
        <w:t>nowledge transfer from partners</w:t>
      </w:r>
    </w:p>
    <w:p w14:paraId="75F35CCC" w14:textId="77777777" w:rsidR="00E35106" w:rsidRPr="00E35106" w:rsidRDefault="00E35106" w:rsidP="00E35106">
      <w:pPr>
        <w:pStyle w:val="ListParagraph"/>
        <w:spacing w:line="360" w:lineRule="auto"/>
        <w:rPr>
          <w:rFonts w:ascii="Times New Roman" w:hAnsi="Times New Roman" w:cs="Times New Roman"/>
          <w:sz w:val="24"/>
        </w:rPr>
      </w:pPr>
      <w:r w:rsidRPr="00E35106">
        <w:rPr>
          <w:rFonts w:ascii="Times New Roman" w:hAnsi="Times New Roman" w:cs="Times New Roman"/>
          <w:sz w:val="24"/>
        </w:rPr>
        <w:t>– Leadership development pathways</w:t>
      </w:r>
    </w:p>
    <w:p w14:paraId="143BE5BD" w14:textId="77777777" w:rsidR="00E35106" w:rsidRDefault="00E35106" w:rsidP="00E622C3">
      <w:pPr>
        <w:pStyle w:val="Heading2"/>
      </w:pPr>
      <w:bookmarkStart w:id="30" w:name="_Toc217240214"/>
      <w:r w:rsidRPr="00E35106">
        <w:t>Triple Bottom Line Integration</w:t>
      </w:r>
      <w:bookmarkEnd w:id="30"/>
    </w:p>
    <w:p w14:paraId="58E93F3A" w14:textId="3F028CE4" w:rsidR="00CF1A29" w:rsidRDefault="00CF1A29" w:rsidP="00CF1A29">
      <w:pPr>
        <w:pStyle w:val="NormalWeb"/>
        <w:spacing w:line="360" w:lineRule="auto"/>
        <w:jc w:val="both"/>
      </w:pPr>
      <w:r>
        <w:t xml:space="preserve">The Triple Bottom Line framework evaluates </w:t>
      </w:r>
      <w:r w:rsidR="00036B93">
        <w:t>organizational</w:t>
      </w:r>
      <w:r>
        <w:t xml:space="preserve"> performance by balancing economic, social and environmental outcomes rather than focusing solely on financial results (Johnson et al., 2020, p.376).</w:t>
      </w:r>
    </w:p>
    <w:p w14:paraId="072B7D6C" w14:textId="77777777" w:rsidR="00CF1A29" w:rsidRPr="00CF1A29" w:rsidRDefault="00CF1A29" w:rsidP="00CF1A29"/>
    <w:p w14:paraId="2A775A8C" w14:textId="77777777" w:rsidR="00FA77CD" w:rsidRDefault="00FA77CD" w:rsidP="00FA77CD">
      <w:pPr>
        <w:spacing w:line="360" w:lineRule="auto"/>
        <w:jc w:val="center"/>
        <w:rPr>
          <w:rFonts w:ascii="Times New Roman" w:hAnsi="Times New Roman" w:cs="Times New Roman"/>
          <w:sz w:val="24"/>
        </w:rPr>
      </w:pPr>
      <w:r>
        <w:rPr>
          <w:noProof/>
        </w:rPr>
        <w:drawing>
          <wp:inline distT="0" distB="0" distL="0" distR="0" wp14:anchorId="0A9D28D5" wp14:editId="4BB7F7FC">
            <wp:extent cx="3429000" cy="2294490"/>
            <wp:effectExtent l="0" t="0" r="0" b="0"/>
            <wp:docPr id="11" name="Picture 11" descr="Contribute to a better world = Be a successful company. Sustainability in a  shared-economy startup. | by Olena Avramenko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ntribute to a better world = Be a successful company. Sustainability in a  shared-economy startup. | by Olena Avramenko | Mediu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33125" cy="2297250"/>
                    </a:xfrm>
                    <a:prstGeom prst="rect">
                      <a:avLst/>
                    </a:prstGeom>
                    <a:noFill/>
                    <a:ln>
                      <a:noFill/>
                    </a:ln>
                  </pic:spPr>
                </pic:pic>
              </a:graphicData>
            </a:graphic>
          </wp:inline>
        </w:drawing>
      </w:r>
    </w:p>
    <w:p w14:paraId="3FD97D2F" w14:textId="77777777" w:rsidR="00FA77CD" w:rsidRDefault="00FA77CD" w:rsidP="00FA77CD">
      <w:pPr>
        <w:pStyle w:val="Caption"/>
        <w:jc w:val="center"/>
      </w:pPr>
      <w:bookmarkStart w:id="31" w:name="_Toc217240227"/>
      <w:r>
        <w:t xml:space="preserve">Figure </w:t>
      </w:r>
      <w:r w:rsidR="00BB2141">
        <w:fldChar w:fldCharType="begin"/>
      </w:r>
      <w:r w:rsidR="00BB2141">
        <w:instrText xml:space="preserve"> SEQ Figure \* ARABIC </w:instrText>
      </w:r>
      <w:r w:rsidR="00BB2141">
        <w:fldChar w:fldCharType="separate"/>
      </w:r>
      <w:r w:rsidR="00AA382C">
        <w:rPr>
          <w:noProof/>
        </w:rPr>
        <w:t>10</w:t>
      </w:r>
      <w:r w:rsidR="00BB2141">
        <w:rPr>
          <w:noProof/>
        </w:rPr>
        <w:fldChar w:fldCharType="end"/>
      </w:r>
      <w:r>
        <w:t>: Triple Bottom Line Framework</w:t>
      </w:r>
      <w:bookmarkEnd w:id="31"/>
    </w:p>
    <w:p w14:paraId="15A44320" w14:textId="77777777" w:rsidR="00FA77CD" w:rsidRPr="00FA77CD" w:rsidRDefault="00FA77CD" w:rsidP="00FA77CD">
      <w:pPr>
        <w:jc w:val="center"/>
        <w:rPr>
          <w:rFonts w:ascii="Times New Roman" w:hAnsi="Times New Roman" w:cs="Times New Roman"/>
        </w:rPr>
      </w:pPr>
      <w:r w:rsidRPr="00FA77CD">
        <w:rPr>
          <w:rFonts w:ascii="Times New Roman" w:hAnsi="Times New Roman" w:cs="Times New Roman"/>
        </w:rPr>
        <w:t>(</w:t>
      </w:r>
      <w:proofErr w:type="spellStart"/>
      <w:r w:rsidRPr="00FA77CD">
        <w:rPr>
          <w:rFonts w:ascii="Times New Roman" w:hAnsi="Times New Roman" w:cs="Times New Roman"/>
        </w:rPr>
        <w:t>Avramenko</w:t>
      </w:r>
      <w:proofErr w:type="spellEnd"/>
      <w:r w:rsidRPr="00FA77CD">
        <w:rPr>
          <w:rFonts w:ascii="Times New Roman" w:hAnsi="Times New Roman" w:cs="Times New Roman"/>
        </w:rPr>
        <w:t>, 2020)</w:t>
      </w:r>
    </w:p>
    <w:p w14:paraId="59AFEE4D" w14:textId="4109F601" w:rsidR="00E35106" w:rsidRPr="00E35106" w:rsidRDefault="00655EA8" w:rsidP="00E35106">
      <w:pPr>
        <w:spacing w:line="360" w:lineRule="auto"/>
        <w:jc w:val="both"/>
        <w:rPr>
          <w:rFonts w:ascii="Times New Roman" w:hAnsi="Times New Roman" w:cs="Times New Roman"/>
          <w:sz w:val="24"/>
        </w:rPr>
      </w:pPr>
      <w:r w:rsidRPr="00655EA8">
        <w:rPr>
          <w:rFonts w:ascii="Times New Roman" w:hAnsi="Times New Roman" w:cs="Times New Roman"/>
          <w:sz w:val="24"/>
        </w:rPr>
        <w:t>The Vietnam strategy of H&amp;B is in line with the Triple Bottom Line as it ensures that there is a balance between economic performance and social and environmental responsibility (</w:t>
      </w:r>
      <w:proofErr w:type="spellStart"/>
      <w:r w:rsidRPr="00655EA8">
        <w:rPr>
          <w:rFonts w:ascii="Times New Roman" w:hAnsi="Times New Roman" w:cs="Times New Roman"/>
          <w:sz w:val="24"/>
        </w:rPr>
        <w:t>Elkington</w:t>
      </w:r>
      <w:proofErr w:type="spellEnd"/>
      <w:r w:rsidRPr="00655EA8">
        <w:rPr>
          <w:rFonts w:ascii="Times New Roman" w:hAnsi="Times New Roman" w:cs="Times New Roman"/>
          <w:sz w:val="24"/>
        </w:rPr>
        <w:t xml:space="preserve"> and Rowlands, 1999). H&amp;B fosters preventive healthcare, consumer education, and ethical employment </w:t>
      </w:r>
      <w:r w:rsidR="00036B93" w:rsidRPr="00655EA8">
        <w:rPr>
          <w:rFonts w:ascii="Times New Roman" w:hAnsi="Times New Roman" w:cs="Times New Roman"/>
          <w:sz w:val="24"/>
        </w:rPr>
        <w:t>practices</w:t>
      </w:r>
      <w:r w:rsidRPr="00655EA8">
        <w:rPr>
          <w:rFonts w:ascii="Times New Roman" w:hAnsi="Times New Roman" w:cs="Times New Roman"/>
          <w:sz w:val="24"/>
        </w:rPr>
        <w:t>, which improves the well-being of the people socially. Lower environmental impact is supported by the use of environmentally responsible sourcing standards, less plastic packaging, and supplier sustainability audits. Introducing TBL goals in the Balanced Scorecard will guarantee the measurement of sustainability results in the context of financial results, which will supp</w:t>
      </w:r>
      <w:r>
        <w:rPr>
          <w:rFonts w:ascii="Times New Roman" w:hAnsi="Times New Roman" w:cs="Times New Roman"/>
          <w:sz w:val="24"/>
        </w:rPr>
        <w:t>ort the ethical branding of H&amp;B</w:t>
      </w:r>
      <w:r w:rsidR="00E35106" w:rsidRPr="00E35106">
        <w:rPr>
          <w:rFonts w:ascii="Times New Roman" w:hAnsi="Times New Roman" w:cs="Times New Roman"/>
          <w:sz w:val="24"/>
        </w:rPr>
        <w:t>.</w:t>
      </w:r>
    </w:p>
    <w:p w14:paraId="4D55EB58" w14:textId="77777777" w:rsidR="00E35106" w:rsidRPr="00E35106" w:rsidRDefault="00E35106" w:rsidP="00E622C3">
      <w:pPr>
        <w:pStyle w:val="Heading2"/>
      </w:pPr>
      <w:bookmarkStart w:id="32" w:name="_Toc217240215"/>
      <w:r w:rsidRPr="00E35106">
        <w:t>Monitoring and Governance Mechanisms</w:t>
      </w:r>
      <w:bookmarkEnd w:id="32"/>
    </w:p>
    <w:p w14:paraId="743273F8" w14:textId="77777777" w:rsidR="00E35106" w:rsidRPr="007C0ACF" w:rsidRDefault="00655EA8" w:rsidP="00E35106">
      <w:pPr>
        <w:spacing w:line="360" w:lineRule="auto"/>
        <w:jc w:val="both"/>
        <w:rPr>
          <w:rFonts w:ascii="Times New Roman" w:hAnsi="Times New Roman" w:cs="Times New Roman"/>
          <w:sz w:val="24"/>
        </w:rPr>
      </w:pPr>
      <w:r w:rsidRPr="00655EA8">
        <w:rPr>
          <w:rFonts w:ascii="Times New Roman" w:hAnsi="Times New Roman" w:cs="Times New Roman"/>
          <w:sz w:val="24"/>
        </w:rPr>
        <w:t>Quarterly reports on the Balanced Scorecard should be used to monitor performance and each perspective should be accountable to the functional managers. The strategic review cycle has to be conducted biannually to review the progress against targets, the performance of its partners and the market learning to introduce strategic changes. Compliance audits and risk reviews as part of the governance mechanisms should also be used to regulate regulatory exposure and reputational risk. This is a systematic supervision that ensures transparency, accountability and responsive control during the market entry process ((Norton, 1996).</w:t>
      </w:r>
    </w:p>
    <w:p w14:paraId="4E97EB9A" w14:textId="77777777" w:rsidR="005811BF" w:rsidRPr="005811BF" w:rsidRDefault="005811BF" w:rsidP="005811BF">
      <w:pPr>
        <w:pStyle w:val="Heading1"/>
      </w:pPr>
      <w:bookmarkStart w:id="33" w:name="_Toc217240216"/>
      <w:r w:rsidRPr="005811BF">
        <w:t>Conclusion</w:t>
      </w:r>
      <w:bookmarkEnd w:id="33"/>
    </w:p>
    <w:p w14:paraId="35364C30" w14:textId="529F7E2A" w:rsidR="005811BF" w:rsidRPr="005811BF" w:rsidRDefault="00CF1A29" w:rsidP="00655EA8">
      <w:pPr>
        <w:spacing w:line="360" w:lineRule="auto"/>
        <w:jc w:val="both"/>
        <w:rPr>
          <w:rFonts w:ascii="Times New Roman" w:hAnsi="Times New Roman" w:cs="Times New Roman"/>
          <w:sz w:val="24"/>
        </w:rPr>
      </w:pPr>
      <w:r w:rsidRPr="00CF1A29">
        <w:rPr>
          <w:rFonts w:ascii="Times New Roman" w:hAnsi="Times New Roman" w:cs="Times New Roman"/>
          <w:sz w:val="24"/>
        </w:rPr>
        <w:t xml:space="preserve">This report has critically assessed the attractiveness of Vietnam as a new market to Holland and Barrett based on strategic frameworks to determine the market attractiveness, competitive forces and </w:t>
      </w:r>
      <w:r w:rsidR="0008251F" w:rsidRPr="00CF1A29">
        <w:rPr>
          <w:rFonts w:ascii="Times New Roman" w:hAnsi="Times New Roman" w:cs="Times New Roman"/>
          <w:sz w:val="24"/>
        </w:rPr>
        <w:t>organizational</w:t>
      </w:r>
      <w:r w:rsidRPr="00CF1A29">
        <w:rPr>
          <w:rFonts w:ascii="Times New Roman" w:hAnsi="Times New Roman" w:cs="Times New Roman"/>
          <w:sz w:val="24"/>
        </w:rPr>
        <w:t xml:space="preserve"> fit. The discussion shows that the long-term potential is high based on the increasing health awareness, economic growth, </w:t>
      </w:r>
      <w:r w:rsidR="0008251F" w:rsidRPr="00CF1A29">
        <w:rPr>
          <w:rFonts w:ascii="Times New Roman" w:hAnsi="Times New Roman" w:cs="Times New Roman"/>
          <w:sz w:val="24"/>
        </w:rPr>
        <w:t>urbanization</w:t>
      </w:r>
      <w:r w:rsidRPr="00CF1A29">
        <w:rPr>
          <w:rFonts w:ascii="Times New Roman" w:hAnsi="Times New Roman" w:cs="Times New Roman"/>
          <w:sz w:val="24"/>
        </w:rPr>
        <w:t xml:space="preserve"> and digital adoption. Nonetheless, this is not the case, as the competition level is high, and the price is sensitive, and the strain of the rules and substitutes is prevalent and wide, which is why </w:t>
      </w:r>
      <w:r w:rsidR="00036B93" w:rsidRPr="00CF1A29">
        <w:rPr>
          <w:rFonts w:ascii="Times New Roman" w:hAnsi="Times New Roman" w:cs="Times New Roman"/>
          <w:sz w:val="24"/>
        </w:rPr>
        <w:t>standardized</w:t>
      </w:r>
      <w:r w:rsidRPr="00CF1A29">
        <w:rPr>
          <w:rFonts w:ascii="Times New Roman" w:hAnsi="Times New Roman" w:cs="Times New Roman"/>
          <w:sz w:val="24"/>
        </w:rPr>
        <w:t xml:space="preserve"> expansion would not work. PESTLE, Five Forces, SWOT and VRIO analysis show that H&amp;B has its strength on brand credibility, expert knowledge and quality assurance and weakness on low awareness in the local market and institutional unfamiliarity. In this regard, a partnership-led and incremental, as well as differentiation based, entry strategy is the best. H&amp;B has the opportunity to reduce risk and create sustainable competitive advantage in Vietnam through directional market development, local allianc</w:t>
      </w:r>
      <w:r>
        <w:rPr>
          <w:rFonts w:ascii="Times New Roman" w:hAnsi="Times New Roman" w:cs="Times New Roman"/>
          <w:sz w:val="24"/>
        </w:rPr>
        <w:t xml:space="preserve">e and </w:t>
      </w:r>
      <w:r w:rsidR="0008251F">
        <w:rPr>
          <w:rFonts w:ascii="Times New Roman" w:hAnsi="Times New Roman" w:cs="Times New Roman"/>
          <w:sz w:val="24"/>
        </w:rPr>
        <w:t>Omni channel</w:t>
      </w:r>
      <w:r>
        <w:rPr>
          <w:rFonts w:ascii="Times New Roman" w:hAnsi="Times New Roman" w:cs="Times New Roman"/>
          <w:sz w:val="24"/>
        </w:rPr>
        <w:t xml:space="preserve"> participation</w:t>
      </w:r>
      <w:r w:rsidR="005811BF" w:rsidRPr="005811BF">
        <w:rPr>
          <w:rFonts w:ascii="Times New Roman" w:hAnsi="Times New Roman" w:cs="Times New Roman"/>
          <w:sz w:val="24"/>
        </w:rPr>
        <w:t>.</w:t>
      </w:r>
    </w:p>
    <w:p w14:paraId="7F158DB9" w14:textId="77777777" w:rsidR="005811BF" w:rsidRDefault="005811BF" w:rsidP="00E35106">
      <w:pPr>
        <w:rPr>
          <w:rFonts w:ascii="Times New Roman" w:hAnsi="Times New Roman" w:cs="Times New Roman"/>
          <w:sz w:val="24"/>
        </w:rPr>
      </w:pPr>
    </w:p>
    <w:p w14:paraId="78EAEC90" w14:textId="77777777" w:rsidR="00E35106" w:rsidRPr="00E35106" w:rsidRDefault="00E35106" w:rsidP="00E35106">
      <w:pPr>
        <w:rPr>
          <w:rFonts w:ascii="Times New Roman" w:hAnsi="Times New Roman" w:cs="Times New Roman"/>
          <w:sz w:val="24"/>
        </w:rPr>
      </w:pPr>
      <w:r>
        <w:rPr>
          <w:rFonts w:ascii="Times New Roman" w:hAnsi="Times New Roman" w:cs="Times New Roman"/>
          <w:sz w:val="24"/>
        </w:rPr>
        <w:br w:type="page"/>
      </w:r>
    </w:p>
    <w:p w14:paraId="678241FA" w14:textId="77777777" w:rsidR="00572653" w:rsidRDefault="002A2808" w:rsidP="002A2808">
      <w:pPr>
        <w:pStyle w:val="Heading1"/>
      </w:pPr>
      <w:bookmarkStart w:id="34" w:name="_Toc217240217"/>
      <w:r>
        <w:t>References</w:t>
      </w:r>
      <w:bookmarkEnd w:id="34"/>
    </w:p>
    <w:p w14:paraId="0B2A02CB" w14:textId="77777777" w:rsidR="00CF1A29" w:rsidRDefault="00CF1A29" w:rsidP="00655EA8">
      <w:pPr>
        <w:pStyle w:val="NormalWeb"/>
        <w:spacing w:before="0" w:beforeAutospacing="0" w:after="240" w:afterAutospacing="0" w:line="360" w:lineRule="auto"/>
        <w:jc w:val="both"/>
      </w:pPr>
      <w:proofErr w:type="spellStart"/>
      <w:r>
        <w:t>Alsubhi</w:t>
      </w:r>
      <w:proofErr w:type="spellEnd"/>
      <w:r>
        <w:t xml:space="preserve">, M., Blake, M., Nguyen, T., </w:t>
      </w:r>
      <w:proofErr w:type="spellStart"/>
      <w:r>
        <w:t>Majmudar</w:t>
      </w:r>
      <w:proofErr w:type="spellEnd"/>
      <w:r>
        <w:t xml:space="preserve">, I., </w:t>
      </w:r>
      <w:proofErr w:type="spellStart"/>
      <w:r>
        <w:t>Moodie</w:t>
      </w:r>
      <w:proofErr w:type="spellEnd"/>
      <w:r>
        <w:t xml:space="preserve">, M. and </w:t>
      </w:r>
      <w:proofErr w:type="spellStart"/>
      <w:r>
        <w:t>Ananthapavan</w:t>
      </w:r>
      <w:proofErr w:type="spellEnd"/>
      <w:r>
        <w:t xml:space="preserve">, J. (2022). Consumer Willingness to Pay for Healthier Food products: a Systematic Review. </w:t>
      </w:r>
      <w:r>
        <w:rPr>
          <w:i/>
          <w:iCs/>
        </w:rPr>
        <w:t>Obesity Reviews</w:t>
      </w:r>
      <w:r>
        <w:t xml:space="preserve">, [online] 24(1). Available at: </w:t>
      </w:r>
      <w:hyperlink r:id="rId19" w:history="1">
        <w:r w:rsidRPr="00195AB4">
          <w:rPr>
            <w:rStyle w:val="Hyperlink"/>
          </w:rPr>
          <w:t>https://pmc.ncbi.nlm.nih.gov/articles/PMC10909406/</w:t>
        </w:r>
      </w:hyperlink>
      <w:r>
        <w:t>.</w:t>
      </w:r>
    </w:p>
    <w:p w14:paraId="65B9D998" w14:textId="5CB1181B" w:rsidR="00CF1A29" w:rsidRDefault="00CF1A29" w:rsidP="00655EA8">
      <w:pPr>
        <w:spacing w:line="360" w:lineRule="auto"/>
        <w:jc w:val="both"/>
        <w:rPr>
          <w:rFonts w:ascii="Times New Roman" w:hAnsi="Times New Roman" w:cs="Times New Roman"/>
          <w:sz w:val="24"/>
        </w:rPr>
      </w:pPr>
      <w:proofErr w:type="spellStart"/>
      <w:r w:rsidRPr="00046F28">
        <w:rPr>
          <w:rFonts w:ascii="Times New Roman" w:hAnsi="Times New Roman" w:cs="Times New Roman"/>
          <w:sz w:val="24"/>
        </w:rPr>
        <w:t>Ansoff</w:t>
      </w:r>
      <w:proofErr w:type="spellEnd"/>
      <w:r w:rsidRPr="00046F28">
        <w:rPr>
          <w:rFonts w:ascii="Times New Roman" w:hAnsi="Times New Roman" w:cs="Times New Roman"/>
          <w:sz w:val="24"/>
        </w:rPr>
        <w:t>, H.I.</w:t>
      </w:r>
      <w:r w:rsidR="00382FAB">
        <w:rPr>
          <w:rFonts w:ascii="Times New Roman" w:hAnsi="Times New Roman" w:cs="Times New Roman"/>
          <w:sz w:val="24"/>
        </w:rPr>
        <w:t xml:space="preserve"> (</w:t>
      </w:r>
      <w:r w:rsidRPr="00046F28">
        <w:rPr>
          <w:rFonts w:ascii="Times New Roman" w:hAnsi="Times New Roman" w:cs="Times New Roman"/>
          <w:sz w:val="24"/>
        </w:rPr>
        <w:t>1957</w:t>
      </w:r>
      <w:r w:rsidR="00382FAB">
        <w:rPr>
          <w:rFonts w:ascii="Times New Roman" w:hAnsi="Times New Roman" w:cs="Times New Roman"/>
          <w:sz w:val="24"/>
        </w:rPr>
        <w:t>).</w:t>
      </w:r>
      <w:r w:rsidRPr="00046F28">
        <w:rPr>
          <w:rFonts w:ascii="Times New Roman" w:hAnsi="Times New Roman" w:cs="Times New Roman"/>
          <w:sz w:val="24"/>
        </w:rPr>
        <w:t xml:space="preserve"> Strategies for diversification. </w:t>
      </w:r>
      <w:r w:rsidRPr="00046F28">
        <w:rPr>
          <w:rFonts w:ascii="Times New Roman" w:hAnsi="Times New Roman" w:cs="Times New Roman"/>
          <w:i/>
          <w:iCs/>
          <w:sz w:val="24"/>
        </w:rPr>
        <w:t>Harvard business review</w:t>
      </w:r>
      <w:r w:rsidRPr="00046F28">
        <w:rPr>
          <w:rFonts w:ascii="Times New Roman" w:hAnsi="Times New Roman" w:cs="Times New Roman"/>
          <w:sz w:val="24"/>
        </w:rPr>
        <w:t>, </w:t>
      </w:r>
      <w:r w:rsidRPr="00046F28">
        <w:rPr>
          <w:rFonts w:ascii="Times New Roman" w:hAnsi="Times New Roman" w:cs="Times New Roman"/>
          <w:i/>
          <w:iCs/>
          <w:sz w:val="24"/>
        </w:rPr>
        <w:t>35</w:t>
      </w:r>
      <w:r w:rsidRPr="00046F28">
        <w:rPr>
          <w:rFonts w:ascii="Times New Roman" w:hAnsi="Times New Roman" w:cs="Times New Roman"/>
          <w:sz w:val="24"/>
        </w:rPr>
        <w:t>(5), pp.113-124.</w:t>
      </w:r>
    </w:p>
    <w:p w14:paraId="25DD90BC" w14:textId="77777777" w:rsidR="00CF1A29" w:rsidRDefault="00CF1A29" w:rsidP="00655EA8">
      <w:pPr>
        <w:pStyle w:val="NormalWeb"/>
        <w:spacing w:before="0" w:beforeAutospacing="0" w:after="240" w:afterAutospacing="0" w:line="360" w:lineRule="auto"/>
        <w:jc w:val="both"/>
      </w:pPr>
      <w:proofErr w:type="spellStart"/>
      <w:r>
        <w:t>Avramenko</w:t>
      </w:r>
      <w:proofErr w:type="spellEnd"/>
      <w:r>
        <w:t xml:space="preserve">, E. (2020). </w:t>
      </w:r>
      <w:r>
        <w:rPr>
          <w:i/>
          <w:iCs/>
        </w:rPr>
        <w:t>Contribute to a better world = Be a successful company. Sustainability in a shared-economy startup.</w:t>
      </w:r>
      <w:r>
        <w:t xml:space="preserve"> [online] Medium. Available at: https://medium.com/@Anaiska/contribute-to-a-better-world-be-a-successful-company-sustainability-in-a-shared-economy-startup-50cc72f2e37b.</w:t>
      </w:r>
    </w:p>
    <w:p w14:paraId="40064115" w14:textId="77777777" w:rsidR="00CF1A29" w:rsidRDefault="00CF1A29" w:rsidP="00655EA8">
      <w:pPr>
        <w:pStyle w:val="NormalWeb"/>
        <w:spacing w:before="0" w:beforeAutospacing="0" w:after="240" w:afterAutospacing="0" w:line="360" w:lineRule="auto"/>
        <w:jc w:val="both"/>
      </w:pPr>
      <w:r>
        <w:t xml:space="preserve">Barney, J. (1991). Firm Resources and Sustained Competitive Advantage. </w:t>
      </w:r>
      <w:r>
        <w:rPr>
          <w:i/>
          <w:iCs/>
        </w:rPr>
        <w:t>Journal of Management</w:t>
      </w:r>
      <w:r>
        <w:t xml:space="preserve">, 17(1), pp.99–120. </w:t>
      </w:r>
      <w:proofErr w:type="spellStart"/>
      <w:r>
        <w:t>doi:https</w:t>
      </w:r>
      <w:proofErr w:type="spellEnd"/>
      <w:r>
        <w:t>://doi.org/10.1177/014920639101700108.</w:t>
      </w:r>
    </w:p>
    <w:p w14:paraId="4AFB92BA" w14:textId="77777777" w:rsidR="00CF1A29" w:rsidRDefault="00CF1A29" w:rsidP="00655EA8">
      <w:pPr>
        <w:pStyle w:val="NormalWeb"/>
        <w:spacing w:before="0" w:beforeAutospacing="0" w:after="240" w:afterAutospacing="0" w:line="360" w:lineRule="auto"/>
        <w:jc w:val="both"/>
      </w:pPr>
      <w:proofErr w:type="spellStart"/>
      <w:r>
        <w:t>Buntin</w:t>
      </w:r>
      <w:proofErr w:type="spellEnd"/>
      <w:r>
        <w:t xml:space="preserve">, C. (2025). </w:t>
      </w:r>
      <w:r>
        <w:rPr>
          <w:i/>
          <w:iCs/>
        </w:rPr>
        <w:t>How to Do a SWOT Analysis for B2B Brands</w:t>
      </w:r>
      <w:r>
        <w:t>. [online] What Is a SWOT Analysis and How to Do It for Your Business. Available at: https://www.adonis.media/insights/what-is-swot-analysis.</w:t>
      </w:r>
    </w:p>
    <w:p w14:paraId="3038CA14" w14:textId="77777777" w:rsidR="00CF1A29" w:rsidRDefault="00CF1A29" w:rsidP="00655EA8">
      <w:pPr>
        <w:pStyle w:val="NormalWeb"/>
        <w:spacing w:before="0" w:beforeAutospacing="0" w:after="240" w:afterAutospacing="0" w:line="360" w:lineRule="auto"/>
        <w:jc w:val="both"/>
      </w:pPr>
      <w:proofErr w:type="spellStart"/>
      <w:r>
        <w:t>Cuervo-Cazurra</w:t>
      </w:r>
      <w:proofErr w:type="spellEnd"/>
      <w:r>
        <w:t xml:space="preserve">, A. and </w:t>
      </w:r>
      <w:proofErr w:type="spellStart"/>
      <w:r>
        <w:t>Ramamurti</w:t>
      </w:r>
      <w:proofErr w:type="spellEnd"/>
      <w:r>
        <w:t xml:space="preserve">, R. (2017). Home country underdevelopment and internationalization. </w:t>
      </w:r>
      <w:r>
        <w:rPr>
          <w:i/>
          <w:iCs/>
        </w:rPr>
        <w:t>Competitiveness Review</w:t>
      </w:r>
      <w:r>
        <w:t xml:space="preserve">, 27(3), pp.217–230. </w:t>
      </w:r>
      <w:proofErr w:type="spellStart"/>
      <w:r>
        <w:t>doi:https</w:t>
      </w:r>
      <w:proofErr w:type="spellEnd"/>
      <w:r>
        <w:t>://doi.org/10.1108/cr-04-2016-0021.</w:t>
      </w:r>
    </w:p>
    <w:p w14:paraId="0DAD394F" w14:textId="4A9F68B2" w:rsidR="00CF1A29" w:rsidRDefault="00CF1A29" w:rsidP="00655EA8">
      <w:pPr>
        <w:pStyle w:val="NormalWeb"/>
        <w:spacing w:before="0" w:beforeAutospacing="0" w:after="240" w:afterAutospacing="0" w:line="360" w:lineRule="auto"/>
        <w:jc w:val="both"/>
      </w:pPr>
      <w:proofErr w:type="spellStart"/>
      <w:r w:rsidRPr="00E35106">
        <w:t>Elkington</w:t>
      </w:r>
      <w:proofErr w:type="spellEnd"/>
      <w:r w:rsidRPr="00E35106">
        <w:t xml:space="preserve">, J. and Rowlands, I.H. </w:t>
      </w:r>
      <w:r w:rsidR="00666538">
        <w:t>(</w:t>
      </w:r>
      <w:r w:rsidRPr="00E35106">
        <w:t>1999</w:t>
      </w:r>
      <w:r w:rsidR="00666538">
        <w:t>).</w:t>
      </w:r>
      <w:r w:rsidRPr="00E35106">
        <w:t xml:space="preserve"> Cannibals with forks: The triple bottom line of 21st century business. </w:t>
      </w:r>
      <w:r w:rsidRPr="00E35106">
        <w:rPr>
          <w:i/>
          <w:iCs/>
        </w:rPr>
        <w:t>Alternatives Journal</w:t>
      </w:r>
      <w:r w:rsidRPr="00E35106">
        <w:t>, </w:t>
      </w:r>
      <w:r w:rsidRPr="00E35106">
        <w:rPr>
          <w:i/>
          <w:iCs/>
        </w:rPr>
        <w:t>25</w:t>
      </w:r>
      <w:r w:rsidRPr="00E35106">
        <w:t>(4), p.42.</w:t>
      </w:r>
    </w:p>
    <w:p w14:paraId="497C4F96" w14:textId="77777777" w:rsidR="00CF1A29" w:rsidRDefault="00CF1A29" w:rsidP="00655EA8">
      <w:pPr>
        <w:pStyle w:val="NormalWeb"/>
        <w:spacing w:before="0" w:beforeAutospacing="0" w:after="240" w:afterAutospacing="0" w:line="360" w:lineRule="auto"/>
        <w:jc w:val="both"/>
      </w:pPr>
      <w:proofErr w:type="spellStart"/>
      <w:r>
        <w:t>Euromonitor</w:t>
      </w:r>
      <w:proofErr w:type="spellEnd"/>
      <w:r>
        <w:t xml:space="preserve">. (2025). </w:t>
      </w:r>
      <w:r>
        <w:rPr>
          <w:i/>
          <w:iCs/>
        </w:rPr>
        <w:t>Explore reports</w:t>
      </w:r>
      <w:r>
        <w:t xml:space="preserve">. [online] Available at: </w:t>
      </w:r>
      <w:hyperlink r:id="rId20" w:history="1">
        <w:r w:rsidRPr="006D0D9F">
          <w:rPr>
            <w:rStyle w:val="Hyperlink"/>
          </w:rPr>
          <w:t>https://www.euromonitor.com/store/explore-reports/consumer-health/vitamins-and-dietary-supplements</w:t>
        </w:r>
      </w:hyperlink>
      <w:r>
        <w:t>.</w:t>
      </w:r>
    </w:p>
    <w:p w14:paraId="4105F6B3" w14:textId="188F1316" w:rsidR="00CF1A29" w:rsidRDefault="00CF1A29" w:rsidP="00655EA8">
      <w:pPr>
        <w:spacing w:line="360" w:lineRule="auto"/>
        <w:jc w:val="both"/>
        <w:rPr>
          <w:rFonts w:ascii="Times New Roman" w:hAnsi="Times New Roman" w:cs="Times New Roman"/>
          <w:sz w:val="24"/>
        </w:rPr>
      </w:pPr>
      <w:r w:rsidRPr="0087197B">
        <w:rPr>
          <w:rFonts w:ascii="Times New Roman" w:hAnsi="Times New Roman" w:cs="Times New Roman"/>
          <w:sz w:val="24"/>
        </w:rPr>
        <w:t xml:space="preserve">Grand View Research </w:t>
      </w:r>
      <w:r w:rsidR="00666538">
        <w:rPr>
          <w:rFonts w:ascii="Times New Roman" w:hAnsi="Times New Roman" w:cs="Times New Roman"/>
          <w:sz w:val="24"/>
        </w:rPr>
        <w:t>(</w:t>
      </w:r>
      <w:r w:rsidRPr="0087197B">
        <w:rPr>
          <w:rFonts w:ascii="Times New Roman" w:hAnsi="Times New Roman" w:cs="Times New Roman"/>
          <w:sz w:val="24"/>
        </w:rPr>
        <w:t>2025</w:t>
      </w:r>
      <w:r w:rsidR="00666538">
        <w:rPr>
          <w:rFonts w:ascii="Times New Roman" w:hAnsi="Times New Roman" w:cs="Times New Roman"/>
          <w:sz w:val="24"/>
        </w:rPr>
        <w:t>)</w:t>
      </w:r>
      <w:r w:rsidRPr="0087197B">
        <w:rPr>
          <w:rFonts w:ascii="Times New Roman" w:hAnsi="Times New Roman" w:cs="Times New Roman"/>
          <w:sz w:val="24"/>
        </w:rPr>
        <w:t xml:space="preserve">, </w:t>
      </w:r>
      <w:r w:rsidRPr="0087197B">
        <w:rPr>
          <w:rFonts w:ascii="Times New Roman" w:hAnsi="Times New Roman" w:cs="Times New Roman"/>
          <w:i/>
          <w:iCs/>
          <w:sz w:val="24"/>
        </w:rPr>
        <w:t>Vietnam dietary supplements market (2025–2030): Size, share &amp; trends analysis report</w:t>
      </w:r>
      <w:r w:rsidRPr="0087197B">
        <w:rPr>
          <w:rFonts w:ascii="Times New Roman" w:hAnsi="Times New Roman" w:cs="Times New Roman"/>
          <w:sz w:val="24"/>
        </w:rPr>
        <w:t xml:space="preserve">, Grand View Research, viewed 3 December 2025, </w:t>
      </w:r>
      <w:hyperlink r:id="rId21" w:tgtFrame="_new" w:history="1">
        <w:r w:rsidRPr="0087197B">
          <w:rPr>
            <w:rStyle w:val="Hyperlink"/>
            <w:rFonts w:ascii="Times New Roman" w:hAnsi="Times New Roman" w:cs="Times New Roman"/>
            <w:sz w:val="24"/>
          </w:rPr>
          <w:t>https://www.grandviewresearch.com/industry-analysis/vietnam-dietary-supplements-market-report</w:t>
        </w:r>
      </w:hyperlink>
      <w:r w:rsidRPr="0087197B">
        <w:rPr>
          <w:rFonts w:ascii="Times New Roman" w:hAnsi="Times New Roman" w:cs="Times New Roman"/>
          <w:sz w:val="24"/>
        </w:rPr>
        <w:t>.</w:t>
      </w:r>
    </w:p>
    <w:p w14:paraId="1CD5F643" w14:textId="77777777" w:rsidR="00CF1A29" w:rsidRDefault="00CF1A29" w:rsidP="00655EA8">
      <w:pPr>
        <w:pStyle w:val="NormalWeb"/>
        <w:spacing w:before="0" w:beforeAutospacing="0" w:after="240" w:afterAutospacing="0" w:line="360" w:lineRule="auto"/>
        <w:jc w:val="both"/>
      </w:pPr>
      <w:r>
        <w:t xml:space="preserve">Hill, T. and Westbrook, R. (1997). SWOT analysis: It’s Time for a Product Recall. </w:t>
      </w:r>
      <w:r>
        <w:rPr>
          <w:i/>
          <w:iCs/>
        </w:rPr>
        <w:t>Long Range Planning</w:t>
      </w:r>
      <w:r>
        <w:t xml:space="preserve">, 30(1), pp.46–52. </w:t>
      </w:r>
      <w:proofErr w:type="spellStart"/>
      <w:r>
        <w:t>doi:https</w:t>
      </w:r>
      <w:proofErr w:type="spellEnd"/>
      <w:r>
        <w:t>://doi.org/10.1016/s0024-6301(96)00095-7.</w:t>
      </w:r>
    </w:p>
    <w:p w14:paraId="57553BE2" w14:textId="77777777" w:rsidR="00CF1A29" w:rsidRDefault="00CF1A29" w:rsidP="00655EA8">
      <w:pPr>
        <w:spacing w:line="360" w:lineRule="auto"/>
        <w:jc w:val="both"/>
        <w:rPr>
          <w:rFonts w:ascii="Times New Roman" w:hAnsi="Times New Roman" w:cs="Times New Roman"/>
          <w:sz w:val="24"/>
        </w:rPr>
      </w:pPr>
      <w:r w:rsidRPr="0087197B">
        <w:rPr>
          <w:rFonts w:ascii="Times New Roman" w:hAnsi="Times New Roman" w:cs="Times New Roman"/>
          <w:sz w:val="24"/>
        </w:rPr>
        <w:t xml:space="preserve">Holland &amp; Barrett (2025). </w:t>
      </w:r>
      <w:r w:rsidRPr="0087197B">
        <w:rPr>
          <w:rFonts w:ascii="Times New Roman" w:hAnsi="Times New Roman" w:cs="Times New Roman"/>
          <w:i/>
          <w:iCs/>
          <w:sz w:val="24"/>
        </w:rPr>
        <w:t>About Holland &amp; Barrett - Leading Health Food Shop | Health &amp; Wellbeing</w:t>
      </w:r>
      <w:r w:rsidRPr="0087197B">
        <w:rPr>
          <w:rFonts w:ascii="Times New Roman" w:hAnsi="Times New Roman" w:cs="Times New Roman"/>
          <w:sz w:val="24"/>
        </w:rPr>
        <w:t xml:space="preserve">. [online] www.hollandandbarrett.com. Available at: </w:t>
      </w:r>
      <w:hyperlink r:id="rId22" w:history="1">
        <w:r w:rsidRPr="008549A6">
          <w:rPr>
            <w:rStyle w:val="Hyperlink"/>
            <w:rFonts w:ascii="Times New Roman" w:hAnsi="Times New Roman" w:cs="Times New Roman"/>
            <w:sz w:val="24"/>
          </w:rPr>
          <w:t>https://www.hollandandbarrett.com/info/who-we-are/</w:t>
        </w:r>
      </w:hyperlink>
      <w:r w:rsidRPr="0087197B">
        <w:rPr>
          <w:rFonts w:ascii="Times New Roman" w:hAnsi="Times New Roman" w:cs="Times New Roman"/>
          <w:sz w:val="24"/>
        </w:rPr>
        <w:t>.</w:t>
      </w:r>
    </w:p>
    <w:p w14:paraId="7BE73B3E" w14:textId="77777777" w:rsidR="00CF1A29" w:rsidRDefault="00CF1A29" w:rsidP="00655EA8">
      <w:pPr>
        <w:pStyle w:val="NormalWeb"/>
        <w:spacing w:before="0" w:beforeAutospacing="0" w:after="240" w:afterAutospacing="0" w:line="360" w:lineRule="auto"/>
        <w:jc w:val="both"/>
      </w:pPr>
      <w:proofErr w:type="spellStart"/>
      <w:r>
        <w:t>Husna</w:t>
      </w:r>
      <w:proofErr w:type="spellEnd"/>
      <w:r>
        <w:t xml:space="preserve">, F. (2025). </w:t>
      </w:r>
      <w:r>
        <w:rPr>
          <w:i/>
          <w:iCs/>
        </w:rPr>
        <w:t>World Bank Cuts Vietnam’s 2025 Growth Forecast Amid Tariff Pressures</w:t>
      </w:r>
      <w:r>
        <w:t>. [online] Tradingeconomics.com. Available at: https://tradingeconomics.com/vietnam/gdp-growth-annual/news/483530.</w:t>
      </w:r>
    </w:p>
    <w:p w14:paraId="70D8BA2C" w14:textId="79FEEF0C" w:rsidR="00CF1A29" w:rsidRPr="0087197B" w:rsidRDefault="00CF1A29" w:rsidP="00655EA8">
      <w:pPr>
        <w:spacing w:line="360" w:lineRule="auto"/>
        <w:jc w:val="both"/>
        <w:rPr>
          <w:rFonts w:ascii="Times New Roman" w:hAnsi="Times New Roman" w:cs="Times New Roman"/>
          <w:sz w:val="24"/>
        </w:rPr>
      </w:pPr>
      <w:r w:rsidRPr="0087197B">
        <w:rPr>
          <w:rFonts w:ascii="Times New Roman" w:hAnsi="Times New Roman" w:cs="Times New Roman"/>
          <w:sz w:val="24"/>
        </w:rPr>
        <w:t xml:space="preserve">IMARC Group </w:t>
      </w:r>
      <w:r w:rsidR="003147A6">
        <w:rPr>
          <w:rFonts w:ascii="Times New Roman" w:hAnsi="Times New Roman" w:cs="Times New Roman"/>
          <w:sz w:val="24"/>
        </w:rPr>
        <w:t>(</w:t>
      </w:r>
      <w:r w:rsidRPr="0087197B">
        <w:rPr>
          <w:rFonts w:ascii="Times New Roman" w:hAnsi="Times New Roman" w:cs="Times New Roman"/>
          <w:sz w:val="24"/>
        </w:rPr>
        <w:t>2025</w:t>
      </w:r>
      <w:r w:rsidR="0071156C">
        <w:rPr>
          <w:rFonts w:ascii="Times New Roman" w:hAnsi="Times New Roman" w:cs="Times New Roman"/>
          <w:sz w:val="24"/>
        </w:rPr>
        <w:t>)</w:t>
      </w:r>
      <w:r w:rsidRPr="0087197B">
        <w:rPr>
          <w:rFonts w:ascii="Times New Roman" w:hAnsi="Times New Roman" w:cs="Times New Roman"/>
          <w:sz w:val="24"/>
        </w:rPr>
        <w:t xml:space="preserve">, </w:t>
      </w:r>
      <w:r w:rsidRPr="0087197B">
        <w:rPr>
          <w:rFonts w:ascii="Times New Roman" w:hAnsi="Times New Roman" w:cs="Times New Roman"/>
          <w:i/>
          <w:iCs/>
          <w:sz w:val="24"/>
        </w:rPr>
        <w:t>Vietnam health and wellness market report by product type, functionality, and region 2025–2033</w:t>
      </w:r>
      <w:r w:rsidRPr="0087197B">
        <w:rPr>
          <w:rFonts w:ascii="Times New Roman" w:hAnsi="Times New Roman" w:cs="Times New Roman"/>
          <w:sz w:val="24"/>
        </w:rPr>
        <w:t xml:space="preserve">, IMARC Group, viewed 3 December 2025, </w:t>
      </w:r>
      <w:hyperlink r:id="rId23" w:tgtFrame="_new" w:history="1">
        <w:r w:rsidRPr="0087197B">
          <w:rPr>
            <w:rStyle w:val="Hyperlink"/>
            <w:rFonts w:ascii="Times New Roman" w:hAnsi="Times New Roman" w:cs="Times New Roman"/>
            <w:sz w:val="24"/>
          </w:rPr>
          <w:t>https://www.imarcgroup.com/vietnam-health-wellness-market</w:t>
        </w:r>
      </w:hyperlink>
      <w:r w:rsidRPr="0087197B">
        <w:rPr>
          <w:rFonts w:ascii="Times New Roman" w:hAnsi="Times New Roman" w:cs="Times New Roman"/>
          <w:sz w:val="24"/>
        </w:rPr>
        <w:t>.</w:t>
      </w:r>
    </w:p>
    <w:p w14:paraId="456B258B" w14:textId="29DBC09A" w:rsidR="00CF1A29" w:rsidRPr="00222700" w:rsidRDefault="00CF1A29" w:rsidP="00655EA8">
      <w:pPr>
        <w:pStyle w:val="NormalWeb"/>
        <w:spacing w:before="0" w:beforeAutospacing="0" w:after="240" w:afterAutospacing="0" w:line="360" w:lineRule="auto"/>
        <w:jc w:val="both"/>
      </w:pPr>
      <w:proofErr w:type="spellStart"/>
      <w:r w:rsidRPr="00046F28">
        <w:t>Johanson</w:t>
      </w:r>
      <w:proofErr w:type="spellEnd"/>
      <w:r w:rsidRPr="00046F28">
        <w:t xml:space="preserve">, J. and </w:t>
      </w:r>
      <w:proofErr w:type="spellStart"/>
      <w:r w:rsidRPr="00046F28">
        <w:t>Vahlne</w:t>
      </w:r>
      <w:proofErr w:type="spellEnd"/>
      <w:r w:rsidRPr="00046F28">
        <w:t xml:space="preserve">, J.E. </w:t>
      </w:r>
      <w:r w:rsidR="0071156C">
        <w:t>(</w:t>
      </w:r>
      <w:r w:rsidRPr="00046F28">
        <w:t>2015</w:t>
      </w:r>
      <w:r w:rsidR="0071156C">
        <w:t>)</w:t>
      </w:r>
      <w:r w:rsidRPr="00046F28">
        <w:t xml:space="preserve">. The Uppsala internationalization process model revisited: From liability of foreignness to liability of </w:t>
      </w:r>
      <w:proofErr w:type="spellStart"/>
      <w:r w:rsidRPr="00046F28">
        <w:t>outsidership</w:t>
      </w:r>
      <w:proofErr w:type="spellEnd"/>
      <w:r w:rsidRPr="00046F28">
        <w:t>. In </w:t>
      </w:r>
      <w:r w:rsidRPr="00046F28">
        <w:rPr>
          <w:i/>
          <w:iCs/>
        </w:rPr>
        <w:t>International business strategy</w:t>
      </w:r>
      <w:r w:rsidRPr="00046F28">
        <w:t> (pp. 33-59). Routledge.</w:t>
      </w:r>
    </w:p>
    <w:p w14:paraId="3A8C0D34" w14:textId="77777777" w:rsidR="00CF1A29" w:rsidRDefault="00CF1A29" w:rsidP="00655EA8">
      <w:pPr>
        <w:spacing w:line="360" w:lineRule="auto"/>
        <w:jc w:val="both"/>
        <w:rPr>
          <w:rFonts w:ascii="Times New Roman" w:hAnsi="Times New Roman" w:cs="Times New Roman"/>
          <w:sz w:val="24"/>
        </w:rPr>
      </w:pPr>
      <w:r w:rsidRPr="00CF1A29">
        <w:rPr>
          <w:rFonts w:ascii="Times New Roman" w:hAnsi="Times New Roman" w:cs="Times New Roman"/>
          <w:bCs/>
          <w:sz w:val="24"/>
        </w:rPr>
        <w:t xml:space="preserve">Johnson, G., Whittington, R., Scholes, K., </w:t>
      </w:r>
      <w:proofErr w:type="spellStart"/>
      <w:r w:rsidRPr="00CF1A29">
        <w:rPr>
          <w:rFonts w:ascii="Times New Roman" w:hAnsi="Times New Roman" w:cs="Times New Roman"/>
          <w:bCs/>
          <w:sz w:val="24"/>
        </w:rPr>
        <w:t>Angwin</w:t>
      </w:r>
      <w:proofErr w:type="spellEnd"/>
      <w:r w:rsidRPr="00CF1A29">
        <w:rPr>
          <w:rFonts w:ascii="Times New Roman" w:hAnsi="Times New Roman" w:cs="Times New Roman"/>
          <w:bCs/>
          <w:sz w:val="24"/>
        </w:rPr>
        <w:t xml:space="preserve">, D. and </w:t>
      </w:r>
      <w:proofErr w:type="spellStart"/>
      <w:r w:rsidRPr="00CF1A29">
        <w:rPr>
          <w:rFonts w:ascii="Times New Roman" w:hAnsi="Times New Roman" w:cs="Times New Roman"/>
          <w:bCs/>
          <w:sz w:val="24"/>
        </w:rPr>
        <w:t>Regnér</w:t>
      </w:r>
      <w:proofErr w:type="spellEnd"/>
      <w:r w:rsidRPr="00CF1A29">
        <w:rPr>
          <w:rFonts w:ascii="Times New Roman" w:hAnsi="Times New Roman" w:cs="Times New Roman"/>
          <w:bCs/>
          <w:sz w:val="24"/>
        </w:rPr>
        <w:t>, P. (2020)</w:t>
      </w:r>
      <w:r w:rsidRPr="00CF1A29">
        <w:rPr>
          <w:rFonts w:ascii="Times New Roman" w:hAnsi="Times New Roman" w:cs="Times New Roman"/>
          <w:sz w:val="24"/>
        </w:rPr>
        <w:t xml:space="preserve"> </w:t>
      </w:r>
      <w:r w:rsidRPr="00CF1A29">
        <w:rPr>
          <w:rFonts w:ascii="Times New Roman" w:hAnsi="Times New Roman" w:cs="Times New Roman"/>
          <w:i/>
          <w:iCs/>
          <w:sz w:val="24"/>
        </w:rPr>
        <w:t>Exploring Strategy: Text and Cases</w:t>
      </w:r>
      <w:r w:rsidRPr="00CF1A29">
        <w:rPr>
          <w:rFonts w:ascii="Times New Roman" w:hAnsi="Times New Roman" w:cs="Times New Roman"/>
          <w:sz w:val="24"/>
        </w:rPr>
        <w:t xml:space="preserve">. 11th </w:t>
      </w:r>
      <w:proofErr w:type="spellStart"/>
      <w:r w:rsidRPr="00CF1A29">
        <w:rPr>
          <w:rFonts w:ascii="Times New Roman" w:hAnsi="Times New Roman" w:cs="Times New Roman"/>
          <w:sz w:val="24"/>
        </w:rPr>
        <w:t>edn</w:t>
      </w:r>
      <w:proofErr w:type="spellEnd"/>
      <w:r w:rsidRPr="00CF1A29">
        <w:rPr>
          <w:rFonts w:ascii="Times New Roman" w:hAnsi="Times New Roman" w:cs="Times New Roman"/>
          <w:sz w:val="24"/>
        </w:rPr>
        <w:t>. Harlow: Pearson Education.</w:t>
      </w:r>
    </w:p>
    <w:p w14:paraId="29E35736" w14:textId="77777777" w:rsidR="00CF1A29" w:rsidRDefault="00CF1A29" w:rsidP="00655EA8">
      <w:pPr>
        <w:pStyle w:val="NormalWeb"/>
        <w:spacing w:before="0" w:beforeAutospacing="0" w:after="240" w:afterAutospacing="0" w:line="360" w:lineRule="auto"/>
        <w:jc w:val="both"/>
      </w:pPr>
      <w:proofErr w:type="spellStart"/>
      <w:r>
        <w:t>Jurevicius</w:t>
      </w:r>
      <w:proofErr w:type="spellEnd"/>
      <w:r>
        <w:t xml:space="preserve">, O. (2024). </w:t>
      </w:r>
      <w:proofErr w:type="spellStart"/>
      <w:r>
        <w:rPr>
          <w:i/>
          <w:iCs/>
        </w:rPr>
        <w:t>Ansoff</w:t>
      </w:r>
      <w:proofErr w:type="spellEnd"/>
      <w:r>
        <w:rPr>
          <w:i/>
          <w:iCs/>
        </w:rPr>
        <w:t xml:space="preserve"> Matrix Explained - SM Insight</w:t>
      </w:r>
      <w:r>
        <w:t>. [online] Strategic Management Insight. Available at: https://strategicmanagementinsight.com/tools/ansoff-matrix/.</w:t>
      </w:r>
    </w:p>
    <w:p w14:paraId="11958BDC" w14:textId="77777777" w:rsidR="00CF1A29" w:rsidRDefault="00CF1A29" w:rsidP="00655EA8">
      <w:pPr>
        <w:pStyle w:val="NormalWeb"/>
        <w:spacing w:before="0" w:beforeAutospacing="0" w:after="240" w:afterAutospacing="0" w:line="360" w:lineRule="auto"/>
        <w:jc w:val="both"/>
      </w:pPr>
      <w:r w:rsidRPr="007439F3">
        <w:t>Ken Research (2025</w:t>
      </w:r>
      <w:r>
        <w:t>a</w:t>
      </w:r>
      <w:r w:rsidRPr="007439F3">
        <w:t xml:space="preserve">) </w:t>
      </w:r>
      <w:r w:rsidRPr="007439F3">
        <w:rPr>
          <w:i/>
          <w:iCs/>
        </w:rPr>
        <w:t>Vietnam nutritional supplements and wellness market</w:t>
      </w:r>
      <w:r w:rsidRPr="007439F3">
        <w:t xml:space="preserve">. Ken Research Pvt. Ltd. Available at: </w:t>
      </w:r>
      <w:hyperlink r:id="rId24" w:tgtFrame="_new" w:history="1">
        <w:r w:rsidRPr="007439F3">
          <w:rPr>
            <w:rStyle w:val="Hyperlink"/>
          </w:rPr>
          <w:t>https://www.kenresearch.com/vietnam-nutritional-supplements-and-wellness-market</w:t>
        </w:r>
      </w:hyperlink>
      <w:r w:rsidRPr="007439F3">
        <w:t xml:space="preserve"> (Accessed: 13 December 2025).</w:t>
      </w:r>
    </w:p>
    <w:p w14:paraId="31233736" w14:textId="77777777" w:rsidR="00CF1A29" w:rsidRDefault="00CF1A29" w:rsidP="00655EA8">
      <w:pPr>
        <w:pStyle w:val="NormalWeb"/>
        <w:spacing w:before="0" w:beforeAutospacing="0" w:after="240" w:afterAutospacing="0" w:line="360" w:lineRule="auto"/>
        <w:jc w:val="both"/>
      </w:pPr>
      <w:r w:rsidRPr="00262E8A">
        <w:rPr>
          <w:bCs/>
        </w:rPr>
        <w:t>Ken Research (2025b)</w:t>
      </w:r>
      <w:r w:rsidRPr="00A7275B">
        <w:t xml:space="preserve"> </w:t>
      </w:r>
      <w:r w:rsidRPr="00A7275B">
        <w:rPr>
          <w:i/>
          <w:iCs/>
        </w:rPr>
        <w:t>Vietnam payments market.</w:t>
      </w:r>
      <w:r w:rsidRPr="00A7275B">
        <w:t xml:space="preserve"> Ken Research Pvt. Ltd. Available at: </w:t>
      </w:r>
      <w:hyperlink r:id="rId25" w:tgtFrame="_new" w:history="1">
        <w:r w:rsidRPr="00A7275B">
          <w:rPr>
            <w:rStyle w:val="Hyperlink"/>
          </w:rPr>
          <w:t>https://www.kenresearch.com/vietnam-payments-market</w:t>
        </w:r>
      </w:hyperlink>
      <w:r w:rsidRPr="00A7275B">
        <w:t xml:space="preserve"> </w:t>
      </w:r>
    </w:p>
    <w:p w14:paraId="2F09E69D" w14:textId="77777777" w:rsidR="00CF1A29" w:rsidRPr="0087197B" w:rsidRDefault="00CF1A29" w:rsidP="00655EA8">
      <w:pPr>
        <w:spacing w:line="360" w:lineRule="auto"/>
        <w:jc w:val="both"/>
        <w:rPr>
          <w:rFonts w:ascii="Times New Roman" w:hAnsi="Times New Roman" w:cs="Times New Roman"/>
          <w:sz w:val="24"/>
        </w:rPr>
      </w:pPr>
      <w:r w:rsidRPr="002A2808">
        <w:rPr>
          <w:rFonts w:ascii="Times New Roman" w:hAnsi="Times New Roman" w:cs="Times New Roman"/>
          <w:sz w:val="24"/>
        </w:rPr>
        <w:t>Kim, H.W., Park, S.M., Jo, G.H., Kim, S.M. and Park, H.J., 2022. Health Functional Food Market Is the Trend. In </w:t>
      </w:r>
      <w:r w:rsidRPr="002A2808">
        <w:rPr>
          <w:rFonts w:ascii="Times New Roman" w:hAnsi="Times New Roman" w:cs="Times New Roman"/>
          <w:i/>
          <w:iCs/>
          <w:sz w:val="24"/>
        </w:rPr>
        <w:t>Korean Food Systems</w:t>
      </w:r>
      <w:r w:rsidRPr="002A2808">
        <w:rPr>
          <w:rFonts w:ascii="Times New Roman" w:hAnsi="Times New Roman" w:cs="Times New Roman"/>
          <w:sz w:val="24"/>
        </w:rPr>
        <w:t> (pp. 197-219). CRC Press.</w:t>
      </w:r>
    </w:p>
    <w:p w14:paraId="29E0E044" w14:textId="77777777" w:rsidR="00CF1A29" w:rsidRDefault="00CF1A29" w:rsidP="00655EA8">
      <w:pPr>
        <w:pStyle w:val="NormalWeb"/>
        <w:spacing w:before="0" w:beforeAutospacing="0" w:after="240" w:afterAutospacing="0" w:line="360" w:lineRule="auto"/>
        <w:jc w:val="both"/>
      </w:pPr>
      <w:r>
        <w:t xml:space="preserve">Marquis, C. and </w:t>
      </w:r>
      <w:proofErr w:type="spellStart"/>
      <w:r>
        <w:t>Raynard</w:t>
      </w:r>
      <w:proofErr w:type="spellEnd"/>
      <w:r>
        <w:t xml:space="preserve">, M. (2015). Institutional Strategies in Emerging Markets. </w:t>
      </w:r>
      <w:r>
        <w:rPr>
          <w:i/>
          <w:iCs/>
        </w:rPr>
        <w:t>Academy of Management Annals</w:t>
      </w:r>
      <w:r>
        <w:t xml:space="preserve">, 9(1), pp.291–335. </w:t>
      </w:r>
      <w:proofErr w:type="spellStart"/>
      <w:r>
        <w:t>doi:https</w:t>
      </w:r>
      <w:proofErr w:type="spellEnd"/>
      <w:r>
        <w:t>://doi.org/10.5465/19416520.2015.1014661.</w:t>
      </w:r>
    </w:p>
    <w:p w14:paraId="33085244" w14:textId="77777777" w:rsidR="00CF1A29" w:rsidRDefault="00CF1A29" w:rsidP="00655EA8">
      <w:pPr>
        <w:pStyle w:val="NormalWeb"/>
        <w:spacing w:before="0" w:beforeAutospacing="0" w:after="240" w:afterAutospacing="0" w:line="360" w:lineRule="auto"/>
        <w:jc w:val="both"/>
      </w:pPr>
      <w:proofErr w:type="spellStart"/>
      <w:r>
        <w:t>Messineo</w:t>
      </w:r>
      <w:proofErr w:type="spellEnd"/>
      <w:r>
        <w:t xml:space="preserve">, R. (2024). </w:t>
      </w:r>
      <w:r>
        <w:rPr>
          <w:i/>
          <w:iCs/>
        </w:rPr>
        <w:t>VRIO Analysis: The Framework to Identify Competitive Advantages</w:t>
      </w:r>
      <w:r>
        <w:t xml:space="preserve">. [online] </w:t>
      </w:r>
      <w:proofErr w:type="spellStart"/>
      <w:r>
        <w:t>ClearPoint</w:t>
      </w:r>
      <w:proofErr w:type="spellEnd"/>
      <w:r>
        <w:t xml:space="preserve"> Strategy. Available at: https://www.clearpointstrategy.com/blog/vrio-framework.</w:t>
      </w:r>
    </w:p>
    <w:p w14:paraId="6148D211" w14:textId="77777777" w:rsidR="00CF1A29" w:rsidRDefault="00CF1A29" w:rsidP="00655EA8">
      <w:pPr>
        <w:pStyle w:val="NormalWeb"/>
        <w:spacing w:before="0" w:beforeAutospacing="0" w:after="240" w:afterAutospacing="0" w:line="360" w:lineRule="auto"/>
        <w:jc w:val="both"/>
      </w:pPr>
      <w:r>
        <w:t xml:space="preserve">Meyer, K.E., </w:t>
      </w:r>
      <w:proofErr w:type="spellStart"/>
      <w:r>
        <w:t>Mudambi</w:t>
      </w:r>
      <w:proofErr w:type="spellEnd"/>
      <w:r>
        <w:t xml:space="preserve">, R. and </w:t>
      </w:r>
      <w:proofErr w:type="spellStart"/>
      <w:r>
        <w:t>Narula</w:t>
      </w:r>
      <w:proofErr w:type="spellEnd"/>
      <w:r>
        <w:t xml:space="preserve">, R. (2011). Multinational Enterprises and Local Contexts: The Opportunities and Challenges of Multiple </w:t>
      </w:r>
      <w:proofErr w:type="spellStart"/>
      <w:r>
        <w:t>Embeddedness</w:t>
      </w:r>
      <w:proofErr w:type="spellEnd"/>
      <w:r>
        <w:t xml:space="preserve">. </w:t>
      </w:r>
      <w:r>
        <w:rPr>
          <w:i/>
          <w:iCs/>
        </w:rPr>
        <w:t>Journal of Management Studies</w:t>
      </w:r>
      <w:r>
        <w:t xml:space="preserve">, [online] 48(2), pp.235–252. </w:t>
      </w:r>
      <w:proofErr w:type="spellStart"/>
      <w:r>
        <w:t>doi:https</w:t>
      </w:r>
      <w:proofErr w:type="spellEnd"/>
      <w:r>
        <w:t>://doi.org/10.1111/j.1467-6486.2010.00968.x.</w:t>
      </w:r>
    </w:p>
    <w:p w14:paraId="41AFCE70" w14:textId="77777777" w:rsidR="00CF1A29" w:rsidRDefault="00CF1A29" w:rsidP="00655EA8">
      <w:pPr>
        <w:pStyle w:val="NormalWeb"/>
        <w:spacing w:before="0" w:beforeAutospacing="0" w:after="240" w:afterAutospacing="0" w:line="360" w:lineRule="auto"/>
        <w:jc w:val="both"/>
      </w:pPr>
      <w:r>
        <w:t xml:space="preserve">Meyer, K.E., Wright, M. and </w:t>
      </w:r>
      <w:proofErr w:type="spellStart"/>
      <w:r>
        <w:t>Pruthi</w:t>
      </w:r>
      <w:proofErr w:type="spellEnd"/>
      <w:r>
        <w:t xml:space="preserve">, S. (2009). Managing knowledge in foreign entry strategies: a resource-based analysis. </w:t>
      </w:r>
      <w:r>
        <w:rPr>
          <w:i/>
          <w:iCs/>
        </w:rPr>
        <w:t>Strategic Management Journal</w:t>
      </w:r>
      <w:r>
        <w:t xml:space="preserve">, 30(5), pp.557–574. </w:t>
      </w:r>
      <w:proofErr w:type="spellStart"/>
      <w:r>
        <w:t>doi:https</w:t>
      </w:r>
      <w:proofErr w:type="spellEnd"/>
      <w:r>
        <w:t>://doi.org/10.1002/smj.756.</w:t>
      </w:r>
    </w:p>
    <w:p w14:paraId="108F669F" w14:textId="77777777" w:rsidR="00CF1A29" w:rsidRDefault="00CF1A29" w:rsidP="00655EA8">
      <w:pPr>
        <w:pStyle w:val="NormalWeb"/>
        <w:spacing w:before="0" w:beforeAutospacing="0" w:after="240" w:afterAutospacing="0" w:line="360" w:lineRule="auto"/>
        <w:jc w:val="both"/>
      </w:pPr>
      <w:r>
        <w:t xml:space="preserve">Michaud, C., Joly, I., </w:t>
      </w:r>
      <w:proofErr w:type="spellStart"/>
      <w:r>
        <w:t>Llerena</w:t>
      </w:r>
      <w:proofErr w:type="spellEnd"/>
      <w:r>
        <w:t xml:space="preserve">, D. and </w:t>
      </w:r>
      <w:proofErr w:type="spellStart"/>
      <w:r>
        <w:t>Lobasenko</w:t>
      </w:r>
      <w:proofErr w:type="spellEnd"/>
      <w:r>
        <w:t xml:space="preserve">, V. (2017). Consumers’ willingness to pay for sustainable and innovative products: a choice experiment with upgradeable products. </w:t>
      </w:r>
      <w:r>
        <w:rPr>
          <w:i/>
          <w:iCs/>
        </w:rPr>
        <w:t>International Journal of Sustainable Development</w:t>
      </w:r>
      <w:r>
        <w:t xml:space="preserve">, 20(1/2), p.8. </w:t>
      </w:r>
      <w:proofErr w:type="spellStart"/>
      <w:r>
        <w:t>doi:https</w:t>
      </w:r>
      <w:proofErr w:type="spellEnd"/>
      <w:r>
        <w:t>://doi.org/10.1504/ijsd.2017.083493.</w:t>
      </w:r>
    </w:p>
    <w:p w14:paraId="6860A39F" w14:textId="77777777" w:rsidR="00CF1A29" w:rsidRDefault="00CF1A29" w:rsidP="00655EA8">
      <w:pPr>
        <w:pStyle w:val="NormalWeb"/>
        <w:spacing w:before="0" w:beforeAutospacing="0" w:after="240" w:afterAutospacing="0" w:line="360" w:lineRule="auto"/>
        <w:jc w:val="both"/>
      </w:pPr>
      <w:r>
        <w:t xml:space="preserve">Miller, H. (2024). </w:t>
      </w:r>
      <w:r>
        <w:rPr>
          <w:i/>
          <w:iCs/>
        </w:rPr>
        <w:t>Legal framework for foreign investment in Vietnam</w:t>
      </w:r>
      <w:r>
        <w:t xml:space="preserve">. [online] </w:t>
      </w:r>
      <w:proofErr w:type="spellStart"/>
      <w:r>
        <w:t>LuatVietnam</w:t>
      </w:r>
      <w:proofErr w:type="spellEnd"/>
      <w:r>
        <w:t>. Available at: https://english.luatvietnam.vn/legal-news/understanding-the-legal-framework-for-foreign-investment-in-vietnam-4729-100126-article.html.</w:t>
      </w:r>
    </w:p>
    <w:p w14:paraId="5E71FE00" w14:textId="77777777" w:rsidR="00CF1A29" w:rsidRDefault="00CF1A29" w:rsidP="00655EA8">
      <w:pPr>
        <w:pStyle w:val="NormalWeb"/>
        <w:spacing w:before="0" w:beforeAutospacing="0" w:after="240" w:afterAutospacing="0" w:line="360" w:lineRule="auto"/>
        <w:jc w:val="both"/>
      </w:pPr>
      <w:proofErr w:type="spellStart"/>
      <w:r>
        <w:t>Mondal</w:t>
      </w:r>
      <w:proofErr w:type="spellEnd"/>
      <w:r>
        <w:t xml:space="preserve">, K., Menon, B.G. and </w:t>
      </w:r>
      <w:proofErr w:type="spellStart"/>
      <w:r>
        <w:t>Sahadev</w:t>
      </w:r>
      <w:proofErr w:type="spellEnd"/>
      <w:r>
        <w:t xml:space="preserve">, S. (2025). A Model of Triple-Channel Interaction Dynamics in Pharmaceutical Retailing in Emerging Economies. </w:t>
      </w:r>
      <w:proofErr w:type="spellStart"/>
      <w:r>
        <w:rPr>
          <w:i/>
          <w:iCs/>
        </w:rPr>
        <w:t>arXiv</w:t>
      </w:r>
      <w:proofErr w:type="spellEnd"/>
      <w:r>
        <w:rPr>
          <w:i/>
          <w:iCs/>
        </w:rPr>
        <w:t xml:space="preserve"> (Cornell University)</w:t>
      </w:r>
      <w:r>
        <w:t xml:space="preserve">. </w:t>
      </w:r>
      <w:proofErr w:type="spellStart"/>
      <w:r>
        <w:t>doi:https</w:t>
      </w:r>
      <w:proofErr w:type="spellEnd"/>
      <w:r>
        <w:t>://doi.org/10.48550/arxiv.2508.17992.</w:t>
      </w:r>
    </w:p>
    <w:p w14:paraId="562A2DC6" w14:textId="77777777" w:rsidR="00CF1A29" w:rsidRDefault="00CF1A29" w:rsidP="00655EA8">
      <w:pPr>
        <w:pStyle w:val="NormalWeb"/>
        <w:spacing w:before="0" w:beforeAutospacing="0" w:after="240" w:afterAutospacing="0" w:line="360" w:lineRule="auto"/>
        <w:jc w:val="both"/>
      </w:pPr>
      <w:r>
        <w:t xml:space="preserve">Moorman, C., </w:t>
      </w:r>
      <w:proofErr w:type="spellStart"/>
      <w:r>
        <w:t>Heerde</w:t>
      </w:r>
      <w:proofErr w:type="spellEnd"/>
      <w:r>
        <w:t xml:space="preserve">, van, Moreau, C.P. and </w:t>
      </w:r>
      <w:proofErr w:type="spellStart"/>
      <w:r>
        <w:t>Palmatier</w:t>
      </w:r>
      <w:proofErr w:type="spellEnd"/>
      <w:r>
        <w:t xml:space="preserve">, R.W. (2023). Marketing in the Health Care Sector: Disrupted Exchanges and New Research Directions. </w:t>
      </w:r>
      <w:r>
        <w:rPr>
          <w:i/>
          <w:iCs/>
        </w:rPr>
        <w:t>Journal of Marketing</w:t>
      </w:r>
      <w:r>
        <w:t xml:space="preserve">, 88(1), pp.1–14. </w:t>
      </w:r>
      <w:proofErr w:type="spellStart"/>
      <w:r>
        <w:t>doi:https</w:t>
      </w:r>
      <w:proofErr w:type="spellEnd"/>
      <w:r>
        <w:t>://doi.org/10.1177/00222429231213154.</w:t>
      </w:r>
    </w:p>
    <w:p w14:paraId="2B2AF4B9" w14:textId="77777777" w:rsidR="00CF1A29" w:rsidRDefault="00CF1A29" w:rsidP="00655EA8">
      <w:pPr>
        <w:pStyle w:val="NormalWeb"/>
        <w:spacing w:before="0" w:beforeAutospacing="0" w:after="240" w:afterAutospacing="0" w:line="360" w:lineRule="auto"/>
        <w:jc w:val="both"/>
      </w:pPr>
      <w:r>
        <w:t xml:space="preserve">Nguyen, T. and </w:t>
      </w:r>
      <w:proofErr w:type="spellStart"/>
      <w:r>
        <w:t>Dekhili</w:t>
      </w:r>
      <w:proofErr w:type="spellEnd"/>
      <w:r>
        <w:t xml:space="preserve">, S. (2019). Sustainable development in Vietnam: An examination of consumers’ perceptions of green products. </w:t>
      </w:r>
      <w:r>
        <w:rPr>
          <w:i/>
          <w:iCs/>
        </w:rPr>
        <w:t>BUSINESS STRATEGY &amp; DEVELOPMENT</w:t>
      </w:r>
      <w:r>
        <w:t xml:space="preserve">, 2(2), pp.127–136. </w:t>
      </w:r>
      <w:proofErr w:type="spellStart"/>
      <w:r>
        <w:t>doi:https</w:t>
      </w:r>
      <w:proofErr w:type="spellEnd"/>
      <w:r>
        <w:t>://doi.org/10.1002/bsd2.48.</w:t>
      </w:r>
    </w:p>
    <w:p w14:paraId="29FB3759" w14:textId="62A3E735" w:rsidR="00CF1A29" w:rsidRDefault="00CF1A29" w:rsidP="00655EA8">
      <w:pPr>
        <w:pStyle w:val="NormalWeb"/>
        <w:spacing w:before="0" w:beforeAutospacing="0" w:after="240" w:afterAutospacing="0" w:line="360" w:lineRule="auto"/>
        <w:jc w:val="both"/>
      </w:pPr>
      <w:r w:rsidRPr="00E35106">
        <w:t xml:space="preserve">Norton David, P. </w:t>
      </w:r>
      <w:r w:rsidR="0071156C">
        <w:t>(</w:t>
      </w:r>
      <w:r w:rsidRPr="00E35106">
        <w:t>1996</w:t>
      </w:r>
      <w:r w:rsidR="0071156C">
        <w:t>)</w:t>
      </w:r>
      <w:r w:rsidRPr="00E35106">
        <w:t>. </w:t>
      </w:r>
      <w:r w:rsidRPr="00E35106">
        <w:rPr>
          <w:i/>
          <w:iCs/>
        </w:rPr>
        <w:t>The balanced scorecard: translating strategy into action</w:t>
      </w:r>
      <w:r w:rsidRPr="00E35106">
        <w:t>. Harvard Business School Press.</w:t>
      </w:r>
    </w:p>
    <w:p w14:paraId="25871884" w14:textId="77777777" w:rsidR="00CF1A29" w:rsidRDefault="00CF1A29" w:rsidP="00655EA8">
      <w:pPr>
        <w:pStyle w:val="NormalWeb"/>
        <w:spacing w:before="0" w:beforeAutospacing="0" w:after="240" w:afterAutospacing="0" w:line="360" w:lineRule="auto"/>
        <w:jc w:val="both"/>
      </w:pPr>
      <w:r w:rsidRPr="00222700">
        <w:rPr>
          <w:bCs/>
        </w:rPr>
        <w:t>OECD (2025)</w:t>
      </w:r>
      <w:r w:rsidRPr="00222700">
        <w:t xml:space="preserve"> </w:t>
      </w:r>
      <w:r w:rsidRPr="00222700">
        <w:rPr>
          <w:i/>
          <w:iCs/>
        </w:rPr>
        <w:t>Illicit trade.</w:t>
      </w:r>
      <w:r w:rsidRPr="00222700">
        <w:t xml:space="preserve"> </w:t>
      </w:r>
      <w:proofErr w:type="spellStart"/>
      <w:r w:rsidRPr="00222700">
        <w:t>Organisation</w:t>
      </w:r>
      <w:proofErr w:type="spellEnd"/>
      <w:r w:rsidRPr="00222700">
        <w:t xml:space="preserve"> for Economic Co-operation and Development. Available at: </w:t>
      </w:r>
      <w:hyperlink r:id="rId26" w:tgtFrame="_new" w:history="1">
        <w:r w:rsidRPr="00222700">
          <w:rPr>
            <w:rStyle w:val="Hyperlink"/>
          </w:rPr>
          <w:t>https://www.oecd.org/en/topics/policy-issues/illicit-trade.html</w:t>
        </w:r>
      </w:hyperlink>
      <w:r w:rsidRPr="00222700">
        <w:t xml:space="preserve"> (Accessed: </w:t>
      </w:r>
      <w:r w:rsidRPr="00222700">
        <w:rPr>
          <w:bCs/>
        </w:rPr>
        <w:t>13 December 2025</w:t>
      </w:r>
      <w:r w:rsidRPr="00222700">
        <w:t>).</w:t>
      </w:r>
    </w:p>
    <w:p w14:paraId="4AC448DC" w14:textId="77777777" w:rsidR="00CF1A29" w:rsidRDefault="00CF1A29" w:rsidP="00655EA8">
      <w:pPr>
        <w:pStyle w:val="NormalWeb"/>
        <w:spacing w:before="0" w:beforeAutospacing="0" w:after="240" w:afterAutospacing="0" w:line="360" w:lineRule="auto"/>
        <w:jc w:val="both"/>
      </w:pPr>
      <w:proofErr w:type="spellStart"/>
      <w:r>
        <w:t>Perrigot</w:t>
      </w:r>
      <w:proofErr w:type="spellEnd"/>
      <w:r>
        <w:t xml:space="preserve">, R. (2018). Franchising in the healthcare sector: The case of Child and Family Wellness clinics in Kenya. </w:t>
      </w:r>
      <w:r>
        <w:rPr>
          <w:i/>
          <w:iCs/>
        </w:rPr>
        <w:t>Journal of Retailing and Consumer Services</w:t>
      </w:r>
      <w:r>
        <w:t xml:space="preserve">, 41, pp.227–238. </w:t>
      </w:r>
      <w:proofErr w:type="spellStart"/>
      <w:r>
        <w:t>doi:https</w:t>
      </w:r>
      <w:proofErr w:type="spellEnd"/>
      <w:r>
        <w:t>://doi.org/10.1016/j.jretconser.2017.12.012.</w:t>
      </w:r>
    </w:p>
    <w:p w14:paraId="1B9570F9" w14:textId="57CB3045" w:rsidR="00CF1A29" w:rsidRDefault="00CF1A29" w:rsidP="00EE61C7">
      <w:pPr>
        <w:pStyle w:val="NormalWeb"/>
        <w:spacing w:before="0" w:beforeAutospacing="0" w:after="240" w:afterAutospacing="0" w:line="360" w:lineRule="auto"/>
        <w:jc w:val="both"/>
      </w:pPr>
      <w:proofErr w:type="spellStart"/>
      <w:r>
        <w:t>Pione</w:t>
      </w:r>
      <w:proofErr w:type="spellEnd"/>
      <w:r>
        <w:t xml:space="preserve">, A., </w:t>
      </w:r>
      <w:proofErr w:type="spellStart"/>
      <w:r>
        <w:t>Medalsy</w:t>
      </w:r>
      <w:proofErr w:type="spellEnd"/>
      <w:r>
        <w:t xml:space="preserve">, J., Weaver, K., Callaghan, S. and </w:t>
      </w:r>
      <w:proofErr w:type="spellStart"/>
      <w:r>
        <w:t>Rickert</w:t>
      </w:r>
      <w:proofErr w:type="spellEnd"/>
      <w:r>
        <w:t xml:space="preserve">, S. (2025). </w:t>
      </w:r>
      <w:r>
        <w:rPr>
          <w:i/>
          <w:iCs/>
        </w:rPr>
        <w:t>The $2 trillion global wellness market gets a millennial and Gen Z glow-up</w:t>
      </w:r>
      <w:r>
        <w:t>. [online] McKinsey &amp; Company. Available at: https://www.mckinsey.com/industries/consumer-packaged-goods/our-insights/future-of-wellness-trends.</w:t>
      </w:r>
    </w:p>
    <w:p w14:paraId="4F1BC6BD" w14:textId="7ED4D3C3" w:rsidR="00CF1A29" w:rsidRDefault="00CF1A29" w:rsidP="00655EA8">
      <w:pPr>
        <w:pStyle w:val="NormalWeb"/>
        <w:spacing w:before="0" w:beforeAutospacing="0" w:after="240" w:afterAutospacing="0" w:line="360" w:lineRule="auto"/>
        <w:jc w:val="both"/>
      </w:pPr>
      <w:r w:rsidRPr="00CD11DA">
        <w:t xml:space="preserve">Porter, M.E. </w:t>
      </w:r>
      <w:r w:rsidR="00EE61C7">
        <w:t>(</w:t>
      </w:r>
      <w:r w:rsidRPr="00CD11DA">
        <w:t>2011</w:t>
      </w:r>
      <w:r w:rsidR="00EE61C7">
        <w:t>)</w:t>
      </w:r>
      <w:r w:rsidRPr="00CD11DA">
        <w:t>. Kramer., MR (2011). Creating shared value. </w:t>
      </w:r>
      <w:r w:rsidRPr="00CD11DA">
        <w:rPr>
          <w:i/>
          <w:iCs/>
        </w:rPr>
        <w:t>Harvard business review</w:t>
      </w:r>
      <w:r w:rsidRPr="00CD11DA">
        <w:t>, </w:t>
      </w:r>
      <w:r w:rsidRPr="00CD11DA">
        <w:rPr>
          <w:i/>
          <w:iCs/>
        </w:rPr>
        <w:t>89</w:t>
      </w:r>
      <w:r w:rsidRPr="00CD11DA">
        <w:t>(1-2), pp.62-77.</w:t>
      </w:r>
    </w:p>
    <w:p w14:paraId="77A42908" w14:textId="77777777" w:rsidR="00CF1A29" w:rsidRDefault="00CF1A29" w:rsidP="00655EA8">
      <w:pPr>
        <w:pStyle w:val="NormalWeb"/>
        <w:spacing w:before="0" w:beforeAutospacing="0" w:after="240" w:afterAutospacing="0" w:line="360" w:lineRule="auto"/>
        <w:jc w:val="both"/>
      </w:pPr>
      <w:r>
        <w:t xml:space="preserve">PwC (2024). </w:t>
      </w:r>
      <w:r>
        <w:rPr>
          <w:i/>
          <w:iCs/>
        </w:rPr>
        <w:t>Respond, Rethink, Reimagine: Strengthening Consumer Trust in Vietnam</w:t>
      </w:r>
      <w:r>
        <w:t>. [online] Available at: https://www.pwc.com/vn/en/publications/2024/voice-of-consumer-2024.pdf.</w:t>
      </w:r>
    </w:p>
    <w:p w14:paraId="6FC71914" w14:textId="77777777" w:rsidR="00CF1A29" w:rsidRDefault="00CF1A29" w:rsidP="00655EA8">
      <w:pPr>
        <w:pStyle w:val="NormalWeb"/>
        <w:spacing w:before="0" w:beforeAutospacing="0" w:after="240" w:afterAutospacing="0" w:line="360" w:lineRule="auto"/>
        <w:jc w:val="both"/>
      </w:pPr>
      <w:proofErr w:type="spellStart"/>
      <w:r w:rsidRPr="007439F3">
        <w:t>RedFern</w:t>
      </w:r>
      <w:proofErr w:type="spellEnd"/>
      <w:r w:rsidRPr="007439F3">
        <w:t xml:space="preserve"> Digital (2024) </w:t>
      </w:r>
      <w:r w:rsidRPr="007439F3">
        <w:rPr>
          <w:i/>
          <w:iCs/>
        </w:rPr>
        <w:t>Key consumer trends and growth in the health supplements category in Vietnam</w:t>
      </w:r>
      <w:r w:rsidRPr="007439F3">
        <w:t xml:space="preserve">. Available at: </w:t>
      </w:r>
      <w:hyperlink r:id="rId27" w:tgtFrame="_new" w:history="1">
        <w:r w:rsidRPr="007439F3">
          <w:rPr>
            <w:rStyle w:val="Hyperlink"/>
          </w:rPr>
          <w:t>https://redferndigital.asia/key-consumer-trends-and-growth-in-the-health-supplements-category-in-vietnam/</w:t>
        </w:r>
      </w:hyperlink>
      <w:r w:rsidRPr="007439F3">
        <w:t xml:space="preserve"> (Accessed: 13 December 2025).</w:t>
      </w:r>
    </w:p>
    <w:p w14:paraId="441A1A2A" w14:textId="77777777" w:rsidR="00CF1A29" w:rsidRPr="006B15E3" w:rsidRDefault="00CF1A29" w:rsidP="00655EA8">
      <w:pPr>
        <w:pStyle w:val="NormalWeb"/>
        <w:spacing w:before="0" w:beforeAutospacing="0" w:after="240" w:afterAutospacing="0" w:line="360" w:lineRule="auto"/>
        <w:jc w:val="both"/>
      </w:pPr>
      <w:r w:rsidRPr="006B15E3">
        <w:rPr>
          <w:bCs/>
        </w:rPr>
        <w:t>Research and Markets (2025)</w:t>
      </w:r>
      <w:r w:rsidRPr="006B15E3">
        <w:t xml:space="preserve"> </w:t>
      </w:r>
      <w:r w:rsidRPr="006B15E3">
        <w:rPr>
          <w:i/>
          <w:iCs/>
        </w:rPr>
        <w:t>Vietnam nutritional and health foods market.</w:t>
      </w:r>
      <w:r w:rsidRPr="006B15E3">
        <w:t xml:space="preserve"> Research and Markets, published by Ken Research Private Limited. Available at: </w:t>
      </w:r>
      <w:hyperlink r:id="rId28" w:tgtFrame="_new" w:history="1">
        <w:r w:rsidRPr="006B15E3">
          <w:rPr>
            <w:rStyle w:val="Hyperlink"/>
          </w:rPr>
          <w:t>https://www.researchandmarkets.com/reports/6209781/vietnam-nutritional-and-health-foods-market</w:t>
        </w:r>
      </w:hyperlink>
      <w:r w:rsidRPr="006B15E3">
        <w:t xml:space="preserve"> (Accessed: </w:t>
      </w:r>
      <w:r w:rsidRPr="006B15E3">
        <w:rPr>
          <w:bCs/>
        </w:rPr>
        <w:t>13 December 2025</w:t>
      </w:r>
      <w:r w:rsidRPr="006B15E3">
        <w:t>).</w:t>
      </w:r>
    </w:p>
    <w:p w14:paraId="386A8783" w14:textId="77777777" w:rsidR="00CF1A29" w:rsidRDefault="00CF1A29" w:rsidP="00655EA8">
      <w:pPr>
        <w:pStyle w:val="NormalWeb"/>
        <w:spacing w:before="0" w:beforeAutospacing="0" w:after="240" w:afterAutospacing="0" w:line="360" w:lineRule="auto"/>
        <w:jc w:val="both"/>
      </w:pPr>
      <w:r>
        <w:t xml:space="preserve">Robinson, J. (2025). </w:t>
      </w:r>
      <w:r>
        <w:rPr>
          <w:i/>
          <w:iCs/>
        </w:rPr>
        <w:t>Holland &amp; Barrett: Huge losses continue despite sales surge</w:t>
      </w:r>
      <w:r>
        <w:t xml:space="preserve">. [online] City AM. Available at: </w:t>
      </w:r>
      <w:hyperlink r:id="rId29" w:history="1">
        <w:r w:rsidRPr="008549A6">
          <w:rPr>
            <w:rStyle w:val="Hyperlink"/>
          </w:rPr>
          <w:t>https://www.cityam.com/holland-barrett-huge-losses-continue-despite-sales-surge/</w:t>
        </w:r>
      </w:hyperlink>
      <w:r>
        <w:t>.</w:t>
      </w:r>
    </w:p>
    <w:p w14:paraId="69DD86A7" w14:textId="77777777" w:rsidR="00CF1A29" w:rsidRDefault="00CF1A29" w:rsidP="00655EA8">
      <w:pPr>
        <w:pStyle w:val="NormalWeb"/>
        <w:spacing w:before="0" w:beforeAutospacing="0" w:after="240" w:afterAutospacing="0" w:line="360" w:lineRule="auto"/>
        <w:jc w:val="both"/>
      </w:pPr>
      <w:proofErr w:type="spellStart"/>
      <w:r>
        <w:t>Shyamadanthi</w:t>
      </w:r>
      <w:proofErr w:type="spellEnd"/>
      <w:r>
        <w:t xml:space="preserve">, D. (2022). </w:t>
      </w:r>
      <w:r>
        <w:rPr>
          <w:i/>
          <w:iCs/>
        </w:rPr>
        <w:t>Michael Porter’s 3 Generic Strategies Model</w:t>
      </w:r>
      <w:r>
        <w:t>. [online] www.creantho.com. Available at: https://www.creantho.com/michael-porters-generic-strategies.php.</w:t>
      </w:r>
    </w:p>
    <w:p w14:paraId="72839B3E" w14:textId="77777777" w:rsidR="00CF1A29" w:rsidRPr="0087197B" w:rsidRDefault="00CF1A29" w:rsidP="00655EA8">
      <w:pPr>
        <w:pStyle w:val="NormalWeb"/>
        <w:spacing w:before="0" w:beforeAutospacing="0" w:after="240" w:afterAutospacing="0" w:line="360" w:lineRule="auto"/>
        <w:jc w:val="both"/>
      </w:pPr>
      <w:r>
        <w:t xml:space="preserve">Siegel, S. (2024). </w:t>
      </w:r>
      <w:r>
        <w:rPr>
          <w:i/>
          <w:iCs/>
        </w:rPr>
        <w:t>2024 Global Health Care Sector Outlook</w:t>
      </w:r>
      <w:r>
        <w:t>. [online] Deloitte United Kingdom. Available at: https://www.deloitte.com/be/en/Industries/life-sciences-health-care/analysis/global-health-care-outlook.html.</w:t>
      </w:r>
    </w:p>
    <w:p w14:paraId="3DE78CEA" w14:textId="77777777" w:rsidR="00CF1A29" w:rsidRDefault="00CF1A29" w:rsidP="00655EA8">
      <w:pPr>
        <w:pStyle w:val="NormalWeb"/>
        <w:spacing w:before="0" w:beforeAutospacing="0" w:after="240" w:afterAutospacing="0" w:line="360" w:lineRule="auto"/>
        <w:jc w:val="both"/>
      </w:pPr>
      <w:r>
        <w:t xml:space="preserve">The Strategy Institute (2024). </w:t>
      </w:r>
      <w:r>
        <w:rPr>
          <w:i/>
          <w:iCs/>
        </w:rPr>
        <w:t>Porter’s five forces: The ultimate competitive strategy blueprint</w:t>
      </w:r>
      <w:r>
        <w:t xml:space="preserve">. [online] www.thestrategyinstitute.org. Available at: </w:t>
      </w:r>
      <w:hyperlink r:id="rId30" w:history="1">
        <w:r w:rsidRPr="00402AFB">
          <w:rPr>
            <w:rStyle w:val="Hyperlink"/>
          </w:rPr>
          <w:t>https://www.thestrategyinstitute.org/insights/porters-five-forces-the-ultimate-competitive-strategy-blueprint</w:t>
        </w:r>
      </w:hyperlink>
      <w:r>
        <w:t>.</w:t>
      </w:r>
    </w:p>
    <w:p w14:paraId="7715BC5B" w14:textId="77777777" w:rsidR="00CF1A29" w:rsidRDefault="00CF1A29" w:rsidP="00655EA8">
      <w:pPr>
        <w:pStyle w:val="NormalWeb"/>
        <w:spacing w:before="0" w:beforeAutospacing="0" w:after="240" w:afterAutospacing="0" w:line="360" w:lineRule="auto"/>
        <w:jc w:val="both"/>
      </w:pPr>
      <w:r>
        <w:t xml:space="preserve">Trading Economics (2025). </w:t>
      </w:r>
      <w:r>
        <w:rPr>
          <w:i/>
          <w:iCs/>
        </w:rPr>
        <w:t>Vietnam GDP Annual Growth Rate</w:t>
      </w:r>
      <w:r>
        <w:t>. [online] Trading Economics. Available at: https://tradingeconomics.com/vietnam/gdp-growth-annual.</w:t>
      </w:r>
    </w:p>
    <w:p w14:paraId="17E7D69D" w14:textId="77777777" w:rsidR="00CF1A29" w:rsidRDefault="00CF1A29" w:rsidP="00655EA8">
      <w:pPr>
        <w:pStyle w:val="NormalWeb"/>
        <w:spacing w:before="0" w:beforeAutospacing="0" w:after="240" w:afterAutospacing="0" w:line="360" w:lineRule="auto"/>
        <w:jc w:val="both"/>
      </w:pPr>
      <w:r>
        <w:t xml:space="preserve">Vietnam Briefing (2025). </w:t>
      </w:r>
      <w:r>
        <w:rPr>
          <w:i/>
          <w:iCs/>
        </w:rPr>
        <w:t>Vietnam E-Commerce Sector Outlook: Key Growth Trends</w:t>
      </w:r>
      <w:r>
        <w:t xml:space="preserve">. [online] Vietnam Briefing News. Available at: </w:t>
      </w:r>
      <w:hyperlink r:id="rId31" w:history="1">
        <w:r w:rsidRPr="006D0D9F">
          <w:rPr>
            <w:rStyle w:val="Hyperlink"/>
          </w:rPr>
          <w:t>https://www.vietnam-briefing.com/news/vietnams-e-commerce-sector-outlook-in-2026.html/</w:t>
        </w:r>
      </w:hyperlink>
      <w:r>
        <w:t>.</w:t>
      </w:r>
    </w:p>
    <w:sectPr w:rsidR="00CF1A29" w:rsidSect="007C0ACF">
      <w:footerReference w:type="defaul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88B48" w14:textId="77777777" w:rsidR="005F46E2" w:rsidRDefault="005F46E2" w:rsidP="0087197B">
      <w:pPr>
        <w:spacing w:after="0" w:line="240" w:lineRule="auto"/>
      </w:pPr>
      <w:r>
        <w:separator/>
      </w:r>
    </w:p>
  </w:endnote>
  <w:endnote w:type="continuationSeparator" w:id="0">
    <w:p w14:paraId="7F14804F" w14:textId="77777777" w:rsidR="005F46E2" w:rsidRDefault="005F46E2" w:rsidP="00871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994666"/>
      <w:docPartObj>
        <w:docPartGallery w:val="Page Numbers (Bottom of Page)"/>
        <w:docPartUnique/>
      </w:docPartObj>
    </w:sdtPr>
    <w:sdtEndPr>
      <w:rPr>
        <w:color w:val="7F7F7F" w:themeColor="background1" w:themeShade="7F"/>
        <w:spacing w:val="60"/>
      </w:rPr>
    </w:sdtEndPr>
    <w:sdtContent>
      <w:p w14:paraId="5DDB3D54" w14:textId="77777777" w:rsidR="00AA382C" w:rsidRDefault="00AA382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F1A29" w:rsidRPr="00CF1A29">
          <w:rPr>
            <w:b/>
            <w:bCs/>
            <w:noProof/>
          </w:rPr>
          <w:t>20</w:t>
        </w:r>
        <w:r>
          <w:rPr>
            <w:b/>
            <w:bCs/>
            <w:noProof/>
          </w:rPr>
          <w:fldChar w:fldCharType="end"/>
        </w:r>
        <w:r>
          <w:rPr>
            <w:b/>
            <w:bCs/>
          </w:rPr>
          <w:t xml:space="preserve"> | </w:t>
        </w:r>
        <w:r>
          <w:rPr>
            <w:color w:val="7F7F7F" w:themeColor="background1" w:themeShade="7F"/>
            <w:spacing w:val="60"/>
          </w:rPr>
          <w:t>Page</w:t>
        </w:r>
      </w:p>
    </w:sdtContent>
  </w:sdt>
  <w:p w14:paraId="3ECCB993" w14:textId="77777777" w:rsidR="00AA382C" w:rsidRDefault="00AA3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1EF91" w14:textId="77777777" w:rsidR="005F46E2" w:rsidRDefault="005F46E2" w:rsidP="0087197B">
      <w:pPr>
        <w:spacing w:after="0" w:line="240" w:lineRule="auto"/>
      </w:pPr>
      <w:r>
        <w:separator/>
      </w:r>
    </w:p>
  </w:footnote>
  <w:footnote w:type="continuationSeparator" w:id="0">
    <w:p w14:paraId="0E199298" w14:textId="77777777" w:rsidR="005F46E2" w:rsidRDefault="005F46E2" w:rsidP="008719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36C21"/>
    <w:multiLevelType w:val="multilevel"/>
    <w:tmpl w:val="D3C00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F26F4A"/>
    <w:multiLevelType w:val="multilevel"/>
    <w:tmpl w:val="64DA7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B412FE"/>
    <w:multiLevelType w:val="multilevel"/>
    <w:tmpl w:val="80D60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C9505C"/>
    <w:multiLevelType w:val="multilevel"/>
    <w:tmpl w:val="5E484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1F2E22"/>
    <w:multiLevelType w:val="multilevel"/>
    <w:tmpl w:val="0882A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8160515">
    <w:abstractNumId w:val="1"/>
  </w:num>
  <w:num w:numId="2" w16cid:durableId="1731035129">
    <w:abstractNumId w:val="4"/>
  </w:num>
  <w:num w:numId="3" w16cid:durableId="2131632301">
    <w:abstractNumId w:val="0"/>
  </w:num>
  <w:num w:numId="4" w16cid:durableId="355041224">
    <w:abstractNumId w:val="3"/>
  </w:num>
  <w:num w:numId="5" w16cid:durableId="3826798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197B"/>
    <w:rsid w:val="00036B93"/>
    <w:rsid w:val="00046F28"/>
    <w:rsid w:val="00062B78"/>
    <w:rsid w:val="0008251F"/>
    <w:rsid w:val="000907D3"/>
    <w:rsid w:val="000A2752"/>
    <w:rsid w:val="000A7F3B"/>
    <w:rsid w:val="001C21F5"/>
    <w:rsid w:val="002072BC"/>
    <w:rsid w:val="00222700"/>
    <w:rsid w:val="00231722"/>
    <w:rsid w:val="0025348E"/>
    <w:rsid w:val="0025532A"/>
    <w:rsid w:val="00262E8A"/>
    <w:rsid w:val="002A2808"/>
    <w:rsid w:val="002C25C1"/>
    <w:rsid w:val="002D273C"/>
    <w:rsid w:val="003147A6"/>
    <w:rsid w:val="00347CDD"/>
    <w:rsid w:val="00362560"/>
    <w:rsid w:val="00365D83"/>
    <w:rsid w:val="00382FAB"/>
    <w:rsid w:val="003E20F9"/>
    <w:rsid w:val="003E7E98"/>
    <w:rsid w:val="00426603"/>
    <w:rsid w:val="0043631F"/>
    <w:rsid w:val="004576CF"/>
    <w:rsid w:val="004940E9"/>
    <w:rsid w:val="004C24CB"/>
    <w:rsid w:val="004E7F87"/>
    <w:rsid w:val="005017BD"/>
    <w:rsid w:val="0053781B"/>
    <w:rsid w:val="00572653"/>
    <w:rsid w:val="005811BF"/>
    <w:rsid w:val="00593701"/>
    <w:rsid w:val="005B000A"/>
    <w:rsid w:val="005C47E1"/>
    <w:rsid w:val="005F46E2"/>
    <w:rsid w:val="006013C0"/>
    <w:rsid w:val="00607F4E"/>
    <w:rsid w:val="006346C3"/>
    <w:rsid w:val="00655EA8"/>
    <w:rsid w:val="0065767A"/>
    <w:rsid w:val="00666538"/>
    <w:rsid w:val="00667E5D"/>
    <w:rsid w:val="00683A94"/>
    <w:rsid w:val="006B15E3"/>
    <w:rsid w:val="0071156C"/>
    <w:rsid w:val="007439F3"/>
    <w:rsid w:val="00772608"/>
    <w:rsid w:val="007C0ACF"/>
    <w:rsid w:val="007E25F0"/>
    <w:rsid w:val="007F1458"/>
    <w:rsid w:val="00800483"/>
    <w:rsid w:val="00804221"/>
    <w:rsid w:val="008451DE"/>
    <w:rsid w:val="008473A3"/>
    <w:rsid w:val="0087197B"/>
    <w:rsid w:val="00966911"/>
    <w:rsid w:val="00973FEF"/>
    <w:rsid w:val="009C630D"/>
    <w:rsid w:val="009D62CE"/>
    <w:rsid w:val="009E2FAF"/>
    <w:rsid w:val="009F0C01"/>
    <w:rsid w:val="00A30C93"/>
    <w:rsid w:val="00A7275B"/>
    <w:rsid w:val="00A83270"/>
    <w:rsid w:val="00A959EC"/>
    <w:rsid w:val="00A96E73"/>
    <w:rsid w:val="00AA382C"/>
    <w:rsid w:val="00AD0467"/>
    <w:rsid w:val="00B1038E"/>
    <w:rsid w:val="00B71E30"/>
    <w:rsid w:val="00B91770"/>
    <w:rsid w:val="00BB2141"/>
    <w:rsid w:val="00BC519E"/>
    <w:rsid w:val="00C96E2D"/>
    <w:rsid w:val="00CA3398"/>
    <w:rsid w:val="00CD0C1B"/>
    <w:rsid w:val="00CD11DA"/>
    <w:rsid w:val="00CF1A29"/>
    <w:rsid w:val="00CF62BE"/>
    <w:rsid w:val="00D1299C"/>
    <w:rsid w:val="00DD5482"/>
    <w:rsid w:val="00E1445B"/>
    <w:rsid w:val="00E167BB"/>
    <w:rsid w:val="00E35106"/>
    <w:rsid w:val="00E622C3"/>
    <w:rsid w:val="00EE61C7"/>
    <w:rsid w:val="00F60D2C"/>
    <w:rsid w:val="00FA3153"/>
    <w:rsid w:val="00FA56A8"/>
    <w:rsid w:val="00FA77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9B48C"/>
  <w15:chartTrackingRefBased/>
  <w15:docId w15:val="{C05C424D-D7CD-4916-AB04-4FDA3DF0C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808"/>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2A2808"/>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semiHidden/>
    <w:unhideWhenUsed/>
    <w:qFormat/>
    <w:rsid w:val="00E622C3"/>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19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197B"/>
  </w:style>
  <w:style w:type="paragraph" w:styleId="Footer">
    <w:name w:val="footer"/>
    <w:basedOn w:val="Normal"/>
    <w:link w:val="FooterChar"/>
    <w:uiPriority w:val="99"/>
    <w:unhideWhenUsed/>
    <w:rsid w:val="008719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197B"/>
  </w:style>
  <w:style w:type="character" w:styleId="Hyperlink">
    <w:name w:val="Hyperlink"/>
    <w:basedOn w:val="DefaultParagraphFont"/>
    <w:uiPriority w:val="99"/>
    <w:unhideWhenUsed/>
    <w:rsid w:val="0087197B"/>
    <w:rPr>
      <w:color w:val="0563C1" w:themeColor="hyperlink"/>
      <w:u w:val="single"/>
    </w:rPr>
  </w:style>
  <w:style w:type="character" w:customStyle="1" w:styleId="Heading1Char">
    <w:name w:val="Heading 1 Char"/>
    <w:basedOn w:val="DefaultParagraphFont"/>
    <w:link w:val="Heading1"/>
    <w:uiPriority w:val="9"/>
    <w:rsid w:val="002A280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A2808"/>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2A280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E622C3"/>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262E8A"/>
    <w:pPr>
      <w:ind w:left="720"/>
      <w:contextualSpacing/>
    </w:pPr>
  </w:style>
  <w:style w:type="paragraph" w:styleId="Caption">
    <w:name w:val="caption"/>
    <w:basedOn w:val="Normal"/>
    <w:next w:val="Normal"/>
    <w:uiPriority w:val="35"/>
    <w:unhideWhenUsed/>
    <w:qFormat/>
    <w:rsid w:val="007C0ACF"/>
    <w:pPr>
      <w:spacing w:after="200" w:line="240" w:lineRule="auto"/>
    </w:pPr>
    <w:rPr>
      <w:i/>
      <w:iCs/>
      <w:color w:val="44546A" w:themeColor="text2"/>
      <w:sz w:val="18"/>
      <w:szCs w:val="18"/>
    </w:rPr>
  </w:style>
  <w:style w:type="paragraph" w:styleId="NoSpacing">
    <w:name w:val="No Spacing"/>
    <w:link w:val="NoSpacingChar"/>
    <w:uiPriority w:val="1"/>
    <w:qFormat/>
    <w:rsid w:val="007C0ACF"/>
    <w:pPr>
      <w:spacing w:after="0" w:line="240" w:lineRule="auto"/>
    </w:pPr>
    <w:rPr>
      <w:rFonts w:eastAsiaTheme="minorEastAsia"/>
    </w:rPr>
  </w:style>
  <w:style w:type="character" w:customStyle="1" w:styleId="NoSpacingChar">
    <w:name w:val="No Spacing Char"/>
    <w:basedOn w:val="DefaultParagraphFont"/>
    <w:link w:val="NoSpacing"/>
    <w:uiPriority w:val="1"/>
    <w:rsid w:val="007C0ACF"/>
    <w:rPr>
      <w:rFonts w:eastAsiaTheme="minorEastAsia"/>
    </w:rPr>
  </w:style>
  <w:style w:type="paragraph" w:styleId="TOCHeading">
    <w:name w:val="TOC Heading"/>
    <w:basedOn w:val="Heading1"/>
    <w:next w:val="Normal"/>
    <w:uiPriority w:val="39"/>
    <w:unhideWhenUsed/>
    <w:qFormat/>
    <w:rsid w:val="007C0ACF"/>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C0ACF"/>
    <w:pPr>
      <w:spacing w:after="100"/>
    </w:pPr>
  </w:style>
  <w:style w:type="paragraph" w:styleId="TOC2">
    <w:name w:val="toc 2"/>
    <w:basedOn w:val="Normal"/>
    <w:next w:val="Normal"/>
    <w:autoRedefine/>
    <w:uiPriority w:val="39"/>
    <w:unhideWhenUsed/>
    <w:rsid w:val="007C0ACF"/>
    <w:pPr>
      <w:spacing w:after="100"/>
      <w:ind w:left="220"/>
    </w:pPr>
  </w:style>
  <w:style w:type="paragraph" w:styleId="TableofFigures">
    <w:name w:val="table of figures"/>
    <w:basedOn w:val="Normal"/>
    <w:next w:val="Normal"/>
    <w:uiPriority w:val="99"/>
    <w:unhideWhenUsed/>
    <w:rsid w:val="007C0ACF"/>
    <w:pPr>
      <w:spacing w:after="0"/>
    </w:pPr>
  </w:style>
  <w:style w:type="character" w:styleId="FollowedHyperlink">
    <w:name w:val="FollowedHyperlink"/>
    <w:basedOn w:val="DefaultParagraphFont"/>
    <w:uiPriority w:val="99"/>
    <w:semiHidden/>
    <w:unhideWhenUsed/>
    <w:rsid w:val="00036B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1320">
      <w:bodyDiv w:val="1"/>
      <w:marLeft w:val="0"/>
      <w:marRight w:val="0"/>
      <w:marTop w:val="0"/>
      <w:marBottom w:val="0"/>
      <w:divBdr>
        <w:top w:val="none" w:sz="0" w:space="0" w:color="auto"/>
        <w:left w:val="none" w:sz="0" w:space="0" w:color="auto"/>
        <w:bottom w:val="none" w:sz="0" w:space="0" w:color="auto"/>
        <w:right w:val="none" w:sz="0" w:space="0" w:color="auto"/>
      </w:divBdr>
    </w:div>
    <w:div w:id="49813346">
      <w:bodyDiv w:val="1"/>
      <w:marLeft w:val="0"/>
      <w:marRight w:val="0"/>
      <w:marTop w:val="0"/>
      <w:marBottom w:val="0"/>
      <w:divBdr>
        <w:top w:val="none" w:sz="0" w:space="0" w:color="auto"/>
        <w:left w:val="none" w:sz="0" w:space="0" w:color="auto"/>
        <w:bottom w:val="none" w:sz="0" w:space="0" w:color="auto"/>
        <w:right w:val="none" w:sz="0" w:space="0" w:color="auto"/>
      </w:divBdr>
    </w:div>
    <w:div w:id="58216441">
      <w:bodyDiv w:val="1"/>
      <w:marLeft w:val="0"/>
      <w:marRight w:val="0"/>
      <w:marTop w:val="0"/>
      <w:marBottom w:val="0"/>
      <w:divBdr>
        <w:top w:val="none" w:sz="0" w:space="0" w:color="auto"/>
        <w:left w:val="none" w:sz="0" w:space="0" w:color="auto"/>
        <w:bottom w:val="none" w:sz="0" w:space="0" w:color="auto"/>
        <w:right w:val="none" w:sz="0" w:space="0" w:color="auto"/>
      </w:divBdr>
    </w:div>
    <w:div w:id="70322592">
      <w:bodyDiv w:val="1"/>
      <w:marLeft w:val="0"/>
      <w:marRight w:val="0"/>
      <w:marTop w:val="0"/>
      <w:marBottom w:val="0"/>
      <w:divBdr>
        <w:top w:val="none" w:sz="0" w:space="0" w:color="auto"/>
        <w:left w:val="none" w:sz="0" w:space="0" w:color="auto"/>
        <w:bottom w:val="none" w:sz="0" w:space="0" w:color="auto"/>
        <w:right w:val="none" w:sz="0" w:space="0" w:color="auto"/>
      </w:divBdr>
    </w:div>
    <w:div w:id="79523547">
      <w:bodyDiv w:val="1"/>
      <w:marLeft w:val="0"/>
      <w:marRight w:val="0"/>
      <w:marTop w:val="0"/>
      <w:marBottom w:val="0"/>
      <w:divBdr>
        <w:top w:val="none" w:sz="0" w:space="0" w:color="auto"/>
        <w:left w:val="none" w:sz="0" w:space="0" w:color="auto"/>
        <w:bottom w:val="none" w:sz="0" w:space="0" w:color="auto"/>
        <w:right w:val="none" w:sz="0" w:space="0" w:color="auto"/>
      </w:divBdr>
    </w:div>
    <w:div w:id="86848949">
      <w:bodyDiv w:val="1"/>
      <w:marLeft w:val="0"/>
      <w:marRight w:val="0"/>
      <w:marTop w:val="0"/>
      <w:marBottom w:val="0"/>
      <w:divBdr>
        <w:top w:val="none" w:sz="0" w:space="0" w:color="auto"/>
        <w:left w:val="none" w:sz="0" w:space="0" w:color="auto"/>
        <w:bottom w:val="none" w:sz="0" w:space="0" w:color="auto"/>
        <w:right w:val="none" w:sz="0" w:space="0" w:color="auto"/>
      </w:divBdr>
    </w:div>
    <w:div w:id="88622272">
      <w:bodyDiv w:val="1"/>
      <w:marLeft w:val="0"/>
      <w:marRight w:val="0"/>
      <w:marTop w:val="0"/>
      <w:marBottom w:val="0"/>
      <w:divBdr>
        <w:top w:val="none" w:sz="0" w:space="0" w:color="auto"/>
        <w:left w:val="none" w:sz="0" w:space="0" w:color="auto"/>
        <w:bottom w:val="none" w:sz="0" w:space="0" w:color="auto"/>
        <w:right w:val="none" w:sz="0" w:space="0" w:color="auto"/>
      </w:divBdr>
    </w:div>
    <w:div w:id="102264912">
      <w:bodyDiv w:val="1"/>
      <w:marLeft w:val="0"/>
      <w:marRight w:val="0"/>
      <w:marTop w:val="0"/>
      <w:marBottom w:val="0"/>
      <w:divBdr>
        <w:top w:val="none" w:sz="0" w:space="0" w:color="auto"/>
        <w:left w:val="none" w:sz="0" w:space="0" w:color="auto"/>
        <w:bottom w:val="none" w:sz="0" w:space="0" w:color="auto"/>
        <w:right w:val="none" w:sz="0" w:space="0" w:color="auto"/>
      </w:divBdr>
      <w:divsChild>
        <w:div w:id="158086395">
          <w:marLeft w:val="0"/>
          <w:marRight w:val="0"/>
          <w:marTop w:val="0"/>
          <w:marBottom w:val="0"/>
          <w:divBdr>
            <w:top w:val="none" w:sz="0" w:space="0" w:color="auto"/>
            <w:left w:val="none" w:sz="0" w:space="0" w:color="auto"/>
            <w:bottom w:val="none" w:sz="0" w:space="0" w:color="auto"/>
            <w:right w:val="none" w:sz="0" w:space="0" w:color="auto"/>
          </w:divBdr>
          <w:divsChild>
            <w:div w:id="23480542">
              <w:marLeft w:val="0"/>
              <w:marRight w:val="0"/>
              <w:marTop w:val="0"/>
              <w:marBottom w:val="0"/>
              <w:divBdr>
                <w:top w:val="none" w:sz="0" w:space="0" w:color="auto"/>
                <w:left w:val="none" w:sz="0" w:space="0" w:color="auto"/>
                <w:bottom w:val="none" w:sz="0" w:space="0" w:color="auto"/>
                <w:right w:val="none" w:sz="0" w:space="0" w:color="auto"/>
              </w:divBdr>
              <w:divsChild>
                <w:div w:id="824277230">
                  <w:marLeft w:val="0"/>
                  <w:marRight w:val="0"/>
                  <w:marTop w:val="0"/>
                  <w:marBottom w:val="0"/>
                  <w:divBdr>
                    <w:top w:val="none" w:sz="0" w:space="0" w:color="auto"/>
                    <w:left w:val="none" w:sz="0" w:space="0" w:color="auto"/>
                    <w:bottom w:val="none" w:sz="0" w:space="0" w:color="auto"/>
                    <w:right w:val="none" w:sz="0" w:space="0" w:color="auto"/>
                  </w:divBdr>
                  <w:divsChild>
                    <w:div w:id="121113956">
                      <w:marLeft w:val="0"/>
                      <w:marRight w:val="0"/>
                      <w:marTop w:val="0"/>
                      <w:marBottom w:val="0"/>
                      <w:divBdr>
                        <w:top w:val="none" w:sz="0" w:space="0" w:color="auto"/>
                        <w:left w:val="none" w:sz="0" w:space="0" w:color="auto"/>
                        <w:bottom w:val="none" w:sz="0" w:space="0" w:color="auto"/>
                        <w:right w:val="none" w:sz="0" w:space="0" w:color="auto"/>
                      </w:divBdr>
                      <w:divsChild>
                        <w:div w:id="1763526738">
                          <w:marLeft w:val="0"/>
                          <w:marRight w:val="0"/>
                          <w:marTop w:val="0"/>
                          <w:marBottom w:val="0"/>
                          <w:divBdr>
                            <w:top w:val="none" w:sz="0" w:space="0" w:color="auto"/>
                            <w:left w:val="none" w:sz="0" w:space="0" w:color="auto"/>
                            <w:bottom w:val="none" w:sz="0" w:space="0" w:color="auto"/>
                            <w:right w:val="none" w:sz="0" w:space="0" w:color="auto"/>
                          </w:divBdr>
                          <w:divsChild>
                            <w:div w:id="268394549">
                              <w:marLeft w:val="0"/>
                              <w:marRight w:val="0"/>
                              <w:marTop w:val="0"/>
                              <w:marBottom w:val="0"/>
                              <w:divBdr>
                                <w:top w:val="none" w:sz="0" w:space="0" w:color="auto"/>
                                <w:left w:val="none" w:sz="0" w:space="0" w:color="auto"/>
                                <w:bottom w:val="none" w:sz="0" w:space="0" w:color="auto"/>
                                <w:right w:val="none" w:sz="0" w:space="0" w:color="auto"/>
                              </w:divBdr>
                              <w:divsChild>
                                <w:div w:id="180631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85697">
      <w:bodyDiv w:val="1"/>
      <w:marLeft w:val="0"/>
      <w:marRight w:val="0"/>
      <w:marTop w:val="0"/>
      <w:marBottom w:val="0"/>
      <w:divBdr>
        <w:top w:val="none" w:sz="0" w:space="0" w:color="auto"/>
        <w:left w:val="none" w:sz="0" w:space="0" w:color="auto"/>
        <w:bottom w:val="none" w:sz="0" w:space="0" w:color="auto"/>
        <w:right w:val="none" w:sz="0" w:space="0" w:color="auto"/>
      </w:divBdr>
    </w:div>
    <w:div w:id="207425467">
      <w:bodyDiv w:val="1"/>
      <w:marLeft w:val="0"/>
      <w:marRight w:val="0"/>
      <w:marTop w:val="0"/>
      <w:marBottom w:val="0"/>
      <w:divBdr>
        <w:top w:val="none" w:sz="0" w:space="0" w:color="auto"/>
        <w:left w:val="none" w:sz="0" w:space="0" w:color="auto"/>
        <w:bottom w:val="none" w:sz="0" w:space="0" w:color="auto"/>
        <w:right w:val="none" w:sz="0" w:space="0" w:color="auto"/>
      </w:divBdr>
    </w:div>
    <w:div w:id="210582404">
      <w:bodyDiv w:val="1"/>
      <w:marLeft w:val="0"/>
      <w:marRight w:val="0"/>
      <w:marTop w:val="0"/>
      <w:marBottom w:val="0"/>
      <w:divBdr>
        <w:top w:val="none" w:sz="0" w:space="0" w:color="auto"/>
        <w:left w:val="none" w:sz="0" w:space="0" w:color="auto"/>
        <w:bottom w:val="none" w:sz="0" w:space="0" w:color="auto"/>
        <w:right w:val="none" w:sz="0" w:space="0" w:color="auto"/>
      </w:divBdr>
    </w:div>
    <w:div w:id="214972161">
      <w:bodyDiv w:val="1"/>
      <w:marLeft w:val="0"/>
      <w:marRight w:val="0"/>
      <w:marTop w:val="0"/>
      <w:marBottom w:val="0"/>
      <w:divBdr>
        <w:top w:val="none" w:sz="0" w:space="0" w:color="auto"/>
        <w:left w:val="none" w:sz="0" w:space="0" w:color="auto"/>
        <w:bottom w:val="none" w:sz="0" w:space="0" w:color="auto"/>
        <w:right w:val="none" w:sz="0" w:space="0" w:color="auto"/>
      </w:divBdr>
    </w:div>
    <w:div w:id="229928442">
      <w:bodyDiv w:val="1"/>
      <w:marLeft w:val="0"/>
      <w:marRight w:val="0"/>
      <w:marTop w:val="0"/>
      <w:marBottom w:val="0"/>
      <w:divBdr>
        <w:top w:val="none" w:sz="0" w:space="0" w:color="auto"/>
        <w:left w:val="none" w:sz="0" w:space="0" w:color="auto"/>
        <w:bottom w:val="none" w:sz="0" w:space="0" w:color="auto"/>
        <w:right w:val="none" w:sz="0" w:space="0" w:color="auto"/>
      </w:divBdr>
    </w:div>
    <w:div w:id="232399508">
      <w:bodyDiv w:val="1"/>
      <w:marLeft w:val="0"/>
      <w:marRight w:val="0"/>
      <w:marTop w:val="0"/>
      <w:marBottom w:val="0"/>
      <w:divBdr>
        <w:top w:val="none" w:sz="0" w:space="0" w:color="auto"/>
        <w:left w:val="none" w:sz="0" w:space="0" w:color="auto"/>
        <w:bottom w:val="none" w:sz="0" w:space="0" w:color="auto"/>
        <w:right w:val="none" w:sz="0" w:space="0" w:color="auto"/>
      </w:divBdr>
    </w:div>
    <w:div w:id="295456410">
      <w:bodyDiv w:val="1"/>
      <w:marLeft w:val="0"/>
      <w:marRight w:val="0"/>
      <w:marTop w:val="0"/>
      <w:marBottom w:val="0"/>
      <w:divBdr>
        <w:top w:val="none" w:sz="0" w:space="0" w:color="auto"/>
        <w:left w:val="none" w:sz="0" w:space="0" w:color="auto"/>
        <w:bottom w:val="none" w:sz="0" w:space="0" w:color="auto"/>
        <w:right w:val="none" w:sz="0" w:space="0" w:color="auto"/>
      </w:divBdr>
    </w:div>
    <w:div w:id="326177524">
      <w:bodyDiv w:val="1"/>
      <w:marLeft w:val="0"/>
      <w:marRight w:val="0"/>
      <w:marTop w:val="0"/>
      <w:marBottom w:val="0"/>
      <w:divBdr>
        <w:top w:val="none" w:sz="0" w:space="0" w:color="auto"/>
        <w:left w:val="none" w:sz="0" w:space="0" w:color="auto"/>
        <w:bottom w:val="none" w:sz="0" w:space="0" w:color="auto"/>
        <w:right w:val="none" w:sz="0" w:space="0" w:color="auto"/>
      </w:divBdr>
      <w:divsChild>
        <w:div w:id="473915563">
          <w:marLeft w:val="0"/>
          <w:marRight w:val="0"/>
          <w:marTop w:val="0"/>
          <w:marBottom w:val="0"/>
          <w:divBdr>
            <w:top w:val="none" w:sz="0" w:space="0" w:color="auto"/>
            <w:left w:val="none" w:sz="0" w:space="0" w:color="auto"/>
            <w:bottom w:val="none" w:sz="0" w:space="0" w:color="auto"/>
            <w:right w:val="none" w:sz="0" w:space="0" w:color="auto"/>
          </w:divBdr>
        </w:div>
      </w:divsChild>
    </w:div>
    <w:div w:id="361051314">
      <w:bodyDiv w:val="1"/>
      <w:marLeft w:val="0"/>
      <w:marRight w:val="0"/>
      <w:marTop w:val="0"/>
      <w:marBottom w:val="0"/>
      <w:divBdr>
        <w:top w:val="none" w:sz="0" w:space="0" w:color="auto"/>
        <w:left w:val="none" w:sz="0" w:space="0" w:color="auto"/>
        <w:bottom w:val="none" w:sz="0" w:space="0" w:color="auto"/>
        <w:right w:val="none" w:sz="0" w:space="0" w:color="auto"/>
      </w:divBdr>
      <w:divsChild>
        <w:div w:id="1437402149">
          <w:marLeft w:val="0"/>
          <w:marRight w:val="0"/>
          <w:marTop w:val="0"/>
          <w:marBottom w:val="0"/>
          <w:divBdr>
            <w:top w:val="none" w:sz="0" w:space="0" w:color="auto"/>
            <w:left w:val="none" w:sz="0" w:space="0" w:color="auto"/>
            <w:bottom w:val="none" w:sz="0" w:space="0" w:color="auto"/>
            <w:right w:val="none" w:sz="0" w:space="0" w:color="auto"/>
          </w:divBdr>
        </w:div>
      </w:divsChild>
    </w:div>
    <w:div w:id="362169803">
      <w:bodyDiv w:val="1"/>
      <w:marLeft w:val="0"/>
      <w:marRight w:val="0"/>
      <w:marTop w:val="0"/>
      <w:marBottom w:val="0"/>
      <w:divBdr>
        <w:top w:val="none" w:sz="0" w:space="0" w:color="auto"/>
        <w:left w:val="none" w:sz="0" w:space="0" w:color="auto"/>
        <w:bottom w:val="none" w:sz="0" w:space="0" w:color="auto"/>
        <w:right w:val="none" w:sz="0" w:space="0" w:color="auto"/>
      </w:divBdr>
    </w:div>
    <w:div w:id="406728684">
      <w:bodyDiv w:val="1"/>
      <w:marLeft w:val="0"/>
      <w:marRight w:val="0"/>
      <w:marTop w:val="0"/>
      <w:marBottom w:val="0"/>
      <w:divBdr>
        <w:top w:val="none" w:sz="0" w:space="0" w:color="auto"/>
        <w:left w:val="none" w:sz="0" w:space="0" w:color="auto"/>
        <w:bottom w:val="none" w:sz="0" w:space="0" w:color="auto"/>
        <w:right w:val="none" w:sz="0" w:space="0" w:color="auto"/>
      </w:divBdr>
    </w:div>
    <w:div w:id="481779018">
      <w:bodyDiv w:val="1"/>
      <w:marLeft w:val="0"/>
      <w:marRight w:val="0"/>
      <w:marTop w:val="0"/>
      <w:marBottom w:val="0"/>
      <w:divBdr>
        <w:top w:val="none" w:sz="0" w:space="0" w:color="auto"/>
        <w:left w:val="none" w:sz="0" w:space="0" w:color="auto"/>
        <w:bottom w:val="none" w:sz="0" w:space="0" w:color="auto"/>
        <w:right w:val="none" w:sz="0" w:space="0" w:color="auto"/>
      </w:divBdr>
    </w:div>
    <w:div w:id="540673274">
      <w:bodyDiv w:val="1"/>
      <w:marLeft w:val="0"/>
      <w:marRight w:val="0"/>
      <w:marTop w:val="0"/>
      <w:marBottom w:val="0"/>
      <w:divBdr>
        <w:top w:val="none" w:sz="0" w:space="0" w:color="auto"/>
        <w:left w:val="none" w:sz="0" w:space="0" w:color="auto"/>
        <w:bottom w:val="none" w:sz="0" w:space="0" w:color="auto"/>
        <w:right w:val="none" w:sz="0" w:space="0" w:color="auto"/>
      </w:divBdr>
    </w:div>
    <w:div w:id="551037439">
      <w:bodyDiv w:val="1"/>
      <w:marLeft w:val="0"/>
      <w:marRight w:val="0"/>
      <w:marTop w:val="0"/>
      <w:marBottom w:val="0"/>
      <w:divBdr>
        <w:top w:val="none" w:sz="0" w:space="0" w:color="auto"/>
        <w:left w:val="none" w:sz="0" w:space="0" w:color="auto"/>
        <w:bottom w:val="none" w:sz="0" w:space="0" w:color="auto"/>
        <w:right w:val="none" w:sz="0" w:space="0" w:color="auto"/>
      </w:divBdr>
    </w:div>
    <w:div w:id="558825945">
      <w:bodyDiv w:val="1"/>
      <w:marLeft w:val="0"/>
      <w:marRight w:val="0"/>
      <w:marTop w:val="0"/>
      <w:marBottom w:val="0"/>
      <w:divBdr>
        <w:top w:val="none" w:sz="0" w:space="0" w:color="auto"/>
        <w:left w:val="none" w:sz="0" w:space="0" w:color="auto"/>
        <w:bottom w:val="none" w:sz="0" w:space="0" w:color="auto"/>
        <w:right w:val="none" w:sz="0" w:space="0" w:color="auto"/>
      </w:divBdr>
    </w:div>
    <w:div w:id="613101223">
      <w:bodyDiv w:val="1"/>
      <w:marLeft w:val="0"/>
      <w:marRight w:val="0"/>
      <w:marTop w:val="0"/>
      <w:marBottom w:val="0"/>
      <w:divBdr>
        <w:top w:val="none" w:sz="0" w:space="0" w:color="auto"/>
        <w:left w:val="none" w:sz="0" w:space="0" w:color="auto"/>
        <w:bottom w:val="none" w:sz="0" w:space="0" w:color="auto"/>
        <w:right w:val="none" w:sz="0" w:space="0" w:color="auto"/>
      </w:divBdr>
    </w:div>
    <w:div w:id="619455080">
      <w:bodyDiv w:val="1"/>
      <w:marLeft w:val="0"/>
      <w:marRight w:val="0"/>
      <w:marTop w:val="0"/>
      <w:marBottom w:val="0"/>
      <w:divBdr>
        <w:top w:val="none" w:sz="0" w:space="0" w:color="auto"/>
        <w:left w:val="none" w:sz="0" w:space="0" w:color="auto"/>
        <w:bottom w:val="none" w:sz="0" w:space="0" w:color="auto"/>
        <w:right w:val="none" w:sz="0" w:space="0" w:color="auto"/>
      </w:divBdr>
    </w:div>
    <w:div w:id="727338982">
      <w:bodyDiv w:val="1"/>
      <w:marLeft w:val="0"/>
      <w:marRight w:val="0"/>
      <w:marTop w:val="0"/>
      <w:marBottom w:val="0"/>
      <w:divBdr>
        <w:top w:val="none" w:sz="0" w:space="0" w:color="auto"/>
        <w:left w:val="none" w:sz="0" w:space="0" w:color="auto"/>
        <w:bottom w:val="none" w:sz="0" w:space="0" w:color="auto"/>
        <w:right w:val="none" w:sz="0" w:space="0" w:color="auto"/>
      </w:divBdr>
      <w:divsChild>
        <w:div w:id="1459253091">
          <w:marLeft w:val="0"/>
          <w:marRight w:val="0"/>
          <w:marTop w:val="0"/>
          <w:marBottom w:val="0"/>
          <w:divBdr>
            <w:top w:val="none" w:sz="0" w:space="0" w:color="auto"/>
            <w:left w:val="none" w:sz="0" w:space="0" w:color="auto"/>
            <w:bottom w:val="none" w:sz="0" w:space="0" w:color="auto"/>
            <w:right w:val="none" w:sz="0" w:space="0" w:color="auto"/>
          </w:divBdr>
          <w:divsChild>
            <w:div w:id="370348632">
              <w:marLeft w:val="0"/>
              <w:marRight w:val="0"/>
              <w:marTop w:val="0"/>
              <w:marBottom w:val="0"/>
              <w:divBdr>
                <w:top w:val="none" w:sz="0" w:space="0" w:color="auto"/>
                <w:left w:val="none" w:sz="0" w:space="0" w:color="auto"/>
                <w:bottom w:val="single" w:sz="6" w:space="0" w:color="CFCFCF"/>
                <w:right w:val="none" w:sz="0" w:space="0" w:color="auto"/>
              </w:divBdr>
              <w:divsChild>
                <w:div w:id="196161323">
                  <w:marLeft w:val="0"/>
                  <w:marRight w:val="0"/>
                  <w:marTop w:val="0"/>
                  <w:marBottom w:val="0"/>
                  <w:divBdr>
                    <w:top w:val="none" w:sz="0" w:space="0" w:color="auto"/>
                    <w:left w:val="none" w:sz="0" w:space="0" w:color="auto"/>
                    <w:bottom w:val="none" w:sz="0" w:space="0" w:color="auto"/>
                    <w:right w:val="none" w:sz="0" w:space="0" w:color="auto"/>
                  </w:divBdr>
                  <w:divsChild>
                    <w:div w:id="1389722323">
                      <w:marLeft w:val="-180"/>
                      <w:marRight w:val="-180"/>
                      <w:marTop w:val="0"/>
                      <w:marBottom w:val="0"/>
                      <w:divBdr>
                        <w:top w:val="none" w:sz="0" w:space="0" w:color="auto"/>
                        <w:left w:val="none" w:sz="0" w:space="0" w:color="auto"/>
                        <w:bottom w:val="none" w:sz="0" w:space="0" w:color="auto"/>
                        <w:right w:val="none" w:sz="0" w:space="0" w:color="auto"/>
                      </w:divBdr>
                      <w:divsChild>
                        <w:div w:id="109671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4354634">
      <w:bodyDiv w:val="1"/>
      <w:marLeft w:val="0"/>
      <w:marRight w:val="0"/>
      <w:marTop w:val="0"/>
      <w:marBottom w:val="0"/>
      <w:divBdr>
        <w:top w:val="none" w:sz="0" w:space="0" w:color="auto"/>
        <w:left w:val="none" w:sz="0" w:space="0" w:color="auto"/>
        <w:bottom w:val="none" w:sz="0" w:space="0" w:color="auto"/>
        <w:right w:val="none" w:sz="0" w:space="0" w:color="auto"/>
      </w:divBdr>
    </w:div>
    <w:div w:id="746541716">
      <w:bodyDiv w:val="1"/>
      <w:marLeft w:val="0"/>
      <w:marRight w:val="0"/>
      <w:marTop w:val="0"/>
      <w:marBottom w:val="0"/>
      <w:divBdr>
        <w:top w:val="none" w:sz="0" w:space="0" w:color="auto"/>
        <w:left w:val="none" w:sz="0" w:space="0" w:color="auto"/>
        <w:bottom w:val="none" w:sz="0" w:space="0" w:color="auto"/>
        <w:right w:val="none" w:sz="0" w:space="0" w:color="auto"/>
      </w:divBdr>
    </w:div>
    <w:div w:id="748235898">
      <w:bodyDiv w:val="1"/>
      <w:marLeft w:val="0"/>
      <w:marRight w:val="0"/>
      <w:marTop w:val="0"/>
      <w:marBottom w:val="0"/>
      <w:divBdr>
        <w:top w:val="none" w:sz="0" w:space="0" w:color="auto"/>
        <w:left w:val="none" w:sz="0" w:space="0" w:color="auto"/>
        <w:bottom w:val="none" w:sz="0" w:space="0" w:color="auto"/>
        <w:right w:val="none" w:sz="0" w:space="0" w:color="auto"/>
      </w:divBdr>
    </w:div>
    <w:div w:id="754206329">
      <w:bodyDiv w:val="1"/>
      <w:marLeft w:val="0"/>
      <w:marRight w:val="0"/>
      <w:marTop w:val="0"/>
      <w:marBottom w:val="0"/>
      <w:divBdr>
        <w:top w:val="none" w:sz="0" w:space="0" w:color="auto"/>
        <w:left w:val="none" w:sz="0" w:space="0" w:color="auto"/>
        <w:bottom w:val="none" w:sz="0" w:space="0" w:color="auto"/>
        <w:right w:val="none" w:sz="0" w:space="0" w:color="auto"/>
      </w:divBdr>
    </w:div>
    <w:div w:id="799957514">
      <w:bodyDiv w:val="1"/>
      <w:marLeft w:val="0"/>
      <w:marRight w:val="0"/>
      <w:marTop w:val="0"/>
      <w:marBottom w:val="0"/>
      <w:divBdr>
        <w:top w:val="none" w:sz="0" w:space="0" w:color="auto"/>
        <w:left w:val="none" w:sz="0" w:space="0" w:color="auto"/>
        <w:bottom w:val="none" w:sz="0" w:space="0" w:color="auto"/>
        <w:right w:val="none" w:sz="0" w:space="0" w:color="auto"/>
      </w:divBdr>
    </w:div>
    <w:div w:id="801726333">
      <w:bodyDiv w:val="1"/>
      <w:marLeft w:val="0"/>
      <w:marRight w:val="0"/>
      <w:marTop w:val="0"/>
      <w:marBottom w:val="0"/>
      <w:divBdr>
        <w:top w:val="none" w:sz="0" w:space="0" w:color="auto"/>
        <w:left w:val="none" w:sz="0" w:space="0" w:color="auto"/>
        <w:bottom w:val="none" w:sz="0" w:space="0" w:color="auto"/>
        <w:right w:val="none" w:sz="0" w:space="0" w:color="auto"/>
      </w:divBdr>
    </w:div>
    <w:div w:id="869532571">
      <w:bodyDiv w:val="1"/>
      <w:marLeft w:val="0"/>
      <w:marRight w:val="0"/>
      <w:marTop w:val="0"/>
      <w:marBottom w:val="0"/>
      <w:divBdr>
        <w:top w:val="none" w:sz="0" w:space="0" w:color="auto"/>
        <w:left w:val="none" w:sz="0" w:space="0" w:color="auto"/>
        <w:bottom w:val="none" w:sz="0" w:space="0" w:color="auto"/>
        <w:right w:val="none" w:sz="0" w:space="0" w:color="auto"/>
      </w:divBdr>
    </w:div>
    <w:div w:id="921915722">
      <w:bodyDiv w:val="1"/>
      <w:marLeft w:val="0"/>
      <w:marRight w:val="0"/>
      <w:marTop w:val="0"/>
      <w:marBottom w:val="0"/>
      <w:divBdr>
        <w:top w:val="none" w:sz="0" w:space="0" w:color="auto"/>
        <w:left w:val="none" w:sz="0" w:space="0" w:color="auto"/>
        <w:bottom w:val="none" w:sz="0" w:space="0" w:color="auto"/>
        <w:right w:val="none" w:sz="0" w:space="0" w:color="auto"/>
      </w:divBdr>
    </w:div>
    <w:div w:id="922881136">
      <w:bodyDiv w:val="1"/>
      <w:marLeft w:val="0"/>
      <w:marRight w:val="0"/>
      <w:marTop w:val="0"/>
      <w:marBottom w:val="0"/>
      <w:divBdr>
        <w:top w:val="none" w:sz="0" w:space="0" w:color="auto"/>
        <w:left w:val="none" w:sz="0" w:space="0" w:color="auto"/>
        <w:bottom w:val="none" w:sz="0" w:space="0" w:color="auto"/>
        <w:right w:val="none" w:sz="0" w:space="0" w:color="auto"/>
      </w:divBdr>
    </w:div>
    <w:div w:id="955134291">
      <w:bodyDiv w:val="1"/>
      <w:marLeft w:val="0"/>
      <w:marRight w:val="0"/>
      <w:marTop w:val="0"/>
      <w:marBottom w:val="0"/>
      <w:divBdr>
        <w:top w:val="none" w:sz="0" w:space="0" w:color="auto"/>
        <w:left w:val="none" w:sz="0" w:space="0" w:color="auto"/>
        <w:bottom w:val="none" w:sz="0" w:space="0" w:color="auto"/>
        <w:right w:val="none" w:sz="0" w:space="0" w:color="auto"/>
      </w:divBdr>
    </w:div>
    <w:div w:id="963314585">
      <w:bodyDiv w:val="1"/>
      <w:marLeft w:val="0"/>
      <w:marRight w:val="0"/>
      <w:marTop w:val="0"/>
      <w:marBottom w:val="0"/>
      <w:divBdr>
        <w:top w:val="none" w:sz="0" w:space="0" w:color="auto"/>
        <w:left w:val="none" w:sz="0" w:space="0" w:color="auto"/>
        <w:bottom w:val="none" w:sz="0" w:space="0" w:color="auto"/>
        <w:right w:val="none" w:sz="0" w:space="0" w:color="auto"/>
      </w:divBdr>
    </w:div>
    <w:div w:id="964579998">
      <w:bodyDiv w:val="1"/>
      <w:marLeft w:val="0"/>
      <w:marRight w:val="0"/>
      <w:marTop w:val="0"/>
      <w:marBottom w:val="0"/>
      <w:divBdr>
        <w:top w:val="none" w:sz="0" w:space="0" w:color="auto"/>
        <w:left w:val="none" w:sz="0" w:space="0" w:color="auto"/>
        <w:bottom w:val="none" w:sz="0" w:space="0" w:color="auto"/>
        <w:right w:val="none" w:sz="0" w:space="0" w:color="auto"/>
      </w:divBdr>
    </w:div>
    <w:div w:id="971983951">
      <w:bodyDiv w:val="1"/>
      <w:marLeft w:val="0"/>
      <w:marRight w:val="0"/>
      <w:marTop w:val="0"/>
      <w:marBottom w:val="0"/>
      <w:divBdr>
        <w:top w:val="none" w:sz="0" w:space="0" w:color="auto"/>
        <w:left w:val="none" w:sz="0" w:space="0" w:color="auto"/>
        <w:bottom w:val="none" w:sz="0" w:space="0" w:color="auto"/>
        <w:right w:val="none" w:sz="0" w:space="0" w:color="auto"/>
      </w:divBdr>
    </w:div>
    <w:div w:id="1027292799">
      <w:bodyDiv w:val="1"/>
      <w:marLeft w:val="0"/>
      <w:marRight w:val="0"/>
      <w:marTop w:val="0"/>
      <w:marBottom w:val="0"/>
      <w:divBdr>
        <w:top w:val="none" w:sz="0" w:space="0" w:color="auto"/>
        <w:left w:val="none" w:sz="0" w:space="0" w:color="auto"/>
        <w:bottom w:val="none" w:sz="0" w:space="0" w:color="auto"/>
        <w:right w:val="none" w:sz="0" w:space="0" w:color="auto"/>
      </w:divBdr>
      <w:divsChild>
        <w:div w:id="1258445381">
          <w:marLeft w:val="0"/>
          <w:marRight w:val="0"/>
          <w:marTop w:val="0"/>
          <w:marBottom w:val="0"/>
          <w:divBdr>
            <w:top w:val="none" w:sz="0" w:space="0" w:color="auto"/>
            <w:left w:val="none" w:sz="0" w:space="0" w:color="auto"/>
            <w:bottom w:val="none" w:sz="0" w:space="0" w:color="auto"/>
            <w:right w:val="none" w:sz="0" w:space="0" w:color="auto"/>
          </w:divBdr>
        </w:div>
      </w:divsChild>
    </w:div>
    <w:div w:id="1032878229">
      <w:bodyDiv w:val="1"/>
      <w:marLeft w:val="0"/>
      <w:marRight w:val="0"/>
      <w:marTop w:val="0"/>
      <w:marBottom w:val="0"/>
      <w:divBdr>
        <w:top w:val="none" w:sz="0" w:space="0" w:color="auto"/>
        <w:left w:val="none" w:sz="0" w:space="0" w:color="auto"/>
        <w:bottom w:val="none" w:sz="0" w:space="0" w:color="auto"/>
        <w:right w:val="none" w:sz="0" w:space="0" w:color="auto"/>
      </w:divBdr>
    </w:div>
    <w:div w:id="1062168658">
      <w:bodyDiv w:val="1"/>
      <w:marLeft w:val="0"/>
      <w:marRight w:val="0"/>
      <w:marTop w:val="0"/>
      <w:marBottom w:val="0"/>
      <w:divBdr>
        <w:top w:val="none" w:sz="0" w:space="0" w:color="auto"/>
        <w:left w:val="none" w:sz="0" w:space="0" w:color="auto"/>
        <w:bottom w:val="none" w:sz="0" w:space="0" w:color="auto"/>
        <w:right w:val="none" w:sz="0" w:space="0" w:color="auto"/>
      </w:divBdr>
    </w:div>
    <w:div w:id="1079253277">
      <w:bodyDiv w:val="1"/>
      <w:marLeft w:val="0"/>
      <w:marRight w:val="0"/>
      <w:marTop w:val="0"/>
      <w:marBottom w:val="0"/>
      <w:divBdr>
        <w:top w:val="none" w:sz="0" w:space="0" w:color="auto"/>
        <w:left w:val="none" w:sz="0" w:space="0" w:color="auto"/>
        <w:bottom w:val="none" w:sz="0" w:space="0" w:color="auto"/>
        <w:right w:val="none" w:sz="0" w:space="0" w:color="auto"/>
      </w:divBdr>
    </w:div>
    <w:div w:id="1089305332">
      <w:bodyDiv w:val="1"/>
      <w:marLeft w:val="0"/>
      <w:marRight w:val="0"/>
      <w:marTop w:val="0"/>
      <w:marBottom w:val="0"/>
      <w:divBdr>
        <w:top w:val="none" w:sz="0" w:space="0" w:color="auto"/>
        <w:left w:val="none" w:sz="0" w:space="0" w:color="auto"/>
        <w:bottom w:val="none" w:sz="0" w:space="0" w:color="auto"/>
        <w:right w:val="none" w:sz="0" w:space="0" w:color="auto"/>
      </w:divBdr>
    </w:div>
    <w:div w:id="1090127996">
      <w:bodyDiv w:val="1"/>
      <w:marLeft w:val="0"/>
      <w:marRight w:val="0"/>
      <w:marTop w:val="0"/>
      <w:marBottom w:val="0"/>
      <w:divBdr>
        <w:top w:val="none" w:sz="0" w:space="0" w:color="auto"/>
        <w:left w:val="none" w:sz="0" w:space="0" w:color="auto"/>
        <w:bottom w:val="none" w:sz="0" w:space="0" w:color="auto"/>
        <w:right w:val="none" w:sz="0" w:space="0" w:color="auto"/>
      </w:divBdr>
    </w:div>
    <w:div w:id="1126042386">
      <w:bodyDiv w:val="1"/>
      <w:marLeft w:val="0"/>
      <w:marRight w:val="0"/>
      <w:marTop w:val="0"/>
      <w:marBottom w:val="0"/>
      <w:divBdr>
        <w:top w:val="none" w:sz="0" w:space="0" w:color="auto"/>
        <w:left w:val="none" w:sz="0" w:space="0" w:color="auto"/>
        <w:bottom w:val="none" w:sz="0" w:space="0" w:color="auto"/>
        <w:right w:val="none" w:sz="0" w:space="0" w:color="auto"/>
      </w:divBdr>
    </w:div>
    <w:div w:id="1141922188">
      <w:bodyDiv w:val="1"/>
      <w:marLeft w:val="0"/>
      <w:marRight w:val="0"/>
      <w:marTop w:val="0"/>
      <w:marBottom w:val="0"/>
      <w:divBdr>
        <w:top w:val="none" w:sz="0" w:space="0" w:color="auto"/>
        <w:left w:val="none" w:sz="0" w:space="0" w:color="auto"/>
        <w:bottom w:val="none" w:sz="0" w:space="0" w:color="auto"/>
        <w:right w:val="none" w:sz="0" w:space="0" w:color="auto"/>
      </w:divBdr>
      <w:divsChild>
        <w:div w:id="11498619">
          <w:marLeft w:val="0"/>
          <w:marRight w:val="0"/>
          <w:marTop w:val="0"/>
          <w:marBottom w:val="0"/>
          <w:divBdr>
            <w:top w:val="none" w:sz="0" w:space="0" w:color="auto"/>
            <w:left w:val="none" w:sz="0" w:space="0" w:color="auto"/>
            <w:bottom w:val="none" w:sz="0" w:space="0" w:color="auto"/>
            <w:right w:val="none" w:sz="0" w:space="0" w:color="auto"/>
          </w:divBdr>
        </w:div>
      </w:divsChild>
    </w:div>
    <w:div w:id="1152602669">
      <w:bodyDiv w:val="1"/>
      <w:marLeft w:val="0"/>
      <w:marRight w:val="0"/>
      <w:marTop w:val="0"/>
      <w:marBottom w:val="0"/>
      <w:divBdr>
        <w:top w:val="none" w:sz="0" w:space="0" w:color="auto"/>
        <w:left w:val="none" w:sz="0" w:space="0" w:color="auto"/>
        <w:bottom w:val="none" w:sz="0" w:space="0" w:color="auto"/>
        <w:right w:val="none" w:sz="0" w:space="0" w:color="auto"/>
      </w:divBdr>
    </w:div>
    <w:div w:id="1172261492">
      <w:bodyDiv w:val="1"/>
      <w:marLeft w:val="0"/>
      <w:marRight w:val="0"/>
      <w:marTop w:val="0"/>
      <w:marBottom w:val="0"/>
      <w:divBdr>
        <w:top w:val="none" w:sz="0" w:space="0" w:color="auto"/>
        <w:left w:val="none" w:sz="0" w:space="0" w:color="auto"/>
        <w:bottom w:val="none" w:sz="0" w:space="0" w:color="auto"/>
        <w:right w:val="none" w:sz="0" w:space="0" w:color="auto"/>
      </w:divBdr>
    </w:div>
    <w:div w:id="1189292723">
      <w:bodyDiv w:val="1"/>
      <w:marLeft w:val="0"/>
      <w:marRight w:val="0"/>
      <w:marTop w:val="0"/>
      <w:marBottom w:val="0"/>
      <w:divBdr>
        <w:top w:val="none" w:sz="0" w:space="0" w:color="auto"/>
        <w:left w:val="none" w:sz="0" w:space="0" w:color="auto"/>
        <w:bottom w:val="none" w:sz="0" w:space="0" w:color="auto"/>
        <w:right w:val="none" w:sz="0" w:space="0" w:color="auto"/>
      </w:divBdr>
      <w:divsChild>
        <w:div w:id="1987203480">
          <w:marLeft w:val="0"/>
          <w:marRight w:val="0"/>
          <w:marTop w:val="0"/>
          <w:marBottom w:val="0"/>
          <w:divBdr>
            <w:top w:val="none" w:sz="0" w:space="0" w:color="auto"/>
            <w:left w:val="none" w:sz="0" w:space="0" w:color="auto"/>
            <w:bottom w:val="none" w:sz="0" w:space="0" w:color="auto"/>
            <w:right w:val="none" w:sz="0" w:space="0" w:color="auto"/>
          </w:divBdr>
        </w:div>
      </w:divsChild>
    </w:div>
    <w:div w:id="1217162382">
      <w:bodyDiv w:val="1"/>
      <w:marLeft w:val="0"/>
      <w:marRight w:val="0"/>
      <w:marTop w:val="0"/>
      <w:marBottom w:val="0"/>
      <w:divBdr>
        <w:top w:val="none" w:sz="0" w:space="0" w:color="auto"/>
        <w:left w:val="none" w:sz="0" w:space="0" w:color="auto"/>
        <w:bottom w:val="none" w:sz="0" w:space="0" w:color="auto"/>
        <w:right w:val="none" w:sz="0" w:space="0" w:color="auto"/>
      </w:divBdr>
    </w:div>
    <w:div w:id="1238511620">
      <w:bodyDiv w:val="1"/>
      <w:marLeft w:val="0"/>
      <w:marRight w:val="0"/>
      <w:marTop w:val="0"/>
      <w:marBottom w:val="0"/>
      <w:divBdr>
        <w:top w:val="none" w:sz="0" w:space="0" w:color="auto"/>
        <w:left w:val="none" w:sz="0" w:space="0" w:color="auto"/>
        <w:bottom w:val="none" w:sz="0" w:space="0" w:color="auto"/>
        <w:right w:val="none" w:sz="0" w:space="0" w:color="auto"/>
      </w:divBdr>
    </w:div>
    <w:div w:id="1239483432">
      <w:bodyDiv w:val="1"/>
      <w:marLeft w:val="0"/>
      <w:marRight w:val="0"/>
      <w:marTop w:val="0"/>
      <w:marBottom w:val="0"/>
      <w:divBdr>
        <w:top w:val="none" w:sz="0" w:space="0" w:color="auto"/>
        <w:left w:val="none" w:sz="0" w:space="0" w:color="auto"/>
        <w:bottom w:val="none" w:sz="0" w:space="0" w:color="auto"/>
        <w:right w:val="none" w:sz="0" w:space="0" w:color="auto"/>
      </w:divBdr>
    </w:div>
    <w:div w:id="1260527823">
      <w:bodyDiv w:val="1"/>
      <w:marLeft w:val="0"/>
      <w:marRight w:val="0"/>
      <w:marTop w:val="0"/>
      <w:marBottom w:val="0"/>
      <w:divBdr>
        <w:top w:val="none" w:sz="0" w:space="0" w:color="auto"/>
        <w:left w:val="none" w:sz="0" w:space="0" w:color="auto"/>
        <w:bottom w:val="none" w:sz="0" w:space="0" w:color="auto"/>
        <w:right w:val="none" w:sz="0" w:space="0" w:color="auto"/>
      </w:divBdr>
    </w:div>
    <w:div w:id="1272854926">
      <w:bodyDiv w:val="1"/>
      <w:marLeft w:val="0"/>
      <w:marRight w:val="0"/>
      <w:marTop w:val="0"/>
      <w:marBottom w:val="0"/>
      <w:divBdr>
        <w:top w:val="none" w:sz="0" w:space="0" w:color="auto"/>
        <w:left w:val="none" w:sz="0" w:space="0" w:color="auto"/>
        <w:bottom w:val="none" w:sz="0" w:space="0" w:color="auto"/>
        <w:right w:val="none" w:sz="0" w:space="0" w:color="auto"/>
      </w:divBdr>
    </w:div>
    <w:div w:id="1283028268">
      <w:bodyDiv w:val="1"/>
      <w:marLeft w:val="0"/>
      <w:marRight w:val="0"/>
      <w:marTop w:val="0"/>
      <w:marBottom w:val="0"/>
      <w:divBdr>
        <w:top w:val="none" w:sz="0" w:space="0" w:color="auto"/>
        <w:left w:val="none" w:sz="0" w:space="0" w:color="auto"/>
        <w:bottom w:val="none" w:sz="0" w:space="0" w:color="auto"/>
        <w:right w:val="none" w:sz="0" w:space="0" w:color="auto"/>
      </w:divBdr>
      <w:divsChild>
        <w:div w:id="213658255">
          <w:marLeft w:val="0"/>
          <w:marRight w:val="0"/>
          <w:marTop w:val="0"/>
          <w:marBottom w:val="0"/>
          <w:divBdr>
            <w:top w:val="none" w:sz="0" w:space="0" w:color="auto"/>
            <w:left w:val="none" w:sz="0" w:space="0" w:color="auto"/>
            <w:bottom w:val="none" w:sz="0" w:space="0" w:color="auto"/>
            <w:right w:val="none" w:sz="0" w:space="0" w:color="auto"/>
          </w:divBdr>
          <w:divsChild>
            <w:div w:id="1383750122">
              <w:marLeft w:val="0"/>
              <w:marRight w:val="0"/>
              <w:marTop w:val="0"/>
              <w:marBottom w:val="0"/>
              <w:divBdr>
                <w:top w:val="none" w:sz="0" w:space="0" w:color="auto"/>
                <w:left w:val="none" w:sz="0" w:space="0" w:color="auto"/>
                <w:bottom w:val="none" w:sz="0" w:space="0" w:color="auto"/>
                <w:right w:val="none" w:sz="0" w:space="0" w:color="auto"/>
              </w:divBdr>
              <w:divsChild>
                <w:div w:id="1720393065">
                  <w:marLeft w:val="0"/>
                  <w:marRight w:val="0"/>
                  <w:marTop w:val="0"/>
                  <w:marBottom w:val="0"/>
                  <w:divBdr>
                    <w:top w:val="none" w:sz="0" w:space="0" w:color="auto"/>
                    <w:left w:val="none" w:sz="0" w:space="0" w:color="auto"/>
                    <w:bottom w:val="none" w:sz="0" w:space="0" w:color="auto"/>
                    <w:right w:val="none" w:sz="0" w:space="0" w:color="auto"/>
                  </w:divBdr>
                  <w:divsChild>
                    <w:div w:id="929239037">
                      <w:marLeft w:val="0"/>
                      <w:marRight w:val="0"/>
                      <w:marTop w:val="0"/>
                      <w:marBottom w:val="0"/>
                      <w:divBdr>
                        <w:top w:val="none" w:sz="0" w:space="0" w:color="auto"/>
                        <w:left w:val="none" w:sz="0" w:space="0" w:color="auto"/>
                        <w:bottom w:val="none" w:sz="0" w:space="0" w:color="auto"/>
                        <w:right w:val="none" w:sz="0" w:space="0" w:color="auto"/>
                      </w:divBdr>
                      <w:divsChild>
                        <w:div w:id="1019745349">
                          <w:marLeft w:val="0"/>
                          <w:marRight w:val="0"/>
                          <w:marTop w:val="0"/>
                          <w:marBottom w:val="0"/>
                          <w:divBdr>
                            <w:top w:val="none" w:sz="0" w:space="0" w:color="auto"/>
                            <w:left w:val="none" w:sz="0" w:space="0" w:color="auto"/>
                            <w:bottom w:val="none" w:sz="0" w:space="0" w:color="auto"/>
                            <w:right w:val="none" w:sz="0" w:space="0" w:color="auto"/>
                          </w:divBdr>
                          <w:divsChild>
                            <w:div w:id="595330587">
                              <w:marLeft w:val="0"/>
                              <w:marRight w:val="0"/>
                              <w:marTop w:val="0"/>
                              <w:marBottom w:val="0"/>
                              <w:divBdr>
                                <w:top w:val="none" w:sz="0" w:space="0" w:color="auto"/>
                                <w:left w:val="none" w:sz="0" w:space="0" w:color="auto"/>
                                <w:bottom w:val="none" w:sz="0" w:space="0" w:color="auto"/>
                                <w:right w:val="none" w:sz="0" w:space="0" w:color="auto"/>
                              </w:divBdr>
                              <w:divsChild>
                                <w:div w:id="2073693472">
                                  <w:marLeft w:val="0"/>
                                  <w:marRight w:val="0"/>
                                  <w:marTop w:val="0"/>
                                  <w:marBottom w:val="0"/>
                                  <w:divBdr>
                                    <w:top w:val="none" w:sz="0" w:space="0" w:color="auto"/>
                                    <w:left w:val="none" w:sz="0" w:space="0" w:color="auto"/>
                                    <w:bottom w:val="none" w:sz="0" w:space="0" w:color="auto"/>
                                    <w:right w:val="none" w:sz="0" w:space="0" w:color="auto"/>
                                  </w:divBdr>
                                  <w:divsChild>
                                    <w:div w:id="6178335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1106165">
      <w:bodyDiv w:val="1"/>
      <w:marLeft w:val="0"/>
      <w:marRight w:val="0"/>
      <w:marTop w:val="0"/>
      <w:marBottom w:val="0"/>
      <w:divBdr>
        <w:top w:val="none" w:sz="0" w:space="0" w:color="auto"/>
        <w:left w:val="none" w:sz="0" w:space="0" w:color="auto"/>
        <w:bottom w:val="none" w:sz="0" w:space="0" w:color="auto"/>
        <w:right w:val="none" w:sz="0" w:space="0" w:color="auto"/>
      </w:divBdr>
    </w:div>
    <w:div w:id="1378168458">
      <w:bodyDiv w:val="1"/>
      <w:marLeft w:val="0"/>
      <w:marRight w:val="0"/>
      <w:marTop w:val="0"/>
      <w:marBottom w:val="0"/>
      <w:divBdr>
        <w:top w:val="none" w:sz="0" w:space="0" w:color="auto"/>
        <w:left w:val="none" w:sz="0" w:space="0" w:color="auto"/>
        <w:bottom w:val="none" w:sz="0" w:space="0" w:color="auto"/>
        <w:right w:val="none" w:sz="0" w:space="0" w:color="auto"/>
      </w:divBdr>
    </w:div>
    <w:div w:id="1408840904">
      <w:bodyDiv w:val="1"/>
      <w:marLeft w:val="0"/>
      <w:marRight w:val="0"/>
      <w:marTop w:val="0"/>
      <w:marBottom w:val="0"/>
      <w:divBdr>
        <w:top w:val="none" w:sz="0" w:space="0" w:color="auto"/>
        <w:left w:val="none" w:sz="0" w:space="0" w:color="auto"/>
        <w:bottom w:val="none" w:sz="0" w:space="0" w:color="auto"/>
        <w:right w:val="none" w:sz="0" w:space="0" w:color="auto"/>
      </w:divBdr>
    </w:div>
    <w:div w:id="1421873530">
      <w:bodyDiv w:val="1"/>
      <w:marLeft w:val="0"/>
      <w:marRight w:val="0"/>
      <w:marTop w:val="0"/>
      <w:marBottom w:val="0"/>
      <w:divBdr>
        <w:top w:val="none" w:sz="0" w:space="0" w:color="auto"/>
        <w:left w:val="none" w:sz="0" w:space="0" w:color="auto"/>
        <w:bottom w:val="none" w:sz="0" w:space="0" w:color="auto"/>
        <w:right w:val="none" w:sz="0" w:space="0" w:color="auto"/>
      </w:divBdr>
    </w:div>
    <w:div w:id="1423188692">
      <w:bodyDiv w:val="1"/>
      <w:marLeft w:val="0"/>
      <w:marRight w:val="0"/>
      <w:marTop w:val="0"/>
      <w:marBottom w:val="0"/>
      <w:divBdr>
        <w:top w:val="none" w:sz="0" w:space="0" w:color="auto"/>
        <w:left w:val="none" w:sz="0" w:space="0" w:color="auto"/>
        <w:bottom w:val="none" w:sz="0" w:space="0" w:color="auto"/>
        <w:right w:val="none" w:sz="0" w:space="0" w:color="auto"/>
      </w:divBdr>
    </w:div>
    <w:div w:id="1466318116">
      <w:bodyDiv w:val="1"/>
      <w:marLeft w:val="0"/>
      <w:marRight w:val="0"/>
      <w:marTop w:val="0"/>
      <w:marBottom w:val="0"/>
      <w:divBdr>
        <w:top w:val="none" w:sz="0" w:space="0" w:color="auto"/>
        <w:left w:val="none" w:sz="0" w:space="0" w:color="auto"/>
        <w:bottom w:val="none" w:sz="0" w:space="0" w:color="auto"/>
        <w:right w:val="none" w:sz="0" w:space="0" w:color="auto"/>
      </w:divBdr>
    </w:div>
    <w:div w:id="1520394024">
      <w:bodyDiv w:val="1"/>
      <w:marLeft w:val="0"/>
      <w:marRight w:val="0"/>
      <w:marTop w:val="0"/>
      <w:marBottom w:val="0"/>
      <w:divBdr>
        <w:top w:val="none" w:sz="0" w:space="0" w:color="auto"/>
        <w:left w:val="none" w:sz="0" w:space="0" w:color="auto"/>
        <w:bottom w:val="none" w:sz="0" w:space="0" w:color="auto"/>
        <w:right w:val="none" w:sz="0" w:space="0" w:color="auto"/>
      </w:divBdr>
    </w:div>
    <w:div w:id="1573126587">
      <w:bodyDiv w:val="1"/>
      <w:marLeft w:val="0"/>
      <w:marRight w:val="0"/>
      <w:marTop w:val="0"/>
      <w:marBottom w:val="0"/>
      <w:divBdr>
        <w:top w:val="none" w:sz="0" w:space="0" w:color="auto"/>
        <w:left w:val="none" w:sz="0" w:space="0" w:color="auto"/>
        <w:bottom w:val="none" w:sz="0" w:space="0" w:color="auto"/>
        <w:right w:val="none" w:sz="0" w:space="0" w:color="auto"/>
      </w:divBdr>
    </w:div>
    <w:div w:id="1657297124">
      <w:bodyDiv w:val="1"/>
      <w:marLeft w:val="0"/>
      <w:marRight w:val="0"/>
      <w:marTop w:val="0"/>
      <w:marBottom w:val="0"/>
      <w:divBdr>
        <w:top w:val="none" w:sz="0" w:space="0" w:color="auto"/>
        <w:left w:val="none" w:sz="0" w:space="0" w:color="auto"/>
        <w:bottom w:val="none" w:sz="0" w:space="0" w:color="auto"/>
        <w:right w:val="none" w:sz="0" w:space="0" w:color="auto"/>
      </w:divBdr>
    </w:div>
    <w:div w:id="1670058566">
      <w:bodyDiv w:val="1"/>
      <w:marLeft w:val="0"/>
      <w:marRight w:val="0"/>
      <w:marTop w:val="0"/>
      <w:marBottom w:val="0"/>
      <w:divBdr>
        <w:top w:val="none" w:sz="0" w:space="0" w:color="auto"/>
        <w:left w:val="none" w:sz="0" w:space="0" w:color="auto"/>
        <w:bottom w:val="none" w:sz="0" w:space="0" w:color="auto"/>
        <w:right w:val="none" w:sz="0" w:space="0" w:color="auto"/>
      </w:divBdr>
    </w:div>
    <w:div w:id="1672677266">
      <w:bodyDiv w:val="1"/>
      <w:marLeft w:val="0"/>
      <w:marRight w:val="0"/>
      <w:marTop w:val="0"/>
      <w:marBottom w:val="0"/>
      <w:divBdr>
        <w:top w:val="none" w:sz="0" w:space="0" w:color="auto"/>
        <w:left w:val="none" w:sz="0" w:space="0" w:color="auto"/>
        <w:bottom w:val="none" w:sz="0" w:space="0" w:color="auto"/>
        <w:right w:val="none" w:sz="0" w:space="0" w:color="auto"/>
      </w:divBdr>
    </w:div>
    <w:div w:id="1690988115">
      <w:bodyDiv w:val="1"/>
      <w:marLeft w:val="0"/>
      <w:marRight w:val="0"/>
      <w:marTop w:val="0"/>
      <w:marBottom w:val="0"/>
      <w:divBdr>
        <w:top w:val="none" w:sz="0" w:space="0" w:color="auto"/>
        <w:left w:val="none" w:sz="0" w:space="0" w:color="auto"/>
        <w:bottom w:val="none" w:sz="0" w:space="0" w:color="auto"/>
        <w:right w:val="none" w:sz="0" w:space="0" w:color="auto"/>
      </w:divBdr>
    </w:div>
    <w:div w:id="1697540192">
      <w:bodyDiv w:val="1"/>
      <w:marLeft w:val="0"/>
      <w:marRight w:val="0"/>
      <w:marTop w:val="0"/>
      <w:marBottom w:val="0"/>
      <w:divBdr>
        <w:top w:val="none" w:sz="0" w:space="0" w:color="auto"/>
        <w:left w:val="none" w:sz="0" w:space="0" w:color="auto"/>
        <w:bottom w:val="none" w:sz="0" w:space="0" w:color="auto"/>
        <w:right w:val="none" w:sz="0" w:space="0" w:color="auto"/>
      </w:divBdr>
    </w:div>
    <w:div w:id="1706364805">
      <w:bodyDiv w:val="1"/>
      <w:marLeft w:val="0"/>
      <w:marRight w:val="0"/>
      <w:marTop w:val="0"/>
      <w:marBottom w:val="0"/>
      <w:divBdr>
        <w:top w:val="none" w:sz="0" w:space="0" w:color="auto"/>
        <w:left w:val="none" w:sz="0" w:space="0" w:color="auto"/>
        <w:bottom w:val="none" w:sz="0" w:space="0" w:color="auto"/>
        <w:right w:val="none" w:sz="0" w:space="0" w:color="auto"/>
      </w:divBdr>
    </w:div>
    <w:div w:id="1758750278">
      <w:bodyDiv w:val="1"/>
      <w:marLeft w:val="0"/>
      <w:marRight w:val="0"/>
      <w:marTop w:val="0"/>
      <w:marBottom w:val="0"/>
      <w:divBdr>
        <w:top w:val="none" w:sz="0" w:space="0" w:color="auto"/>
        <w:left w:val="none" w:sz="0" w:space="0" w:color="auto"/>
        <w:bottom w:val="none" w:sz="0" w:space="0" w:color="auto"/>
        <w:right w:val="none" w:sz="0" w:space="0" w:color="auto"/>
      </w:divBdr>
    </w:div>
    <w:div w:id="1771587059">
      <w:bodyDiv w:val="1"/>
      <w:marLeft w:val="0"/>
      <w:marRight w:val="0"/>
      <w:marTop w:val="0"/>
      <w:marBottom w:val="0"/>
      <w:divBdr>
        <w:top w:val="none" w:sz="0" w:space="0" w:color="auto"/>
        <w:left w:val="none" w:sz="0" w:space="0" w:color="auto"/>
        <w:bottom w:val="none" w:sz="0" w:space="0" w:color="auto"/>
        <w:right w:val="none" w:sz="0" w:space="0" w:color="auto"/>
      </w:divBdr>
    </w:div>
    <w:div w:id="1787194657">
      <w:bodyDiv w:val="1"/>
      <w:marLeft w:val="0"/>
      <w:marRight w:val="0"/>
      <w:marTop w:val="0"/>
      <w:marBottom w:val="0"/>
      <w:divBdr>
        <w:top w:val="none" w:sz="0" w:space="0" w:color="auto"/>
        <w:left w:val="none" w:sz="0" w:space="0" w:color="auto"/>
        <w:bottom w:val="none" w:sz="0" w:space="0" w:color="auto"/>
        <w:right w:val="none" w:sz="0" w:space="0" w:color="auto"/>
      </w:divBdr>
    </w:div>
    <w:div w:id="1832478440">
      <w:bodyDiv w:val="1"/>
      <w:marLeft w:val="0"/>
      <w:marRight w:val="0"/>
      <w:marTop w:val="0"/>
      <w:marBottom w:val="0"/>
      <w:divBdr>
        <w:top w:val="none" w:sz="0" w:space="0" w:color="auto"/>
        <w:left w:val="none" w:sz="0" w:space="0" w:color="auto"/>
        <w:bottom w:val="none" w:sz="0" w:space="0" w:color="auto"/>
        <w:right w:val="none" w:sz="0" w:space="0" w:color="auto"/>
      </w:divBdr>
    </w:div>
    <w:div w:id="1835752929">
      <w:bodyDiv w:val="1"/>
      <w:marLeft w:val="0"/>
      <w:marRight w:val="0"/>
      <w:marTop w:val="0"/>
      <w:marBottom w:val="0"/>
      <w:divBdr>
        <w:top w:val="none" w:sz="0" w:space="0" w:color="auto"/>
        <w:left w:val="none" w:sz="0" w:space="0" w:color="auto"/>
        <w:bottom w:val="none" w:sz="0" w:space="0" w:color="auto"/>
        <w:right w:val="none" w:sz="0" w:space="0" w:color="auto"/>
      </w:divBdr>
    </w:div>
    <w:div w:id="1868445417">
      <w:bodyDiv w:val="1"/>
      <w:marLeft w:val="0"/>
      <w:marRight w:val="0"/>
      <w:marTop w:val="0"/>
      <w:marBottom w:val="0"/>
      <w:divBdr>
        <w:top w:val="none" w:sz="0" w:space="0" w:color="auto"/>
        <w:left w:val="none" w:sz="0" w:space="0" w:color="auto"/>
        <w:bottom w:val="none" w:sz="0" w:space="0" w:color="auto"/>
        <w:right w:val="none" w:sz="0" w:space="0" w:color="auto"/>
      </w:divBdr>
    </w:div>
    <w:div w:id="1874725497">
      <w:bodyDiv w:val="1"/>
      <w:marLeft w:val="0"/>
      <w:marRight w:val="0"/>
      <w:marTop w:val="0"/>
      <w:marBottom w:val="0"/>
      <w:divBdr>
        <w:top w:val="none" w:sz="0" w:space="0" w:color="auto"/>
        <w:left w:val="none" w:sz="0" w:space="0" w:color="auto"/>
        <w:bottom w:val="none" w:sz="0" w:space="0" w:color="auto"/>
        <w:right w:val="none" w:sz="0" w:space="0" w:color="auto"/>
      </w:divBdr>
    </w:div>
    <w:div w:id="1892034256">
      <w:bodyDiv w:val="1"/>
      <w:marLeft w:val="0"/>
      <w:marRight w:val="0"/>
      <w:marTop w:val="0"/>
      <w:marBottom w:val="0"/>
      <w:divBdr>
        <w:top w:val="none" w:sz="0" w:space="0" w:color="auto"/>
        <w:left w:val="none" w:sz="0" w:space="0" w:color="auto"/>
        <w:bottom w:val="none" w:sz="0" w:space="0" w:color="auto"/>
        <w:right w:val="none" w:sz="0" w:space="0" w:color="auto"/>
      </w:divBdr>
    </w:div>
    <w:div w:id="1939824485">
      <w:bodyDiv w:val="1"/>
      <w:marLeft w:val="0"/>
      <w:marRight w:val="0"/>
      <w:marTop w:val="0"/>
      <w:marBottom w:val="0"/>
      <w:divBdr>
        <w:top w:val="none" w:sz="0" w:space="0" w:color="auto"/>
        <w:left w:val="none" w:sz="0" w:space="0" w:color="auto"/>
        <w:bottom w:val="none" w:sz="0" w:space="0" w:color="auto"/>
        <w:right w:val="none" w:sz="0" w:space="0" w:color="auto"/>
      </w:divBdr>
      <w:divsChild>
        <w:div w:id="210773218">
          <w:marLeft w:val="0"/>
          <w:marRight w:val="0"/>
          <w:marTop w:val="0"/>
          <w:marBottom w:val="0"/>
          <w:divBdr>
            <w:top w:val="none" w:sz="0" w:space="0" w:color="auto"/>
            <w:left w:val="none" w:sz="0" w:space="0" w:color="auto"/>
            <w:bottom w:val="none" w:sz="0" w:space="0" w:color="auto"/>
            <w:right w:val="none" w:sz="0" w:space="0" w:color="auto"/>
          </w:divBdr>
        </w:div>
      </w:divsChild>
    </w:div>
    <w:div w:id="1943145447">
      <w:bodyDiv w:val="1"/>
      <w:marLeft w:val="0"/>
      <w:marRight w:val="0"/>
      <w:marTop w:val="0"/>
      <w:marBottom w:val="0"/>
      <w:divBdr>
        <w:top w:val="none" w:sz="0" w:space="0" w:color="auto"/>
        <w:left w:val="none" w:sz="0" w:space="0" w:color="auto"/>
        <w:bottom w:val="none" w:sz="0" w:space="0" w:color="auto"/>
        <w:right w:val="none" w:sz="0" w:space="0" w:color="auto"/>
      </w:divBdr>
    </w:div>
    <w:div w:id="1956251868">
      <w:bodyDiv w:val="1"/>
      <w:marLeft w:val="0"/>
      <w:marRight w:val="0"/>
      <w:marTop w:val="0"/>
      <w:marBottom w:val="0"/>
      <w:divBdr>
        <w:top w:val="none" w:sz="0" w:space="0" w:color="auto"/>
        <w:left w:val="none" w:sz="0" w:space="0" w:color="auto"/>
        <w:bottom w:val="none" w:sz="0" w:space="0" w:color="auto"/>
        <w:right w:val="none" w:sz="0" w:space="0" w:color="auto"/>
      </w:divBdr>
    </w:div>
    <w:div w:id="1972057730">
      <w:bodyDiv w:val="1"/>
      <w:marLeft w:val="0"/>
      <w:marRight w:val="0"/>
      <w:marTop w:val="0"/>
      <w:marBottom w:val="0"/>
      <w:divBdr>
        <w:top w:val="none" w:sz="0" w:space="0" w:color="auto"/>
        <w:left w:val="none" w:sz="0" w:space="0" w:color="auto"/>
        <w:bottom w:val="none" w:sz="0" w:space="0" w:color="auto"/>
        <w:right w:val="none" w:sz="0" w:space="0" w:color="auto"/>
      </w:divBdr>
    </w:div>
    <w:div w:id="1981184668">
      <w:bodyDiv w:val="1"/>
      <w:marLeft w:val="0"/>
      <w:marRight w:val="0"/>
      <w:marTop w:val="0"/>
      <w:marBottom w:val="0"/>
      <w:divBdr>
        <w:top w:val="none" w:sz="0" w:space="0" w:color="auto"/>
        <w:left w:val="none" w:sz="0" w:space="0" w:color="auto"/>
        <w:bottom w:val="none" w:sz="0" w:space="0" w:color="auto"/>
        <w:right w:val="none" w:sz="0" w:space="0" w:color="auto"/>
      </w:divBdr>
    </w:div>
    <w:div w:id="2035840166">
      <w:bodyDiv w:val="1"/>
      <w:marLeft w:val="0"/>
      <w:marRight w:val="0"/>
      <w:marTop w:val="0"/>
      <w:marBottom w:val="0"/>
      <w:divBdr>
        <w:top w:val="none" w:sz="0" w:space="0" w:color="auto"/>
        <w:left w:val="none" w:sz="0" w:space="0" w:color="auto"/>
        <w:bottom w:val="none" w:sz="0" w:space="0" w:color="auto"/>
        <w:right w:val="none" w:sz="0" w:space="0" w:color="auto"/>
      </w:divBdr>
    </w:div>
    <w:div w:id="2128427658">
      <w:bodyDiv w:val="1"/>
      <w:marLeft w:val="0"/>
      <w:marRight w:val="0"/>
      <w:marTop w:val="0"/>
      <w:marBottom w:val="0"/>
      <w:divBdr>
        <w:top w:val="none" w:sz="0" w:space="0" w:color="auto"/>
        <w:left w:val="none" w:sz="0" w:space="0" w:color="auto"/>
        <w:bottom w:val="none" w:sz="0" w:space="0" w:color="auto"/>
        <w:right w:val="none" w:sz="0" w:space="0" w:color="auto"/>
      </w:divBdr>
    </w:div>
    <w:div w:id="2147316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jpeg" /><Relationship Id="rId18" Type="http://schemas.openxmlformats.org/officeDocument/2006/relationships/image" Target="media/image11.jpeg" /><Relationship Id="rId26" Type="http://schemas.openxmlformats.org/officeDocument/2006/relationships/hyperlink" Target="https://www.oecd.org/en/topics/policy-issues/illicit-trade.html" TargetMode="External" /><Relationship Id="rId3" Type="http://schemas.openxmlformats.org/officeDocument/2006/relationships/styles" Target="styles.xml" /><Relationship Id="rId21" Type="http://schemas.openxmlformats.org/officeDocument/2006/relationships/hyperlink" Target="https://www.grandviewresearch.com/industry-analysis/vietnam-dietary-supplements-market-report" TargetMode="External"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www.kenresearch.com/vietnam-payments-market" TargetMode="External"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www.euromonitor.com/store/explore-reports/consumer-health/vitamins-and-dietary-supplements" TargetMode="External" /><Relationship Id="rId29" Type="http://schemas.openxmlformats.org/officeDocument/2006/relationships/hyperlink" Target="https://www.cityam.com/holland-barrett-huge-losses-continue-despite-sales-surge/"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kenresearch.com/vietnam-nutritional-supplements-and-wellness-market" TargetMode="External" /><Relationship Id="rId32"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www.imarcgroup.com/vietnam-health-wellness-market" TargetMode="External" /><Relationship Id="rId28" Type="http://schemas.openxmlformats.org/officeDocument/2006/relationships/hyperlink" Target="https://www.researchandmarkets.com/reports/6209781/vietnam-nutritional-and-health-foods-market" TargetMode="External" /><Relationship Id="rId10" Type="http://schemas.openxmlformats.org/officeDocument/2006/relationships/image" Target="media/image3.png" /><Relationship Id="rId19" Type="http://schemas.openxmlformats.org/officeDocument/2006/relationships/hyperlink" Target="https://pmc.ncbi.nlm.nih.gov/articles/PMC10909406/" TargetMode="External" /><Relationship Id="rId31" Type="http://schemas.openxmlformats.org/officeDocument/2006/relationships/hyperlink" Target="https://www.vietnam-briefing.com/news/vietnams-e-commerce-sector-outlook-in-2026.html/"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hollandandbarrett.com/info/who-we-are/" TargetMode="External" /><Relationship Id="rId27" Type="http://schemas.openxmlformats.org/officeDocument/2006/relationships/hyperlink" Target="https://redferndigital.asia/key-consumer-trends-and-growth-in-the-health-supplements-category-in-vietnam/" TargetMode="External" /><Relationship Id="rId30" Type="http://schemas.openxmlformats.org/officeDocument/2006/relationships/hyperlink" Target="https://www.thestrategyinstitute.org/insights/porters-five-forces-the-ultimate-competitive-strategy-bluepri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9250A-F0A3-4E68-B5F4-D8D643EED7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7698</Words>
  <Characters>43882</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Tajwar Ahmed</cp:lastModifiedBy>
  <cp:revision>2</cp:revision>
  <dcterms:created xsi:type="dcterms:W3CDTF">2025-12-21T22:24:00Z</dcterms:created>
  <dcterms:modified xsi:type="dcterms:W3CDTF">2025-12-21T22:24:00Z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5b10415c-70bf-445f-b810-f905e24c3b93</vt:lpwstr>
  </property>
</Properties>
</file>