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BA003" w14:textId="2B56A9BD" w:rsidR="005716A8" w:rsidRPr="005716A8" w:rsidRDefault="005716A8" w:rsidP="005716A8">
      <w:pPr>
        <w:pStyle w:val="NormalWeb"/>
        <w:jc w:val="center"/>
        <w:rPr>
          <w:rFonts w:asciiTheme="minorHAnsi" w:hAnsiTheme="minorHAnsi" w:cstheme="minorHAnsi"/>
          <w:u w:val="single"/>
        </w:rPr>
      </w:pPr>
      <w:r w:rsidRPr="005716A8">
        <w:rPr>
          <w:rFonts w:asciiTheme="minorHAnsi" w:hAnsiTheme="minorHAnsi" w:cstheme="minorHAnsi"/>
          <w:b/>
          <w:bCs/>
          <w:u w:val="single"/>
        </w:rPr>
        <w:t>A critical evaluation and the learning steps focusing on a case study of an individual learner or a group of learners, based on an observed critical incident.</w:t>
      </w:r>
    </w:p>
    <w:p w14:paraId="3FB8C268" w14:textId="5202F270" w:rsidR="00122F69" w:rsidRDefault="009850D7" w:rsidP="002E532D">
      <w:pPr>
        <w:spacing w:line="276" w:lineRule="auto"/>
      </w:pPr>
      <w:r>
        <w:t xml:space="preserve">Critical incidents occur within every school, </w:t>
      </w:r>
      <w:r w:rsidR="005716A8">
        <w:t>every day</w:t>
      </w:r>
      <w:r>
        <w:t xml:space="preserve">. They happen in classrooms, in the halls, on the playground and even in the school canteen. Despite the terminology, however, a ‘critical’ incident does not always translate to a serious or dangerous event (Tripp, 2012, p. </w:t>
      </w:r>
      <w:r w:rsidR="00B0384E">
        <w:t xml:space="preserve">12). According to Tripp, a ‘critical incident’ is an incident that is to be interpreted as relevant or important, one that requires in-depth investigation and reflection (Tripp, 2012, pp. 24-25). </w:t>
      </w:r>
      <w:r w:rsidR="00C04C3E">
        <w:t xml:space="preserve">Critical incidents are extremely important as they provide teachers with a means of becoming more aware of the nature of their professional values and their associated problems, further allowing them to question their own practice (Tripp, 2012, pp. 17-18). </w:t>
      </w:r>
      <w:r w:rsidR="00666CEA">
        <w:t xml:space="preserve">Critical incidents are valuable for numerous reasons, as they reveal the habits and tendencies that influence teaching and allows practitioners to reflect upon the learning and development of their students (Tripp, 2012, p. 54). </w:t>
      </w:r>
      <w:r w:rsidR="00C04C3E">
        <w:t xml:space="preserve">This essay will examine a critical incident surrounding the use of objects in the classroom to stimulate learning, otherwise known as object-based learning (OBL). This essay will analyse and provide an overview of relevant literature, such as Chatterjee and Kolb, dive into a critical incident case study and provide teaching and </w:t>
      </w:r>
      <w:r w:rsidR="009C11F5">
        <w:t xml:space="preserve">learning methods while discussing how </w:t>
      </w:r>
      <w:r w:rsidR="00927EB9">
        <w:t xml:space="preserve">this may inform my own teaching practices. </w:t>
      </w:r>
    </w:p>
    <w:p w14:paraId="6E087C41" w14:textId="41520F18" w:rsidR="00075077" w:rsidRDefault="00AC4DF0" w:rsidP="002A107C">
      <w:pPr>
        <w:spacing w:line="276" w:lineRule="auto"/>
        <w:ind w:firstLine="720"/>
      </w:pPr>
      <w:r>
        <w:t xml:space="preserve">The critical incident that I witnessed during my observation was during a year seven history class. </w:t>
      </w:r>
      <w:r w:rsidR="002A107C">
        <w:t>This was a fourth</w:t>
      </w:r>
      <w:r w:rsidR="006603C9">
        <w:t>-</w:t>
      </w:r>
      <w:r w:rsidR="002A107C">
        <w:t xml:space="preserve">period lesson, just before lunch, and was a class of twenty-eight students. The year 7 class was a mixed ability class, but there were none within the class had any additional learning needs. </w:t>
      </w:r>
      <w:r>
        <w:t xml:space="preserve">This class </w:t>
      </w:r>
      <w:r w:rsidR="00122F69">
        <w:t xml:space="preserve">was studying the Roman invasion of Wales and in the previous lesson learned the reasons for the Roman invasion. In this lesson, the class </w:t>
      </w:r>
      <w:r w:rsidR="002A107C">
        <w:t>were to understand what made the Roman Empire so advanced and how it managed to control most of Europe and the Middle</w:t>
      </w:r>
      <w:r w:rsidR="006603C9">
        <w:t xml:space="preserve"> </w:t>
      </w:r>
      <w:r w:rsidR="002A107C">
        <w:t xml:space="preserve">East. To help the students understand the Roman advances, the teacher had brought in a full replica set of Roman armour, including a helmet, armour plate, greaves, a </w:t>
      </w:r>
      <w:proofErr w:type="gramStart"/>
      <w:r w:rsidR="002A107C">
        <w:t>shield</w:t>
      </w:r>
      <w:proofErr w:type="gramEnd"/>
      <w:r w:rsidR="002A107C">
        <w:t xml:space="preserve"> and a foam sword. </w:t>
      </w:r>
      <w:r w:rsidR="00AF03AC">
        <w:t xml:space="preserve">The students were then split into groups with each group examining a different replica brought in by the teacher while noting their key uses and what they were made from. According to </w:t>
      </w:r>
      <w:proofErr w:type="spellStart"/>
      <w:r w:rsidR="00AF03AC">
        <w:t>Frigo</w:t>
      </w:r>
      <w:proofErr w:type="spellEnd"/>
      <w:r w:rsidR="00AF03AC">
        <w:t>, OBL can be used to generate deep learning opportunities and for most of the class</w:t>
      </w:r>
      <w:r w:rsidR="006603C9">
        <w:t>,</w:t>
      </w:r>
      <w:r w:rsidR="00AF03AC">
        <w:t xml:space="preserve"> this was the case (2019, p. 4). For others, the objects proved to be a distraction and pulled them away from the learning environment created by the teacher and objects, causing classroom disruption and difficult behaviour. </w:t>
      </w:r>
    </w:p>
    <w:p w14:paraId="420B0709" w14:textId="77777777" w:rsidR="00AF03AC" w:rsidRDefault="00AF03AC" w:rsidP="00AF03AC">
      <w:pPr>
        <w:spacing w:line="276" w:lineRule="auto"/>
      </w:pPr>
    </w:p>
    <w:p w14:paraId="41B63452" w14:textId="1F34D6B9" w:rsidR="00AF03AC" w:rsidRPr="005716A8" w:rsidRDefault="005716A8" w:rsidP="00AF03AC">
      <w:pPr>
        <w:spacing w:line="276" w:lineRule="auto"/>
        <w:rPr>
          <w:b/>
          <w:bCs/>
          <w:u w:val="single"/>
        </w:rPr>
      </w:pPr>
      <w:r>
        <w:rPr>
          <w:b/>
          <w:bCs/>
          <w:u w:val="single"/>
        </w:rPr>
        <w:t>Literature Review</w:t>
      </w:r>
    </w:p>
    <w:p w14:paraId="152271BA" w14:textId="17A1D436" w:rsidR="00AF03AC" w:rsidRDefault="00726D85" w:rsidP="00AF03AC">
      <w:pPr>
        <w:spacing w:line="276" w:lineRule="auto"/>
      </w:pPr>
      <w:r>
        <w:t xml:space="preserve">There has been extensive academic research on the benefits of OBL. OBL has been studied at all levels of education, from primary to higher, and has been seen to have a profound impact on the </w:t>
      </w:r>
      <w:r w:rsidR="009049B5">
        <w:t>learner’s</w:t>
      </w:r>
      <w:r>
        <w:t xml:space="preserve"> classroom experience </w:t>
      </w:r>
      <w:proofErr w:type="gramStart"/>
      <w:r w:rsidR="00550B4D">
        <w:t>and</w:t>
      </w:r>
      <w:r>
        <w:t xml:space="preserve"> also</w:t>
      </w:r>
      <w:proofErr w:type="gramEnd"/>
      <w:r>
        <w:t xml:space="preserve"> their </w:t>
      </w:r>
      <w:r w:rsidR="00EF09FC">
        <w:t>learning.</w:t>
      </w:r>
      <w:r w:rsidR="00F636E7">
        <w:t xml:space="preserve"> OBL is a form of education that involves the ‘active </w:t>
      </w:r>
      <w:r w:rsidR="009049B5">
        <w:t>integration</w:t>
      </w:r>
      <w:r w:rsidR="00F636E7">
        <w:t xml:space="preserve"> of objects into the learning environment’ (</w:t>
      </w:r>
      <w:proofErr w:type="spellStart"/>
      <w:r w:rsidR="00F636E7">
        <w:t>Frigo</w:t>
      </w:r>
      <w:proofErr w:type="spellEnd"/>
      <w:r w:rsidR="00F636E7">
        <w:t xml:space="preserve">, 2019, p. 7). </w:t>
      </w:r>
      <w:r w:rsidR="00EF09FC">
        <w:t xml:space="preserve">One such academic </w:t>
      </w:r>
      <w:r w:rsidR="00550B4D">
        <w:t>who</w:t>
      </w:r>
      <w:r w:rsidR="00EF09FC">
        <w:t xml:space="preserve"> has highlighted the key benefits of OBL is </w:t>
      </w:r>
      <w:r w:rsidR="00EF09FC">
        <w:lastRenderedPageBreak/>
        <w:t xml:space="preserve">Professor Helen Chatterjee, who is part of the genetics, </w:t>
      </w:r>
      <w:proofErr w:type="gramStart"/>
      <w:r w:rsidR="00EF09FC">
        <w:t>evolution</w:t>
      </w:r>
      <w:proofErr w:type="gramEnd"/>
      <w:r w:rsidR="00EF09FC">
        <w:t xml:space="preserve"> and environment division at University College London. Within her work, Chatterjee examines the uses of OBL </w:t>
      </w:r>
      <w:r w:rsidR="00550B4D">
        <w:t>in</w:t>
      </w:r>
      <w:r w:rsidR="00EF09FC">
        <w:t xml:space="preserve"> </w:t>
      </w:r>
      <w:r w:rsidR="00F636E7">
        <w:t>higher education. Despite this, her work correlates towards all levels of learning. According to Chatterjee</w:t>
      </w:r>
      <w:r w:rsidR="00550B4D">
        <w:t>,</w:t>
      </w:r>
      <w:r w:rsidR="003778A8">
        <w:t xml:space="preserve"> the use of objects within the classroom is beneficial to students as it ‘invokes a variety of senses’ and ‘encourages a form of interactive learning’ (Chatterjee, 20</w:t>
      </w:r>
      <w:r w:rsidR="00E656B8">
        <w:t>08</w:t>
      </w:r>
      <w:r w:rsidR="003778A8">
        <w:t xml:space="preserve">, p. 1). The use of a variety of senses is instrumental in creating a beneficial learning experience for the students </w:t>
      </w:r>
      <w:r w:rsidR="00E93B06">
        <w:t>and</w:t>
      </w:r>
      <w:r w:rsidR="003778A8">
        <w:t xml:space="preserve"> this is further supported by Kolb’s cycle of learning. </w:t>
      </w:r>
      <w:r w:rsidR="00C45358">
        <w:t xml:space="preserve">Kolb drew heavily on works of philosophical and developmental psychology by Piaget and Dewey, creating the cycle of learning. Within this cycle, Kolb believes that </w:t>
      </w:r>
      <w:proofErr w:type="gramStart"/>
      <w:r w:rsidR="00C45358">
        <w:t>in order to</w:t>
      </w:r>
      <w:proofErr w:type="gramEnd"/>
      <w:r w:rsidR="00C45358">
        <w:t xml:space="preserve"> gain real knowledge, learners must have a ‘concrete experience’</w:t>
      </w:r>
      <w:r w:rsidR="00E93B06">
        <w:t>, then reflect on the experience, use analytical skills to conceptualise the experience and then apply the knowledge through experimentation (Kolb, 2015, p. 17).</w:t>
      </w:r>
      <w:r w:rsidR="002C1DA8">
        <w:t xml:space="preserve"> This is further supported by Hein, as discovery learning approaches are ‘epitomised by the idea that learning is active’ and that by interacting with objects, students ‘engage with knowledge more fundamentally’ (Hein, 1998, p. 9). OBL provide students with a form of experiential learning. Learners construct new knowledge from their experiences and draw upon these experiences when objects are used in other disciplines, which further suggests the multi-disciplinary uses of objects within the classroom. </w:t>
      </w:r>
    </w:p>
    <w:p w14:paraId="234281EB" w14:textId="00550E06" w:rsidR="00FD50D2" w:rsidRDefault="002C1DA8" w:rsidP="00AF03AC">
      <w:pPr>
        <w:spacing w:line="276" w:lineRule="auto"/>
      </w:pPr>
      <w:r>
        <w:tab/>
        <w:t>Further suggested by Chatterjee is the role that objects can play with regards to the socio-</w:t>
      </w:r>
      <w:r w:rsidR="00EF316F">
        <w:t xml:space="preserve">cultural and cognitive </w:t>
      </w:r>
      <w:r w:rsidR="00DD011F">
        <w:t>development theories that were posited by Vygotsky (2015, p. 3, 201</w:t>
      </w:r>
      <w:r w:rsidR="00AE1750">
        <w:t>0</w:t>
      </w:r>
      <w:r w:rsidR="00DD011F">
        <w:t>, p. 180). According to Vygotsky, learning is more than ‘acquiring the ability to think’</w:t>
      </w:r>
      <w:r w:rsidR="009049B5">
        <w:t xml:space="preserve">, it is also the development of ‘many specialised’ abilities for thinking about a variety of things, and OBL falls under this (1997, p. 32). </w:t>
      </w:r>
      <w:r w:rsidR="00F86C1F">
        <w:t>Objects are valuable tools to a teacher as they can be used as ‘grounding mechanisms’ for challenging or complex areas of knowledge (Hanna</w:t>
      </w:r>
      <w:r w:rsidR="00673B9E">
        <w:t>n</w:t>
      </w:r>
      <w:r w:rsidR="00F86C1F">
        <w:t xml:space="preserve">, </w:t>
      </w:r>
      <w:proofErr w:type="spellStart"/>
      <w:r w:rsidR="00F86C1F">
        <w:t>Duhs</w:t>
      </w:r>
      <w:proofErr w:type="spellEnd"/>
      <w:r w:rsidR="00F86C1F">
        <w:t xml:space="preserve"> and Chatterjee, 2013, p. 163). The experience of seeing and touching objects allows learners </w:t>
      </w:r>
      <w:r w:rsidR="00550B4D">
        <w:t xml:space="preserve">to </w:t>
      </w:r>
      <w:r w:rsidR="00F86C1F">
        <w:t xml:space="preserve">interpret the concrete and relate it to anything abstract. This is further supported by Ulrich and Hardie. Hardie states that objects can be used to ‘understand and appreciate’ cultural </w:t>
      </w:r>
      <w:r w:rsidR="002F05E3">
        <w:t>and social attitudes and believes that objects can make learners ‘more aware of the world they live in’ (2015, p. 7; Ulrich, 2003, p. 57</w:t>
      </w:r>
      <w:r w:rsidR="00D52982">
        <w:t xml:space="preserve">). </w:t>
      </w:r>
      <w:r w:rsidR="002F05E3">
        <w:t>OBL can be used in the classroom to allow lea</w:t>
      </w:r>
      <w:r w:rsidR="00550B4D">
        <w:t>r</w:t>
      </w:r>
      <w:r w:rsidR="002F05E3">
        <w:t xml:space="preserve">ners to connect history to the items around them, but it also helps with their cultural development as it allows them to see </w:t>
      </w:r>
      <w:r w:rsidR="00FD50D2">
        <w:t>first-hand</w:t>
      </w:r>
      <w:r w:rsidR="002F05E3">
        <w:t xml:space="preserve"> how the world has changed over</w:t>
      </w:r>
      <w:r w:rsidR="00550B4D">
        <w:t xml:space="preserve"> </w:t>
      </w:r>
      <w:r w:rsidR="002F05E3">
        <w:t>time. By connecting meaning to the objects that learners encounter, they are more aware of the</w:t>
      </w:r>
      <w:r w:rsidR="00FD50D2">
        <w:t xml:space="preserve"> value of items and its significance not just in history, but to ordinary people</w:t>
      </w:r>
      <w:r w:rsidR="00D52982">
        <w:t xml:space="preserve">. Furthermore, action on objects in the classroom helps to foster the learners’ ‘self-consciousness.’ As Fox and </w:t>
      </w:r>
      <w:proofErr w:type="spellStart"/>
      <w:r w:rsidR="00D52982">
        <w:t>Riconscente</w:t>
      </w:r>
      <w:proofErr w:type="spellEnd"/>
      <w:r w:rsidR="00D52982">
        <w:t xml:space="preserve"> suggest through Piaget’s theory of development, ‘learners know themselves when acting upon an object’ (2008, p. 379)</w:t>
      </w:r>
      <w:r w:rsidR="002462D1">
        <w:t>.</w:t>
      </w:r>
      <w:r w:rsidR="00D52982" w:rsidRPr="00D52982">
        <w:t xml:space="preserve"> </w:t>
      </w:r>
      <w:r w:rsidR="00D52982">
        <w:t>The use of objects in the classroom fosters the learner’s ‘self-consciousness’ as the</w:t>
      </w:r>
      <w:r w:rsidR="002462D1">
        <w:t xml:space="preserve">y interact with external stimuli learners can better understand their own abilities and it allows them to reflect on their actions, leading to a deeper understanding of their own cognitive processes (Fox and </w:t>
      </w:r>
      <w:proofErr w:type="spellStart"/>
      <w:r w:rsidR="002462D1">
        <w:t>Ricsonscente</w:t>
      </w:r>
      <w:proofErr w:type="spellEnd"/>
      <w:r w:rsidR="002462D1">
        <w:t xml:space="preserve">, </w:t>
      </w:r>
      <w:r w:rsidR="00AB4A64">
        <w:t xml:space="preserve">2008, p. 379; Newman, 2010, p. 366). </w:t>
      </w:r>
    </w:p>
    <w:p w14:paraId="732B929D" w14:textId="7DC231E7" w:rsidR="009B6CFF" w:rsidRDefault="00AB4A64">
      <w:pPr>
        <w:spacing w:line="276" w:lineRule="auto"/>
      </w:pPr>
      <w:r>
        <w:lastRenderedPageBreak/>
        <w:tab/>
      </w:r>
      <w:r w:rsidR="00204600">
        <w:t xml:space="preserve">Research surrounding OBL, while focusing on its uses in cognitive development and its learning impact, has also been seen to increase class participation and helps to facilitate group work. </w:t>
      </w:r>
      <w:r w:rsidR="009B6CFF">
        <w:t xml:space="preserve">Dale, </w:t>
      </w:r>
      <w:proofErr w:type="spellStart"/>
      <w:r w:rsidR="009B6CFF">
        <w:t>Tasler</w:t>
      </w:r>
      <w:proofErr w:type="spellEnd"/>
      <w:r w:rsidR="009B6CFF">
        <w:t>, and Sanchez-</w:t>
      </w:r>
      <w:proofErr w:type="spellStart"/>
      <w:r w:rsidR="009B6CFF">
        <w:t>Jaregui</w:t>
      </w:r>
      <w:proofErr w:type="spellEnd"/>
      <w:r w:rsidR="009B6CFF">
        <w:t xml:space="preserve"> (2022) discuss</w:t>
      </w:r>
      <w:r w:rsidR="00550B4D">
        <w:t xml:space="preserve"> that </w:t>
      </w:r>
      <w:r w:rsidR="00204600">
        <w:t xml:space="preserve">OBL supports active participation through </w:t>
      </w:r>
      <w:r w:rsidR="006D5E10">
        <w:t>aesthesis</w:t>
      </w:r>
      <w:r w:rsidR="00204600">
        <w:t xml:space="preserve"> and embodied learning where it combines </w:t>
      </w:r>
      <w:proofErr w:type="gramStart"/>
      <w:r w:rsidR="00204600">
        <w:t>all of</w:t>
      </w:r>
      <w:proofErr w:type="gramEnd"/>
      <w:r w:rsidR="00204600">
        <w:t xml:space="preserve"> the senses, becoming a powerful pedagogy that facilitates critical thinking and behaviour change in the learners</w:t>
      </w:r>
      <w:r w:rsidR="009B6CFF">
        <w:t xml:space="preserve">. </w:t>
      </w:r>
      <w:r w:rsidR="00134E67">
        <w:t xml:space="preserve">Objects are useful in increasing learner participation as they can pique their curiosity. </w:t>
      </w:r>
      <w:r w:rsidR="006D5E10">
        <w:t xml:space="preserve">History classrooms can be very ‘sterile’, no matter the visual aids, objects can help to liven the classroom and can engage even the least productive learner in the class (Liken, 2009, p. 3). The </w:t>
      </w:r>
      <w:r w:rsidR="00D712FC">
        <w:t>hands-on</w:t>
      </w:r>
      <w:r w:rsidR="006D5E10">
        <w:t xml:space="preserve"> nature of OBL brings in participation due to their novelty and visual appeal</w:t>
      </w:r>
      <w:r w:rsidR="00CA491F">
        <w:t xml:space="preserve"> and strengthens learning as the sense of touch creates a more memorable learning experience (Paris, 2002, pp. 6-7). Whilst promoting a more engaging learning environment, OBL further promotes communication and cooperation between peers. Often when using objects in the classroom, teachers split their learners into groups, where some are normally quieter than others, objects are used to </w:t>
      </w:r>
      <w:r w:rsidR="00682C15">
        <w:t xml:space="preserve">help </w:t>
      </w:r>
      <w:r w:rsidR="00550B4D">
        <w:t>overcome</w:t>
      </w:r>
      <w:r w:rsidR="00682C15">
        <w:t xml:space="preserve"> these group difficulties and get the students cooperating (Beard and Wilson, 2002, p. 60). Hardie believes that ‘openness to experience’ is crucial to create an effective learning environment and that objects can create this environment, especially when the learners are in groups (2015, p. 16). </w:t>
      </w:r>
    </w:p>
    <w:p w14:paraId="7936941F" w14:textId="1E017936" w:rsidR="00682C15" w:rsidRDefault="00682C15">
      <w:pPr>
        <w:spacing w:line="276" w:lineRule="auto"/>
      </w:pPr>
      <w:r>
        <w:tab/>
        <w:t xml:space="preserve">To further engage with the critical incident, an extensive body of literature retaining to classroom behaviour management has been consulted. </w:t>
      </w:r>
      <w:r w:rsidR="004F05EA">
        <w:t>Throughout the literature</w:t>
      </w:r>
      <w:r w:rsidR="00550B4D">
        <w:t>,</w:t>
      </w:r>
      <w:r w:rsidR="004F05EA">
        <w:t xml:space="preserve"> </w:t>
      </w:r>
      <w:proofErr w:type="gramStart"/>
      <w:r w:rsidR="004F05EA">
        <w:t>it can be seen that the</w:t>
      </w:r>
      <w:proofErr w:type="gramEnd"/>
      <w:r w:rsidR="004F05EA">
        <w:t xml:space="preserve"> most common disturbances and often the most challenging to deal with is low-level disruptions. These low-level disruptions have the possibility to distract surrounding students and, according to Browne, can destroy the learning environment that the teacher is trying to create or uphold (Browne, 2013, p. 129).</w:t>
      </w:r>
      <w:r w:rsidR="00691BA6">
        <w:t xml:space="preserve"> Ming-</w:t>
      </w:r>
      <w:proofErr w:type="spellStart"/>
      <w:r w:rsidR="00691BA6">
        <w:t>Tak</w:t>
      </w:r>
      <w:proofErr w:type="spellEnd"/>
      <w:r w:rsidR="00691BA6">
        <w:t xml:space="preserve"> and Wai-Shing believe that classroom management is necessary for the creation of a supportive and respectful learning environment and that teachers need to be aware of how to stop low-level disruption before it gets out of hand (2008, pp. 3-4). The idea of creating a respectful learning environment is further supported by James and Corrie, where they recommend that teachers learn ‘discrete management skills’ such as praising and by setting a support structure (2006, p. </w:t>
      </w:r>
      <w:r w:rsidR="008152AD">
        <w:t xml:space="preserve">98; 2016, pp. 7-8). Classroom management is an important and necessary skill for all teachers, but </w:t>
      </w:r>
      <w:proofErr w:type="gramStart"/>
      <w:r w:rsidR="008152AD">
        <w:t>in regards to</w:t>
      </w:r>
      <w:proofErr w:type="gramEnd"/>
      <w:r w:rsidR="008152AD">
        <w:t xml:space="preserve"> OBL it is even more important as without the right environment, students could easily go off task, damage the items, or even hurt other students depending on the objects used. </w:t>
      </w:r>
    </w:p>
    <w:p w14:paraId="5A1DD79C" w14:textId="77777777" w:rsidR="008152AD" w:rsidRDefault="008152AD">
      <w:pPr>
        <w:spacing w:line="276" w:lineRule="auto"/>
      </w:pPr>
    </w:p>
    <w:p w14:paraId="086B2DBC" w14:textId="14A016A5" w:rsidR="005716A8" w:rsidRPr="005716A8" w:rsidRDefault="005716A8">
      <w:pPr>
        <w:spacing w:line="276" w:lineRule="auto"/>
        <w:rPr>
          <w:b/>
          <w:bCs/>
          <w:u w:val="single"/>
        </w:rPr>
      </w:pPr>
      <w:r>
        <w:rPr>
          <w:b/>
          <w:bCs/>
          <w:u w:val="single"/>
        </w:rPr>
        <w:t>Case Study</w:t>
      </w:r>
    </w:p>
    <w:p w14:paraId="09C9575E" w14:textId="631DB5F9" w:rsidR="008152AD" w:rsidRDefault="004212A3">
      <w:pPr>
        <w:spacing w:line="276" w:lineRule="auto"/>
      </w:pPr>
      <w:r>
        <w:t>As an observer or ‘researcher’ within this context, it is important that the following sections that follow align with the BERA Guidelines regarding the treatment of those who participated have been observed</w:t>
      </w:r>
      <w:r w:rsidR="00094F0D">
        <w:t xml:space="preserve"> (BERA, 2018). </w:t>
      </w:r>
      <w:r>
        <w:t xml:space="preserve">To do so, the following sections will ensure that the data collected will remain confidential and anonymous, including the name of the school, </w:t>
      </w:r>
      <w:proofErr w:type="gramStart"/>
      <w:r>
        <w:t>staff</w:t>
      </w:r>
      <w:proofErr w:type="gramEnd"/>
      <w:r>
        <w:t xml:space="preserve"> and its pupils. It is also important to recognise the length of time that has </w:t>
      </w:r>
      <w:r>
        <w:lastRenderedPageBreak/>
        <w:t xml:space="preserve">passed since this school received an Estyn report, which has been used for some of the following data. </w:t>
      </w:r>
    </w:p>
    <w:p w14:paraId="562B7833" w14:textId="20C2DB38" w:rsidR="00094F0D" w:rsidRDefault="00094F0D">
      <w:pPr>
        <w:spacing w:line="276" w:lineRule="auto"/>
      </w:pPr>
      <w:r>
        <w:tab/>
        <w:t xml:space="preserve">The observation took place in an English medium secondary school based in the Rhondda Cynon </w:t>
      </w:r>
      <w:proofErr w:type="spellStart"/>
      <w:r>
        <w:t>Taf</w:t>
      </w:r>
      <w:proofErr w:type="spellEnd"/>
      <w:r>
        <w:t xml:space="preserve"> Borough Council’s authority. The school has 1,630 mixed-gender pupils from an age range of eleven to eighteen (Estyn, 2016). </w:t>
      </w:r>
      <w:r w:rsidR="00407C5D">
        <w:t>The incident recorded during the period of observation occurred within a Key Stage 3 class, specifically a year 7 history class. Unlike other AOLEs, history is a mixed</w:t>
      </w:r>
      <w:r w:rsidR="00550B4D">
        <w:t>-</w:t>
      </w:r>
      <w:r w:rsidR="00407C5D">
        <w:t xml:space="preserve">ability class. </w:t>
      </w:r>
      <w:r w:rsidR="00143C79">
        <w:t>Around 2</w:t>
      </w:r>
      <w:r w:rsidR="00407C5D">
        <w:t xml:space="preserve">4.8 </w:t>
      </w:r>
      <w:r w:rsidR="00143C79">
        <w:t>% of the pupils are eligible for free school meals as of 20</w:t>
      </w:r>
      <w:r w:rsidR="00407C5D">
        <w:t>22</w:t>
      </w:r>
      <w:r w:rsidR="00143C79">
        <w:t xml:space="preserve">, above the average of </w:t>
      </w:r>
      <w:r w:rsidR="00407C5D">
        <w:t>23.8</w:t>
      </w:r>
      <w:r w:rsidR="00143C79">
        <w:t>% for Wales</w:t>
      </w:r>
      <w:r w:rsidR="006E4F81">
        <w:t xml:space="preserve"> and 41% of pupils live in the 20% most deprived areas of Wales (Welsh Government, 2022; Estyn, 2016). Additionally, 24% of pupils are on the school’s additional needs register, which is 1% below the national average in 2016 (Estyn, 2016). </w:t>
      </w:r>
    </w:p>
    <w:p w14:paraId="2A316114" w14:textId="3B2C5CE5" w:rsidR="006E4F81" w:rsidRDefault="006E4F81">
      <w:pPr>
        <w:spacing w:line="276" w:lineRule="auto"/>
      </w:pPr>
      <w:r>
        <w:tab/>
      </w:r>
      <w:r w:rsidR="006B1309">
        <w:t xml:space="preserve">The school-based observations highlighted numerous incidents that could be used to reflect and inform next steps and future teaching practices. The chosen incident for this assignment is outlined in </w:t>
      </w:r>
      <w:r w:rsidR="00BE3428">
        <w:t xml:space="preserve">the </w:t>
      </w:r>
      <w:r w:rsidR="006B1309">
        <w:t xml:space="preserve">appendix and occurred on day </w:t>
      </w:r>
      <w:r w:rsidR="00310DB3">
        <w:t>two</w:t>
      </w:r>
      <w:r w:rsidR="006B1309">
        <w:t xml:space="preserve"> of my observation in school. The incident occurred during a year 7 class that had around 27 learners with one class </w:t>
      </w:r>
      <w:r w:rsidR="00E60450">
        <w:t>teacher.</w:t>
      </w:r>
      <w:r w:rsidR="006E0401">
        <w:t xml:space="preserve"> </w:t>
      </w:r>
      <w:r w:rsidR="00310DB3">
        <w:t>It is also important to be aware that this was the teacher</w:t>
      </w:r>
      <w:r w:rsidR="00550B4D">
        <w:t>’s</w:t>
      </w:r>
      <w:r w:rsidR="00310DB3">
        <w:t xml:space="preserve"> third lesson with the class observed. </w:t>
      </w:r>
      <w:r w:rsidR="003F3197">
        <w:t xml:space="preserve">To put the incident into context, it was during fourth period (just before lunch) and after the learners entered the classroom the teacher divided them into groups, three groups of five and two groups of six and made them aware that the session would consist of analysing Roman armour. The lesson prior introduced the Roman Empire to the learners and outlined their reasons for </w:t>
      </w:r>
      <w:r w:rsidR="00AD72F1">
        <w:t>invading Wales</w:t>
      </w:r>
      <w:r w:rsidR="00E60450">
        <w:t xml:space="preserve">, linking to </w:t>
      </w:r>
      <w:proofErr w:type="gramStart"/>
      <w:r w:rsidR="00E60450">
        <w:t>the</w:t>
      </w:r>
      <w:r w:rsidR="00BE3428">
        <w:t xml:space="preserve"> </w:t>
      </w:r>
      <w:r w:rsidR="00E60450">
        <w:t>what</w:t>
      </w:r>
      <w:proofErr w:type="gramEnd"/>
      <w:r w:rsidR="00E60450">
        <w:t xml:space="preserve"> matters statements exploration of the world and the creation of self-aware students (Welsh Government, 2022)</w:t>
      </w:r>
      <w:r w:rsidR="00AD72F1">
        <w:t xml:space="preserve">. This lesson was designed with the intention that using the replica Roman armour and foam sword, the learners would be able to determine that the Roman Empire was an advanced civilisation compared to that of Wales. </w:t>
      </w:r>
      <w:r w:rsidR="000B245A">
        <w:t xml:space="preserve">Once the learners were split into groups, the teacher handed each group one of the items and outlined to the groups the task: to examine each object, highlight what it would have been </w:t>
      </w:r>
      <w:proofErr w:type="gramStart"/>
      <w:r w:rsidR="000B245A">
        <w:t>made out of</w:t>
      </w:r>
      <w:proofErr w:type="gramEnd"/>
      <w:r w:rsidR="000B245A">
        <w:t xml:space="preserve"> and its uses. Many of the children were initially apprehensive to working in groups, however, once the objects were introduced the learners began to get more engaged with the lesson and its task. With some teacher involvement, the groups began to get on with their tasks</w:t>
      </w:r>
      <w:r w:rsidR="00B7759E">
        <w:t xml:space="preserve">, linking to the ideas put forward by Chatterjee and </w:t>
      </w:r>
      <w:proofErr w:type="spellStart"/>
      <w:r w:rsidR="00B7759E">
        <w:t>Frigo</w:t>
      </w:r>
      <w:proofErr w:type="spellEnd"/>
      <w:r w:rsidR="00B7759E">
        <w:t xml:space="preserve"> that objects help to promote class discussion and engagement (2015, p. 7; 2019, p. 7). </w:t>
      </w:r>
      <w:r w:rsidR="0088178C">
        <w:t xml:space="preserve">The objects </w:t>
      </w:r>
      <w:r w:rsidR="007C63CF">
        <w:t xml:space="preserve">were further used to create a student-led environment, with small teacher intervention when necessary. This </w:t>
      </w:r>
      <w:r w:rsidR="006C53D7">
        <w:t xml:space="preserve">encourages the students to have more responsibility for their learning, but it is one that requires the teacher to ‘let go’ of their traditional responsibilities (Hardie, 2015, p. 31). </w:t>
      </w:r>
      <w:r w:rsidR="005B16F7">
        <w:t xml:space="preserve">During this observation, many of the students were challenged within their zone of proximal development, where the learners </w:t>
      </w:r>
      <w:r w:rsidR="00886C4A">
        <w:t>began to develop independent problem-solving skills in collaboration with their peers (Vygotsky, 1997, p. 31).</w:t>
      </w:r>
      <w:r w:rsidR="00302E27">
        <w:t xml:space="preserve"> </w:t>
      </w:r>
      <w:r w:rsidR="00163A9E">
        <w:t xml:space="preserve">This fostered a positive learning environment and encouraged learners to stretch their abilities and acquire new skills and deepen their understanding. </w:t>
      </w:r>
    </w:p>
    <w:p w14:paraId="1D2441F2" w14:textId="38501F74" w:rsidR="001A425E" w:rsidRDefault="00302E27">
      <w:pPr>
        <w:spacing w:line="276" w:lineRule="auto"/>
      </w:pPr>
      <w:r>
        <w:tab/>
        <w:t xml:space="preserve">However, throughout the observation, it was evident that there was a group that were disengaged from the task and did not fully comprehend what the teacher was asking </w:t>
      </w:r>
      <w:r>
        <w:lastRenderedPageBreak/>
        <w:t xml:space="preserve">them to do. </w:t>
      </w:r>
      <w:r w:rsidR="00A00A31">
        <w:t>This group was full of young boys and appeared to be mostly comprised of a singular friendship group, where</w:t>
      </w:r>
      <w:r w:rsidR="00550B4D">
        <w:t xml:space="preserve">as </w:t>
      </w:r>
      <w:r w:rsidR="00A00A31">
        <w:t xml:space="preserve">the other groups were mixed and appeared to be more unfamiliar to </w:t>
      </w:r>
      <w:r w:rsidR="00E60450">
        <w:t>each other</w:t>
      </w:r>
      <w:r w:rsidR="00A00A31">
        <w:t xml:space="preserve">. </w:t>
      </w:r>
      <w:r>
        <w:t>Once the teacher had come to the group and illustrated to them what to do, they were</w:t>
      </w:r>
      <w:r w:rsidR="00BC628E">
        <w:t xml:space="preserve"> still unable to comprehend the task</w:t>
      </w:r>
      <w:r>
        <w:t xml:space="preserve">. </w:t>
      </w:r>
      <w:r w:rsidR="00BC628E">
        <w:t>Due to this task being too challenging for the group, and the teacher being preoccupied with another group, the learners became overwhelmed and frustrated with the task</w:t>
      </w:r>
      <w:r w:rsidR="00163A9E">
        <w:t xml:space="preserve">. This frustration meant that the learners had left their zone of proximal development and their environment no longer promoted learning (Vygotsky, 1997, pp. 31-32). Due to this group of learners becoming </w:t>
      </w:r>
      <w:r w:rsidR="006E0401">
        <w:t>disengaged and</w:t>
      </w:r>
      <w:r w:rsidR="00163A9E">
        <w:t xml:space="preserve"> began to use the objects provided to </w:t>
      </w:r>
      <w:r w:rsidR="006E0401">
        <w:t>disturb the others in the classroom. The learners would hit each other with the foam sword and went into other groups</w:t>
      </w:r>
      <w:r w:rsidR="00550B4D">
        <w:t xml:space="preserve"> to</w:t>
      </w:r>
      <w:r w:rsidR="006E0401">
        <w:t xml:space="preserve"> try and wear the pieces of armour that the other groups were using for study. This is a clear example of a classroom disturbance that is observed by Schwab, Eckstein and </w:t>
      </w:r>
      <w:proofErr w:type="spellStart"/>
      <w:r w:rsidR="006E0401">
        <w:t>Reusser</w:t>
      </w:r>
      <w:proofErr w:type="spellEnd"/>
      <w:r w:rsidR="006E0401">
        <w:t xml:space="preserve"> and is viewed as one of the most difficult challenges a teacher faces (2018, p. 223). </w:t>
      </w:r>
      <w:r w:rsidR="006801E4">
        <w:t>Due to his disruption, the teacher had to stop the group of learners and put them back on task, leaving the other groups within the class to continue with the lesson. Howeve</w:t>
      </w:r>
      <w:r w:rsidR="00A40D12">
        <w:t>r, as the group</w:t>
      </w:r>
      <w:r w:rsidR="00550B4D">
        <w:t>’</w:t>
      </w:r>
      <w:r w:rsidR="00A40D12">
        <w:t xml:space="preserve">s disruption interfered with the other learners, </w:t>
      </w:r>
      <w:r w:rsidR="00E73F0A">
        <w:t xml:space="preserve">they destroyed the learning environment created by the teacher and the objects. Thus, due to one group and their disruption, the entire classroom </w:t>
      </w:r>
      <w:proofErr w:type="gramStart"/>
      <w:r w:rsidR="00E73F0A">
        <w:t>were</w:t>
      </w:r>
      <w:proofErr w:type="gramEnd"/>
      <w:r w:rsidR="00E73F0A">
        <w:t xml:space="preserve"> taken away from their learning</w:t>
      </w:r>
      <w:r w:rsidR="00A00A31">
        <w:t xml:space="preserve"> and the benefits of using objects in the class were lost, as they were no longer linked to subject knowledge, but to the learner’s misbehaviour. </w:t>
      </w:r>
    </w:p>
    <w:p w14:paraId="3A13B2DC" w14:textId="77777777" w:rsidR="00782DBC" w:rsidRDefault="00782DBC">
      <w:pPr>
        <w:spacing w:line="276" w:lineRule="auto"/>
      </w:pPr>
    </w:p>
    <w:p w14:paraId="3437E8AC" w14:textId="191C3080" w:rsidR="005716A8" w:rsidRPr="005716A8" w:rsidRDefault="005716A8">
      <w:pPr>
        <w:spacing w:line="276" w:lineRule="auto"/>
        <w:rPr>
          <w:b/>
          <w:bCs/>
          <w:u w:val="single"/>
        </w:rPr>
      </w:pPr>
      <w:r>
        <w:rPr>
          <w:b/>
          <w:bCs/>
          <w:u w:val="single"/>
        </w:rPr>
        <w:t>Teaching and Learning Methods</w:t>
      </w:r>
    </w:p>
    <w:p w14:paraId="634E9FD0" w14:textId="77777777" w:rsidR="00223006" w:rsidRDefault="00550B4D" w:rsidP="00550B4D">
      <w:pPr>
        <w:spacing w:line="276" w:lineRule="auto"/>
      </w:pPr>
      <w:r>
        <w:t xml:space="preserve">Concerning </w:t>
      </w:r>
      <w:r w:rsidR="003B3C53">
        <w:t xml:space="preserve">the critical incident presented prior, numerous teaching methods could be implemented to address the critical incident. The teaching and learning methods that will be discussed relate not only to OBL, but classroom management as well, and should help to minimise the chances of the critical incident occurring again with another class. </w:t>
      </w:r>
      <w:r w:rsidR="00043408">
        <w:t xml:space="preserve">While OBL is a superb tool that helps to facilitate learning it is seen as a difficult learning method to promote and as Cain suggests, it requires ‘a radical change’ in teaching style (2010, p. 198). </w:t>
      </w:r>
      <w:r w:rsidR="00311AC0">
        <w:t xml:space="preserve">It is suggested that practice with objects, whether </w:t>
      </w:r>
      <w:proofErr w:type="gramStart"/>
      <w:r w:rsidR="00311AC0">
        <w:t>in reality or</w:t>
      </w:r>
      <w:proofErr w:type="gramEnd"/>
      <w:r w:rsidR="00311AC0">
        <w:t xml:space="preserve"> virtual, or by relating the use of objects as sources to standard written sources can help to address this (Hardie, 2015, p. 20). </w:t>
      </w:r>
      <w:r w:rsidR="00C738D4">
        <w:t>However, as OBL is experimental, real classroom experience will help to further facilitate the skills necessary for a teacher to effectively use OBL during a lesson.</w:t>
      </w:r>
      <w:r>
        <w:t xml:space="preserve"> </w:t>
      </w:r>
    </w:p>
    <w:p w14:paraId="37E40E77" w14:textId="230730AC" w:rsidR="00782DBC" w:rsidRDefault="00311AC0" w:rsidP="00223006">
      <w:pPr>
        <w:spacing w:line="276" w:lineRule="auto"/>
        <w:ind w:firstLine="720"/>
      </w:pPr>
      <w:r>
        <w:t>Furthermore, the use of objects for critical analysis was</w:t>
      </w:r>
      <w:r w:rsidR="00550B4D">
        <w:t xml:space="preserve"> a</w:t>
      </w:r>
      <w:r>
        <w:t xml:space="preserve"> newly introduced skill to the lea</w:t>
      </w:r>
      <w:r w:rsidR="00550B4D">
        <w:t>r</w:t>
      </w:r>
      <w:r>
        <w:t xml:space="preserve">ners observed during the critical incident, and while many understood, there were others </w:t>
      </w:r>
      <w:r w:rsidR="00223006">
        <w:t>who</w:t>
      </w:r>
      <w:r>
        <w:t xml:space="preserve"> did not. </w:t>
      </w:r>
      <w:r w:rsidR="00C738D4">
        <w:t>More effective scaffolding should have been used during the lesson. Scaffolding is an extremely important technique utilised by teachers, and in the case of OBL</w:t>
      </w:r>
      <w:r w:rsidR="00223006">
        <w:t>,</w:t>
      </w:r>
      <w:r w:rsidR="00C738D4">
        <w:t xml:space="preserve"> it is crucial that it is effective.</w:t>
      </w:r>
      <w:r w:rsidR="00AD1F0B">
        <w:t xml:space="preserve"> Scaffolding is an instructional technique where the teacher shows the learners how to complete a task and by using ‘imitation’, the learners should be capable of finishing the task and then internalise the new psychological function (Kolb, 2015, p. 198; Vygotsky, 1997, p. 30). If the teacher had used a different set of objects at the beginning of the class to show </w:t>
      </w:r>
      <w:r w:rsidR="006B047A">
        <w:t xml:space="preserve">the learners how to use objects as sources, it would </w:t>
      </w:r>
      <w:r w:rsidR="00223006">
        <w:t xml:space="preserve">have </w:t>
      </w:r>
      <w:r w:rsidR="006B047A">
        <w:lastRenderedPageBreak/>
        <w:t>limit</w:t>
      </w:r>
      <w:r w:rsidR="00223006">
        <w:t>ed</w:t>
      </w:r>
      <w:r w:rsidR="006B047A">
        <w:t xml:space="preserve"> the frustrations of the learners that occurred later in the incident. </w:t>
      </w:r>
      <w:r w:rsidR="00F16B4E">
        <w:t xml:space="preserve">By scaffolding more effectively during the lesson, </w:t>
      </w:r>
      <w:r w:rsidR="007A27D8">
        <w:t xml:space="preserve">the teacher could have prevented the disengagement of the group of learners later in the lesson, stopping their misbehaviour and keeping the environment for learning alive. </w:t>
      </w:r>
    </w:p>
    <w:p w14:paraId="363F57B8" w14:textId="143C31C6" w:rsidR="00824930" w:rsidRDefault="00824930">
      <w:pPr>
        <w:spacing w:line="276" w:lineRule="auto"/>
      </w:pPr>
      <w:r>
        <w:tab/>
        <w:t xml:space="preserve">In addition to scaffolding, there </w:t>
      </w:r>
      <w:r w:rsidR="00223006">
        <w:t>are</w:t>
      </w:r>
      <w:r>
        <w:t xml:space="preserve"> classroom management methods that, if implemented, could minimise the chances of classroom misbehaviour when implementing OBL </w:t>
      </w:r>
      <w:r w:rsidR="003A404C">
        <w:t xml:space="preserve">next time. One of the main </w:t>
      </w:r>
      <w:r w:rsidR="00310DB3">
        <w:t xml:space="preserve">aspects that relate to learner behaviour is the ‘student-teacher relation’, which can have negative or positive effects on the class. </w:t>
      </w:r>
      <w:r w:rsidR="00223006">
        <w:t xml:space="preserve">With </w:t>
      </w:r>
      <w:r w:rsidR="00310DB3">
        <w:t xml:space="preserve">respect to the critical incident, it was only the teacher’s third lesson with the class, meaning that the teacher had not fully built up their relationship with the learners. According to McNamara and </w:t>
      </w:r>
      <w:r w:rsidR="00BB0811">
        <w:t xml:space="preserve">Moreton, teachers need to create a classroom that can ‘echo Will’s criteria of safe, </w:t>
      </w:r>
      <w:proofErr w:type="gramStart"/>
      <w:r w:rsidR="00BB0811">
        <w:t>secure</w:t>
      </w:r>
      <w:proofErr w:type="gramEnd"/>
      <w:r w:rsidR="00BB0811">
        <w:t xml:space="preserve"> and permanent (</w:t>
      </w:r>
      <w:r w:rsidR="00092B70">
        <w:t xml:space="preserve">2001, p. 39). A warm, positive, teacher relationship is crucial to creating this safe space. This is further supported by Browne, where they believe that the learner-teacher relationship is important in creating an environment that supports and facilitates learning, as learners are more comfortable with the teacher and open to </w:t>
      </w:r>
      <w:r w:rsidR="002B6471">
        <w:t>questioning and experimentation</w:t>
      </w:r>
      <w:r w:rsidR="00D04724">
        <w:t xml:space="preserve"> which is necessary when using objects in the classroom</w:t>
      </w:r>
      <w:r w:rsidR="002B6471">
        <w:t xml:space="preserve"> (2013, p. 1</w:t>
      </w:r>
      <w:r w:rsidR="00D04724">
        <w:t xml:space="preserve">). In addition to facilitating a learning environment, positive learner-teacher relationships can </w:t>
      </w:r>
      <w:r w:rsidR="00DB3076">
        <w:t xml:space="preserve">be used as a predictor for learner’s behaviour. With a more positive relationship, where the teacher knows the learners better, they will be aware of the learner’s predictors for negative behaviour and will be able to prevent it from spiralling (Schwab, Eckstein, and </w:t>
      </w:r>
      <w:proofErr w:type="spellStart"/>
      <w:r w:rsidR="00DB3076">
        <w:t>Reusser</w:t>
      </w:r>
      <w:proofErr w:type="spellEnd"/>
      <w:r w:rsidR="00DB3076">
        <w:t xml:space="preserve">, 2018, pp. 228-229). </w:t>
      </w:r>
      <w:r w:rsidR="00120C8C">
        <w:t xml:space="preserve">In relation to the critical incident, it would be beneficial if the teacher had left this experimental type of lesson for later in the term. By leaving it </w:t>
      </w:r>
      <w:r w:rsidR="00847102">
        <w:t xml:space="preserve">for </w:t>
      </w:r>
      <w:r w:rsidR="00120C8C">
        <w:t>later in the term, the teacher would have built a more positive relationship with the learners, thus creating a more facilitating learning environment and would be more aware of the learner’s behaviours. The creation of this environment and being aware of the lea</w:t>
      </w:r>
      <w:r w:rsidR="00223006">
        <w:t>r</w:t>
      </w:r>
      <w:r w:rsidR="00120C8C">
        <w:t xml:space="preserve">ner’s behaviour predictors would allow the teacher to stop the group of learners from becoming frustrated and interfering with the other groups, keeping the learning environment alive. </w:t>
      </w:r>
    </w:p>
    <w:p w14:paraId="03474957" w14:textId="4FD69F12" w:rsidR="00120C8C" w:rsidRDefault="00120C8C">
      <w:pPr>
        <w:spacing w:line="276" w:lineRule="auto"/>
      </w:pPr>
      <w:r>
        <w:tab/>
      </w:r>
      <w:r w:rsidR="00C47D41">
        <w:t xml:space="preserve">Another important aspect of classroom management that would be beneficial for stopping the misbehaviour seen during the critical incident is managing student discipline problems and dealing with their low-learning motivation. One technique </w:t>
      </w:r>
      <w:r w:rsidR="00223006">
        <w:t>for</w:t>
      </w:r>
      <w:r w:rsidR="00C47D41">
        <w:t xml:space="preserve"> managing this would be a solution-focused approach. James believes a solution-based approach is effective in stopping classroom misbehaviour for two main reasons: it engages the self-motivation and self-expertise of the learner and allows the lea</w:t>
      </w:r>
      <w:r w:rsidR="00223006">
        <w:t>r</w:t>
      </w:r>
      <w:r w:rsidR="00C47D41">
        <w:t xml:space="preserve">ner to be curious and open-minded (2016, </w:t>
      </w:r>
      <w:r w:rsidR="00847102">
        <w:t xml:space="preserve">p. 5). A solution-based approach helps the student move forward by focusing on their existing skills, rather than focusing on their problems, and is effective at helping the learner become more independent (Corrie, 1997, p. 98). By implementing a solution-based approach, the teacher can highlight what the student is doing well, creating a positive mindset within the </w:t>
      </w:r>
      <w:r w:rsidR="00223006">
        <w:t>learners,</w:t>
      </w:r>
      <w:r w:rsidR="00847102">
        <w:t xml:space="preserve"> and giving them confidence (Corrie, 1997, pp. 98-99). </w:t>
      </w:r>
      <w:r w:rsidR="00B27582">
        <w:t xml:space="preserve">The use of a solution-based approach also allows the learners to build resilience, as they cope with setbacks and failure by developing different strategies that will enable them to develop </w:t>
      </w:r>
      <w:r w:rsidR="00B27582">
        <w:lastRenderedPageBreak/>
        <w:t xml:space="preserve">further (James, 2015, p. 7). </w:t>
      </w:r>
      <w:r w:rsidR="00257D9B">
        <w:t>The use of a solution-based approach with the group of learners that became frustrated during the critical incident observation would have allowed them to persevere with the object-based task until the teacher came to provide any assistance. This would mean the learners would not have become frustrated, leading to no behaviour</w:t>
      </w:r>
      <w:r w:rsidR="00223006">
        <w:t>al</w:t>
      </w:r>
      <w:r w:rsidR="00257D9B">
        <w:t xml:space="preserve"> problems and would promote a facilitating learning environment. </w:t>
      </w:r>
    </w:p>
    <w:p w14:paraId="0CA68A75" w14:textId="77777777" w:rsidR="00257D9B" w:rsidRDefault="00257D9B">
      <w:pPr>
        <w:spacing w:line="276" w:lineRule="auto"/>
      </w:pPr>
    </w:p>
    <w:p w14:paraId="0CB8FF8B" w14:textId="47B1BC73" w:rsidR="005716A8" w:rsidRPr="005716A8" w:rsidRDefault="005716A8">
      <w:pPr>
        <w:spacing w:line="276" w:lineRule="auto"/>
        <w:rPr>
          <w:b/>
          <w:bCs/>
          <w:u w:val="single"/>
        </w:rPr>
      </w:pPr>
      <w:r>
        <w:rPr>
          <w:b/>
          <w:bCs/>
          <w:u w:val="single"/>
        </w:rPr>
        <w:t>Discussion</w:t>
      </w:r>
    </w:p>
    <w:p w14:paraId="4DAAB44A" w14:textId="35DE5AAB" w:rsidR="00257D9B" w:rsidRDefault="00257D9B">
      <w:pPr>
        <w:spacing w:line="276" w:lineRule="auto"/>
      </w:pPr>
      <w:r>
        <w:t xml:space="preserve">From contextualising the observed critical incident </w:t>
      </w:r>
      <w:r w:rsidR="0072395B">
        <w:t xml:space="preserve">and engaging with various texts on classroom behaviour and the use of objects in the classroom there are various methods and techniques that I would adopt into my teaching, not only during my first placement but for the rest of my career also. </w:t>
      </w:r>
      <w:r w:rsidR="00F31B6B">
        <w:t xml:space="preserve">One of the main pedagogical approaches that I would take during my teaching career, based </w:t>
      </w:r>
      <w:r w:rsidR="00CE560E">
        <w:t>on</w:t>
      </w:r>
      <w:r w:rsidR="00F31B6B">
        <w:t xml:space="preserve"> the critical incident and history as an AOLE, is experiential learning. Experiential learning is a learning process that emphasises hands-on experiences, where the learners actively engage in an experience, reflect </w:t>
      </w:r>
      <w:r w:rsidR="003E45FA">
        <w:t>on the experience, derive meaning from it and apply their skills to future situations (Kolb, 2015, p. 198). OBL and other forms of source analysis are widely used throughout schools and apply to all subjects</w:t>
      </w:r>
      <w:r w:rsidR="00CE560E">
        <w:t xml:space="preserve"> and are forms of experiential learning</w:t>
      </w:r>
      <w:r w:rsidR="003E45FA">
        <w:t xml:space="preserve">. </w:t>
      </w:r>
      <w:r w:rsidR="00CE560E">
        <w:t xml:space="preserve">Experiential learning is a widely used teaching approach and is recognised for promoting deep understanding and the development of practical skills (Beard and Wilson, 2002, p. 45). As Vygotsky and others have believed, the zone of proximal development is where learning occurs, and learners often learn best through experiences of imitation and communication (1998, p. 32; Kolb, 2015, p. 198). In my classes, before engaging with any form of tasks, </w:t>
      </w:r>
      <w:r w:rsidR="00223006">
        <w:t>I will introduce it</w:t>
      </w:r>
      <w:r w:rsidR="00CE560E">
        <w:t xml:space="preserve"> to the learners and </w:t>
      </w:r>
      <w:r w:rsidR="00817458">
        <w:t xml:space="preserve">explain it to them in as much detail as possible (scaffolding). Furthermore, I will introduce the ‘I do, we do, you do’ method, </w:t>
      </w:r>
      <w:r w:rsidR="00693764">
        <w:t xml:space="preserve">where I will go through an example on the board, then probe the students to go through one with me while intervening the learning with ability correct questions, and then allowing them to have a go own their own. </w:t>
      </w:r>
      <w:r w:rsidR="00D433AF">
        <w:t xml:space="preserve">By adopting an experiential pedagogical approach in my classes, I should be able to foster an environment where learners can critically reflect on their work and develop further. </w:t>
      </w:r>
    </w:p>
    <w:p w14:paraId="6A26364E" w14:textId="5FCC6422" w:rsidR="00D433AF" w:rsidRDefault="00D433AF">
      <w:pPr>
        <w:spacing w:line="276" w:lineRule="auto"/>
      </w:pPr>
      <w:r>
        <w:tab/>
        <w:t>However, to be able to effectively introduce experiential teaching methods into my lessons, I also need to be able to manage classroom beha</w:t>
      </w:r>
      <w:r w:rsidR="009E7318">
        <w:t>viour to ensure that effective and supportive teaching can take place. Effective classroom management is an ‘inseparable’ part of teaching and learning and it can help develop self-control in a way that allows the learners, and teacher, to feel good about themselves (Ming-</w:t>
      </w:r>
      <w:proofErr w:type="spellStart"/>
      <w:r w:rsidR="009E7318">
        <w:t>Tak</w:t>
      </w:r>
      <w:proofErr w:type="spellEnd"/>
      <w:r w:rsidR="009E7318">
        <w:t xml:space="preserve"> and Wai-Shing, 2008, p. 16). To be able to effectively manage a classroom, I need to develop a good and professional relationship with my learners, which will allow them to not only have confidence in me as a </w:t>
      </w:r>
      <w:r w:rsidR="00FF0B83">
        <w:t>teacher but</w:t>
      </w:r>
      <w:r w:rsidR="009E7318">
        <w:t xml:space="preserve"> will also allow me to </w:t>
      </w:r>
      <w:r w:rsidR="00D0757D">
        <w:t>identify their behaviour predictors and prevent any misbehaviour (</w:t>
      </w:r>
      <w:r w:rsidR="00D0757D">
        <w:t xml:space="preserve">Schwab, Eckstein, and </w:t>
      </w:r>
      <w:proofErr w:type="spellStart"/>
      <w:r w:rsidR="00D0757D">
        <w:t>Reusser</w:t>
      </w:r>
      <w:proofErr w:type="spellEnd"/>
      <w:r w:rsidR="00D0757D">
        <w:t>, 2018, pp. 228-229)</w:t>
      </w:r>
      <w:r w:rsidR="00D0757D">
        <w:t>.</w:t>
      </w:r>
      <w:r w:rsidR="00FF0B83">
        <w:t xml:space="preserve"> Additionally, I will adopt a solution-based approach to my teaching, where I will focus on the learner’s positives to encourage them to keep engaged and to persevere when some tasks may be challenging. Of course, this may not always be the case that learners could get on with tasks on their own, so I will do my best to help where possible to facilitate the learner</w:t>
      </w:r>
      <w:r w:rsidR="00DB2B8A">
        <w:t xml:space="preserve">’s development. By </w:t>
      </w:r>
      <w:r w:rsidR="00DB2B8A">
        <w:lastRenderedPageBreak/>
        <w:t>adopting these strategies in my learning, I hope to be able to create an environment where learners can develop and find support, while further helping to increase their self-confidence and independence to set them up not only for school</w:t>
      </w:r>
      <w:r w:rsidR="00D45FC7">
        <w:t xml:space="preserve"> </w:t>
      </w:r>
      <w:r w:rsidR="00DB2B8A">
        <w:t>but for the rest of their lives.</w:t>
      </w:r>
    </w:p>
    <w:p w14:paraId="47CBF88D" w14:textId="5AFB4ABE" w:rsidR="00D433AF" w:rsidRDefault="00D433AF">
      <w:pPr>
        <w:spacing w:line="276" w:lineRule="auto"/>
      </w:pPr>
      <w:r>
        <w:tab/>
      </w:r>
    </w:p>
    <w:p w14:paraId="56FE3A52" w14:textId="04D543DF" w:rsidR="00DB2B8A" w:rsidRPr="005716A8" w:rsidRDefault="005716A8">
      <w:pPr>
        <w:spacing w:line="276" w:lineRule="auto"/>
        <w:rPr>
          <w:b/>
          <w:bCs/>
          <w:u w:val="single"/>
        </w:rPr>
      </w:pPr>
      <w:r>
        <w:rPr>
          <w:b/>
          <w:bCs/>
          <w:u w:val="single"/>
        </w:rPr>
        <w:t>Conclusion</w:t>
      </w:r>
    </w:p>
    <w:p w14:paraId="6674AA02" w14:textId="10E2470F" w:rsidR="009D323E" w:rsidRDefault="007C4917">
      <w:pPr>
        <w:spacing w:line="276" w:lineRule="auto"/>
      </w:pPr>
      <w:r>
        <w:t xml:space="preserve">The critical incident observed has allowed me to research numerous teaching styles and teaching practices that will influence my teaching practices not only during my placement but also during the rest of my career. OBL is a teaching method that has seen wide success, and as an experiential learning technique, has been highly effective at engaging the learners and developing them further. Chatterjee believes that OBL is </w:t>
      </w:r>
      <w:r w:rsidR="00673B9E">
        <w:t xml:space="preserve">an effective form of learning as learning is ‘active’ and where students actively engage with real material or objects, they become more engaged (Chatterjee, Hannan and Thompson, 2015, p. 3). Vygotsky further highlights the importance of physical and cultural tools in cognition development as objects allow the learners to construct, mediate and understand otherwise inaccessible knowledge (Fox and </w:t>
      </w:r>
      <w:proofErr w:type="spellStart"/>
      <w:r w:rsidR="00673B9E">
        <w:t>Riconsente</w:t>
      </w:r>
      <w:proofErr w:type="spellEnd"/>
      <w:r w:rsidR="00673B9E">
        <w:t xml:space="preserve">, 2008, p. 383). In addition to OBL practices, the classroom management methods discussed have proven effective when implemented by teachers. </w:t>
      </w:r>
      <w:r w:rsidR="009D323E">
        <w:t xml:space="preserve">A warm and trusting learner-teacher relationship has been seen to increase positive academic outcomes </w:t>
      </w:r>
      <w:r w:rsidR="00D45FC7">
        <w:t>and decrease</w:t>
      </w:r>
      <w:r w:rsidR="009D323E">
        <w:t xml:space="preserve"> negative student behaviour (Schwab, Eckstein, </w:t>
      </w:r>
      <w:proofErr w:type="spellStart"/>
      <w:r w:rsidR="009D323E">
        <w:t>Reusser</w:t>
      </w:r>
      <w:proofErr w:type="spellEnd"/>
      <w:r w:rsidR="009D323E">
        <w:t xml:space="preserve">, </w:t>
      </w:r>
      <w:r w:rsidR="009D323E">
        <w:t>2018, p. 223</w:t>
      </w:r>
      <w:r w:rsidR="009D323E">
        <w:t>; Browne, 2013, p. 141).</w:t>
      </w:r>
    </w:p>
    <w:p w14:paraId="71439E3E" w14:textId="75162FC1" w:rsidR="009D323E" w:rsidRDefault="009D323E">
      <w:pPr>
        <w:spacing w:line="276" w:lineRule="auto"/>
      </w:pPr>
      <w:r>
        <w:tab/>
        <w:t xml:space="preserve">The methodology above has also impacted my view on learning theories, child development and professional standards. Through OBL, it has become clear to me that one of the main methods of teaching used in the classroom should </w:t>
      </w:r>
      <w:r w:rsidR="00D45FC7">
        <w:t xml:space="preserve">be </w:t>
      </w:r>
      <w:r>
        <w:t>experiential teaching. The zone of proximal development, as put forward by Vygotsky, is extremely important (1998, p. 32). By keeping the students within the zone of proximal development, they can further develop as learners but with the use of external stimul</w:t>
      </w:r>
      <w:r w:rsidR="00D45FC7">
        <w:t>i</w:t>
      </w:r>
      <w:r>
        <w:t xml:space="preserve">, like objects, this learning and development can be deepened (Vygotsky, 1998, p. 32). As Kolb has suggested, development occurs for learners through experience, such as imitation or communication, by scaffolding and modelling the students will be more effective at this imitation, promoting more effective development (2015, p. </w:t>
      </w:r>
      <w:r w:rsidR="00663105">
        <w:t xml:space="preserve">198). </w:t>
      </w:r>
      <w:r w:rsidR="00821439">
        <w:t>The pedagogy and teaching methods introduced relate to many strands of the professional teaching standards, however</w:t>
      </w:r>
      <w:r w:rsidR="006E5130">
        <w:t xml:space="preserve">, they mainly cover the leadership, professional </w:t>
      </w:r>
      <w:proofErr w:type="gramStart"/>
      <w:r w:rsidR="006E5130">
        <w:t>learning</w:t>
      </w:r>
      <w:proofErr w:type="gramEnd"/>
      <w:r w:rsidR="006E5130">
        <w:t xml:space="preserve"> and collaboration (Welsh Government, 2022). </w:t>
      </w:r>
    </w:p>
    <w:p w14:paraId="669CE56C" w14:textId="1535E06D" w:rsidR="006E5130" w:rsidRDefault="006E5130">
      <w:pPr>
        <w:spacing w:line="276" w:lineRule="auto"/>
      </w:pPr>
      <w:r>
        <w:tab/>
        <w:t xml:space="preserve">The </w:t>
      </w:r>
      <w:r w:rsidR="00263F4C">
        <w:t xml:space="preserve">teaching practices and methods discussed will be implemented into my teaching over the course of my two placements and my career. I hope to be able to create a facilitating and supportive learning environment as suggested above and to maintain a positive learner-teacher relationship to help maintain positive behaviour within my classrooms. OBL will be used alongside other experiential teaching </w:t>
      </w:r>
      <w:r w:rsidR="005716A8">
        <w:t xml:space="preserve">methods to ensure that my learners are stimulated and engaged to effectively develop with the four purposes in mind. </w:t>
      </w:r>
    </w:p>
    <w:p w14:paraId="54FD28C7" w14:textId="77777777" w:rsidR="005716A8" w:rsidRDefault="005716A8">
      <w:pPr>
        <w:spacing w:line="276" w:lineRule="auto"/>
      </w:pPr>
    </w:p>
    <w:p w14:paraId="3D1A5810" w14:textId="6CA9419C" w:rsidR="00D74764" w:rsidRDefault="005716A8">
      <w:pPr>
        <w:spacing w:line="276" w:lineRule="auto"/>
        <w:rPr>
          <w:b/>
          <w:bCs/>
        </w:rPr>
      </w:pPr>
      <w:r>
        <w:rPr>
          <w:b/>
          <w:bCs/>
        </w:rPr>
        <w:t>Total word Count: 42</w:t>
      </w:r>
      <w:r w:rsidR="00D45FC7">
        <w:rPr>
          <w:b/>
          <w:bCs/>
        </w:rPr>
        <w:t>57</w:t>
      </w:r>
    </w:p>
    <w:p w14:paraId="58C3C1C5" w14:textId="374D7FB6" w:rsidR="006E5130" w:rsidRDefault="00D74764" w:rsidP="00240FED">
      <w:pPr>
        <w:spacing w:line="276" w:lineRule="auto"/>
        <w:jc w:val="center"/>
        <w:rPr>
          <w:b/>
          <w:bCs/>
          <w:u w:val="single"/>
        </w:rPr>
      </w:pPr>
      <w:r>
        <w:rPr>
          <w:b/>
          <w:bCs/>
          <w:u w:val="single"/>
        </w:rPr>
        <w:lastRenderedPageBreak/>
        <w:t>Reference List</w:t>
      </w:r>
    </w:p>
    <w:p w14:paraId="488D8FAC" w14:textId="3BAD06A6" w:rsidR="00C627BF" w:rsidRDefault="00C627BF" w:rsidP="00240FED">
      <w:pPr>
        <w:spacing w:line="276" w:lineRule="auto"/>
        <w:rPr>
          <w:rFonts w:cstheme="minorHAnsi"/>
        </w:rPr>
      </w:pPr>
    </w:p>
    <w:p w14:paraId="5F1B0301" w14:textId="77777777" w:rsidR="00C627BF" w:rsidRDefault="00C627BF" w:rsidP="00240FED">
      <w:pPr>
        <w:spacing w:line="276" w:lineRule="auto"/>
      </w:pPr>
      <w:r>
        <w:t xml:space="preserve">Beard, Colin and Wilson, J. (2002) </w:t>
      </w:r>
      <w:r>
        <w:rPr>
          <w:i/>
          <w:iCs/>
        </w:rPr>
        <w:t xml:space="preserve">The Power of Experiential Learning: A Handbook for </w:t>
      </w:r>
      <w:r>
        <w:rPr>
          <w:i/>
          <w:iCs/>
        </w:rPr>
        <w:tab/>
        <w:t>Trainers and Educators</w:t>
      </w:r>
      <w:r>
        <w:t>. London: Kogan Page Limited.</w:t>
      </w:r>
    </w:p>
    <w:p w14:paraId="2A4F1D33" w14:textId="77777777" w:rsidR="00C627BF" w:rsidRDefault="00C627BF" w:rsidP="00240FED">
      <w:pPr>
        <w:spacing w:line="276" w:lineRule="auto"/>
      </w:pPr>
      <w:r>
        <w:t xml:space="preserve">Browne, Kate (2013) ‘Challenging Behaviour in Secondary School Students: Classroom </w:t>
      </w:r>
      <w:r>
        <w:tab/>
        <w:t xml:space="preserve">Strategies for Increasing Positive Behaviour’, </w:t>
      </w:r>
      <w:r>
        <w:rPr>
          <w:i/>
          <w:iCs/>
        </w:rPr>
        <w:t xml:space="preserve">New Zealand Journal of Teachers’ Work </w:t>
      </w:r>
      <w:r>
        <w:rPr>
          <w:i/>
          <w:iCs/>
        </w:rPr>
        <w:tab/>
      </w:r>
      <w:r>
        <w:t>(10/2), 125-146.</w:t>
      </w:r>
    </w:p>
    <w:p w14:paraId="381FED38" w14:textId="77777777" w:rsidR="00C627BF" w:rsidRDefault="00C627BF" w:rsidP="00240FED">
      <w:pPr>
        <w:spacing w:line="276" w:lineRule="auto"/>
      </w:pPr>
      <w:r>
        <w:t xml:space="preserve">Chatterjee, Helen J. (2008) ‘Staying Essential: Articulating the Value of Object-Based </w:t>
      </w:r>
      <w:r>
        <w:tab/>
        <w:t xml:space="preserve">Learning’, </w:t>
      </w:r>
      <w:r>
        <w:rPr>
          <w:i/>
          <w:iCs/>
        </w:rPr>
        <w:t>University Museums and Collections Journal</w:t>
      </w:r>
      <w:r>
        <w:t xml:space="preserve"> (12/2), 1-8.</w:t>
      </w:r>
    </w:p>
    <w:p w14:paraId="3BDC3FF5" w14:textId="402157DF" w:rsidR="00C627BF" w:rsidRDefault="00C627BF" w:rsidP="00240FED">
      <w:pPr>
        <w:spacing w:line="276" w:lineRule="auto"/>
      </w:pPr>
      <w:r w:rsidRPr="00467C39">
        <w:rPr>
          <w:rFonts w:cstheme="minorHAnsi"/>
        </w:rPr>
        <w:t>———</w:t>
      </w:r>
      <w:r>
        <w:rPr>
          <w:rFonts w:cstheme="minorHAnsi"/>
        </w:rPr>
        <w:t xml:space="preserve">, Helen J., Hannan, L. and Thomson, L. (2015) ‘An Introduction to Object-Based </w:t>
      </w:r>
      <w:r>
        <w:rPr>
          <w:rFonts w:cstheme="minorHAnsi"/>
        </w:rPr>
        <w:tab/>
        <w:t xml:space="preserve">Learning and Multisensory Engagement’, </w:t>
      </w:r>
      <w:r>
        <w:t xml:space="preserve">in Chatterjee, H. and Hannan, L. (eds) </w:t>
      </w:r>
      <w:r>
        <w:tab/>
      </w:r>
      <w:r>
        <w:rPr>
          <w:i/>
          <w:iCs/>
        </w:rPr>
        <w:t>Engaging the Senses: Object-Based Learning in Higher Education</w:t>
      </w:r>
      <w:r>
        <w:t xml:space="preserve">. London: Routledge, </w:t>
      </w:r>
      <w:r>
        <w:tab/>
      </w:r>
      <w:r>
        <w:t>pp</w:t>
      </w:r>
      <w:r>
        <w:t>. 1-18.</w:t>
      </w:r>
    </w:p>
    <w:p w14:paraId="0B8E5FD7" w14:textId="77777777" w:rsidR="00C627BF" w:rsidRDefault="00C627BF" w:rsidP="00240FED">
      <w:pPr>
        <w:spacing w:line="276" w:lineRule="auto"/>
      </w:pPr>
      <w:r>
        <w:t xml:space="preserve">Corrie, Loraine (1997) ‘The Interaction between Teachers’ Knowledge and Skills when </w:t>
      </w:r>
      <w:r>
        <w:tab/>
        <w:t xml:space="preserve">Managing a Troublesome Classroom Behaviour’, </w:t>
      </w:r>
      <w:r>
        <w:rPr>
          <w:i/>
          <w:iCs/>
        </w:rPr>
        <w:t>Cambridge Journal of Education</w:t>
      </w:r>
      <w:r>
        <w:t xml:space="preserve"> </w:t>
      </w:r>
      <w:r>
        <w:tab/>
        <w:t>(27/1), 93-105.</w:t>
      </w:r>
    </w:p>
    <w:p w14:paraId="6FFF79AB" w14:textId="77777777" w:rsidR="00C627BF" w:rsidRDefault="00C627BF" w:rsidP="00240FED">
      <w:pPr>
        <w:spacing w:line="276" w:lineRule="auto"/>
      </w:pPr>
      <w:r>
        <w:t xml:space="preserve">Dale, Vicki, </w:t>
      </w:r>
      <w:proofErr w:type="spellStart"/>
      <w:r>
        <w:t>Tasler</w:t>
      </w:r>
      <w:proofErr w:type="spellEnd"/>
      <w:r>
        <w:t xml:space="preserve"> N. and Sanchez-Jauregui (2022) </w:t>
      </w:r>
      <w:r>
        <w:rPr>
          <w:i/>
          <w:iCs/>
        </w:rPr>
        <w:t xml:space="preserve">Object-Based Learning Through Active </w:t>
      </w:r>
      <w:r>
        <w:rPr>
          <w:i/>
          <w:iCs/>
        </w:rPr>
        <w:tab/>
        <w:t>Enquiry</w:t>
      </w:r>
      <w:r>
        <w:t xml:space="preserve"> </w:t>
      </w:r>
      <w:hyperlink r:id="rId7" w:history="1">
        <w:r w:rsidRPr="006B4AEC">
          <w:rPr>
            <w:rStyle w:val="Hyperlink"/>
          </w:rPr>
          <w:t>https://openpress.sussex.ac.uk/ideasforactivelearning/chapter/object-</w:t>
        </w:r>
        <w:r w:rsidRPr="006B4AEC">
          <w:rPr>
            <w:rStyle w:val="Hyperlink"/>
          </w:rPr>
          <w:tab/>
        </w:r>
        <w:r w:rsidRPr="006B4AEC">
          <w:rPr>
            <w:rStyle w:val="Hyperlink"/>
          </w:rPr>
          <w:t>based-learning-active-learning-through-enquiry/</w:t>
        </w:r>
      </w:hyperlink>
      <w:r>
        <w:t xml:space="preserve"> (Accessed: 23</w:t>
      </w:r>
      <w:r w:rsidRPr="00C07595">
        <w:rPr>
          <w:vertAlign w:val="superscript"/>
        </w:rPr>
        <w:t>rd</w:t>
      </w:r>
      <w:r>
        <w:t xml:space="preserve"> October 2023).</w:t>
      </w:r>
    </w:p>
    <w:p w14:paraId="36EB88A9" w14:textId="77777777" w:rsidR="00C627BF" w:rsidRDefault="00C627BF" w:rsidP="00240FED">
      <w:pPr>
        <w:spacing w:line="276" w:lineRule="auto"/>
        <w:rPr>
          <w:rFonts w:cstheme="minorHAnsi"/>
        </w:rPr>
      </w:pPr>
      <w:r>
        <w:rPr>
          <w:rFonts w:cstheme="minorHAnsi"/>
        </w:rPr>
        <w:t xml:space="preserve">Estyn, (2016) </w:t>
      </w:r>
      <w:r>
        <w:rPr>
          <w:rFonts w:cstheme="minorHAnsi"/>
          <w:i/>
          <w:iCs/>
        </w:rPr>
        <w:t xml:space="preserve">A Report on </w:t>
      </w:r>
      <w:r w:rsidRPr="00240FED">
        <w:rPr>
          <w:rFonts w:cstheme="minorHAnsi"/>
          <w:i/>
          <w:iCs/>
          <w:color w:val="FFFFFF" w:themeColor="background1"/>
          <w14:textFill>
            <w14:noFill/>
          </w14:textFill>
        </w:rPr>
        <w:t>Treorchy</w:t>
      </w:r>
      <w:r>
        <w:rPr>
          <w:rFonts w:cstheme="minorHAnsi"/>
          <w:i/>
          <w:iCs/>
        </w:rPr>
        <w:t xml:space="preserve"> Comprehensive School</w:t>
      </w:r>
      <w:r>
        <w:rPr>
          <w:rFonts w:cstheme="minorHAnsi"/>
        </w:rPr>
        <w:t xml:space="preserve"> </w:t>
      </w:r>
      <w:r>
        <w:rPr>
          <w:rFonts w:cstheme="minorHAnsi"/>
        </w:rPr>
        <w:tab/>
      </w:r>
      <w:hyperlink r:id="rId8" w:history="1">
        <w:r w:rsidRPr="006B4AEC">
          <w:rPr>
            <w:rStyle w:val="Hyperlink"/>
            <w:rFonts w:cstheme="minorHAnsi"/>
          </w:rPr>
          <w:t>https://www.estyn.gov.wales/system/files/2020-</w:t>
        </w:r>
        <w:r w:rsidRPr="006B4AEC">
          <w:rPr>
            <w:rStyle w:val="Hyperlink"/>
            <w:rFonts w:cstheme="minorHAnsi"/>
          </w:rPr>
          <w:tab/>
        </w:r>
        <w:r w:rsidRPr="006B4AEC">
          <w:rPr>
            <w:rStyle w:val="Hyperlink"/>
            <w:rFonts w:cstheme="minorHAnsi"/>
          </w:rPr>
          <w:t>08/</w:t>
        </w:r>
        <w:r w:rsidRPr="00792FA4">
          <w:rPr>
            <w:rStyle w:val="Hyperlink"/>
            <w:rFonts w:cstheme="minorHAnsi"/>
            <w:color w:val="FFFFFF" w:themeColor="background1"/>
            <w14:textFill>
              <w14:noFill/>
            </w14:textFill>
          </w:rPr>
          <w:t>Treorchy</w:t>
        </w:r>
        <w:r w:rsidRPr="006B4AEC">
          <w:rPr>
            <w:rStyle w:val="Hyperlink"/>
            <w:rFonts w:cstheme="minorHAnsi"/>
          </w:rPr>
          <w:t>%2520Comprehensive%2520School.pdf</w:t>
        </w:r>
      </w:hyperlink>
      <w:r>
        <w:rPr>
          <w:rFonts w:cstheme="minorHAnsi"/>
        </w:rPr>
        <w:t xml:space="preserve"> (Accessed: 17</w:t>
      </w:r>
      <w:r w:rsidRPr="00240FED">
        <w:rPr>
          <w:rFonts w:cstheme="minorHAnsi"/>
          <w:vertAlign w:val="superscript"/>
        </w:rPr>
        <w:t>th</w:t>
      </w:r>
      <w:r>
        <w:rPr>
          <w:rFonts w:cstheme="minorHAnsi"/>
        </w:rPr>
        <w:t xml:space="preserve"> October 2023).</w:t>
      </w:r>
    </w:p>
    <w:p w14:paraId="04E698D6" w14:textId="77777777" w:rsidR="00C627BF" w:rsidRDefault="00C627BF" w:rsidP="00240FED">
      <w:pPr>
        <w:spacing w:line="276" w:lineRule="auto"/>
      </w:pPr>
      <w:r>
        <w:t xml:space="preserve">Fox, Emily and </w:t>
      </w:r>
      <w:proofErr w:type="spellStart"/>
      <w:r>
        <w:t>Riconscente</w:t>
      </w:r>
      <w:proofErr w:type="spellEnd"/>
      <w:r>
        <w:t xml:space="preserve">, M. (2008) ‘Metacognition and Self-Regulation in James, Piaget </w:t>
      </w:r>
      <w:r>
        <w:tab/>
        <w:t xml:space="preserve">and Vygotsky’, </w:t>
      </w:r>
      <w:r>
        <w:rPr>
          <w:i/>
          <w:iCs/>
        </w:rPr>
        <w:t xml:space="preserve">Educational Psychology Review </w:t>
      </w:r>
      <w:r>
        <w:t>(20/1), 373-389.</w:t>
      </w:r>
    </w:p>
    <w:p w14:paraId="1D81EA43" w14:textId="77777777" w:rsidR="00C627BF" w:rsidRDefault="00C627BF" w:rsidP="00240FED">
      <w:pPr>
        <w:spacing w:line="276" w:lineRule="auto"/>
      </w:pPr>
      <w:proofErr w:type="spellStart"/>
      <w:r>
        <w:t>Frigo</w:t>
      </w:r>
      <w:proofErr w:type="spellEnd"/>
      <w:r>
        <w:t xml:space="preserve">, Nick (2019) ‘The Power of Things: Object-Based Learning in the Classroom’, </w:t>
      </w:r>
      <w:r>
        <w:rPr>
          <w:i/>
          <w:iCs/>
        </w:rPr>
        <w:t xml:space="preserve">Agora </w:t>
      </w:r>
      <w:r>
        <w:rPr>
          <w:i/>
          <w:iCs/>
        </w:rPr>
        <w:tab/>
      </w:r>
      <w:r>
        <w:t>(54/1), 29-34.</w:t>
      </w:r>
    </w:p>
    <w:p w14:paraId="4C6A23AE" w14:textId="77777777" w:rsidR="00C627BF" w:rsidRDefault="00C627BF" w:rsidP="00240FED">
      <w:pPr>
        <w:spacing w:line="276" w:lineRule="auto"/>
        <w:rPr>
          <w:rFonts w:cstheme="minorHAnsi"/>
        </w:rPr>
      </w:pPr>
      <w:r>
        <w:t xml:space="preserve">Hardie, Kirsten (2015) ‘Engaging the Learners through Engaging Designs that Enrich and </w:t>
      </w:r>
      <w:r>
        <w:tab/>
        <w:t xml:space="preserve">Energise Learning and Teaching’, in Chatterjee, H. and Hannan, L. (eds) </w:t>
      </w:r>
      <w:r>
        <w:rPr>
          <w:i/>
          <w:iCs/>
        </w:rPr>
        <w:t xml:space="preserve">Engaging the </w:t>
      </w:r>
      <w:r>
        <w:rPr>
          <w:i/>
          <w:iCs/>
        </w:rPr>
        <w:tab/>
        <w:t>Senses: Object-Based Learning in Higher Education</w:t>
      </w:r>
      <w:r>
        <w:t>. London: Routledge, pp. 19-40.</w:t>
      </w:r>
      <w:r w:rsidRPr="00C627BF">
        <w:rPr>
          <w:rFonts w:cstheme="minorHAnsi"/>
        </w:rPr>
        <w:t xml:space="preserve"> </w:t>
      </w:r>
    </w:p>
    <w:p w14:paraId="1C04DFBD" w14:textId="77E4E9B7" w:rsidR="00C627BF" w:rsidRDefault="00C627BF" w:rsidP="00240FED">
      <w:pPr>
        <w:spacing w:line="276" w:lineRule="auto"/>
      </w:pPr>
      <w:r w:rsidRPr="00467C39">
        <w:rPr>
          <w:rFonts w:cstheme="minorHAnsi"/>
        </w:rPr>
        <w:t>———</w:t>
      </w:r>
      <w:r>
        <w:rPr>
          <w:rFonts w:cstheme="minorHAnsi"/>
        </w:rPr>
        <w:t xml:space="preserve"> (2015) </w:t>
      </w:r>
      <w:r>
        <w:rPr>
          <w:rFonts w:cstheme="minorHAnsi"/>
          <w:i/>
          <w:iCs/>
        </w:rPr>
        <w:t xml:space="preserve">Innovative Pedagogies Series: Wow: The Power of Objects in Object-Based </w:t>
      </w:r>
      <w:r>
        <w:rPr>
          <w:rFonts w:cstheme="minorHAnsi"/>
          <w:i/>
          <w:iCs/>
        </w:rPr>
        <w:tab/>
        <w:t>Learning and Teaching</w:t>
      </w:r>
      <w:r>
        <w:rPr>
          <w:rFonts w:cstheme="minorHAnsi"/>
        </w:rPr>
        <w:t>. York: Higher Education Academy</w:t>
      </w:r>
      <w:r>
        <w:rPr>
          <w:rFonts w:cstheme="minorHAnsi"/>
        </w:rPr>
        <w:t>.</w:t>
      </w:r>
    </w:p>
    <w:p w14:paraId="02080F82" w14:textId="77777777" w:rsidR="00C627BF" w:rsidRDefault="00C627BF" w:rsidP="00240FED">
      <w:pPr>
        <w:spacing w:line="276" w:lineRule="auto"/>
      </w:pPr>
      <w:r>
        <w:t xml:space="preserve">James, Geoffrey (2016) </w:t>
      </w:r>
      <w:r>
        <w:rPr>
          <w:i/>
          <w:iCs/>
        </w:rPr>
        <w:t xml:space="preserve">Transforming Behaviour in the Classroom: A Solution-Focused Guide </w:t>
      </w:r>
      <w:r>
        <w:rPr>
          <w:i/>
          <w:iCs/>
        </w:rPr>
        <w:tab/>
        <w:t>for New Teachers</w:t>
      </w:r>
      <w:r>
        <w:t>. California: Sage Publications.</w:t>
      </w:r>
    </w:p>
    <w:p w14:paraId="0A47AA66" w14:textId="77777777" w:rsidR="00C627BF" w:rsidRDefault="00C627BF" w:rsidP="00240FED">
      <w:pPr>
        <w:spacing w:line="276" w:lineRule="auto"/>
      </w:pPr>
      <w:r>
        <w:t xml:space="preserve">Kolb, David A. (2015) </w:t>
      </w:r>
      <w:r>
        <w:rPr>
          <w:i/>
          <w:iCs/>
        </w:rPr>
        <w:t xml:space="preserve">Experiential Learning: Experience as the Source of Learning and </w:t>
      </w:r>
      <w:r>
        <w:rPr>
          <w:i/>
          <w:iCs/>
        </w:rPr>
        <w:tab/>
        <w:t>Development</w:t>
      </w:r>
      <w:r>
        <w:t>. London: Pearson Education.</w:t>
      </w:r>
    </w:p>
    <w:p w14:paraId="7A60B90F" w14:textId="77777777" w:rsidR="00C627BF" w:rsidRDefault="00C627BF" w:rsidP="00240FED">
      <w:pPr>
        <w:spacing w:line="276" w:lineRule="auto"/>
      </w:pPr>
      <w:r>
        <w:t xml:space="preserve">Liken, Paula K. (2009) </w:t>
      </w:r>
      <w:r w:rsidRPr="00C07595">
        <w:rPr>
          <w:i/>
          <w:iCs/>
        </w:rPr>
        <w:t xml:space="preserve">Museum Objects in the Secondary Classroom: A Comparison of Visual </w:t>
      </w:r>
      <w:r>
        <w:rPr>
          <w:i/>
          <w:iCs/>
        </w:rPr>
        <w:tab/>
      </w:r>
      <w:r w:rsidRPr="00C07595">
        <w:rPr>
          <w:i/>
          <w:iCs/>
        </w:rPr>
        <w:t>and Tactile Aids to Learning</w:t>
      </w:r>
      <w:r>
        <w:t xml:space="preserve">. Published Thesis by Arizona State University </w:t>
      </w:r>
      <w:r>
        <w:tab/>
      </w:r>
      <w:hyperlink r:id="rId9" w:history="1">
        <w:r w:rsidRPr="006B4AEC">
          <w:rPr>
            <w:rStyle w:val="Hyperlink"/>
          </w:rPr>
          <w:t>https://www.proquest.com/docview/304844985?pq-</w:t>
        </w:r>
        <w:r w:rsidRPr="006B4AEC">
          <w:rPr>
            <w:rStyle w:val="Hyperlink"/>
          </w:rPr>
          <w:tab/>
        </w:r>
        <w:r w:rsidRPr="006B4AEC">
          <w:rPr>
            <w:rStyle w:val="Hyperlink"/>
          </w:rPr>
          <w:t>origsite=gscholar&amp;fromopenview=true</w:t>
        </w:r>
      </w:hyperlink>
      <w:r>
        <w:t xml:space="preserve"> (Accessed: 21</w:t>
      </w:r>
      <w:r w:rsidRPr="00C07595">
        <w:rPr>
          <w:vertAlign w:val="superscript"/>
        </w:rPr>
        <w:t>st</w:t>
      </w:r>
      <w:r>
        <w:t xml:space="preserve"> October 2023).</w:t>
      </w:r>
    </w:p>
    <w:p w14:paraId="6BA87983" w14:textId="77777777" w:rsidR="00C627BF" w:rsidRDefault="00C627BF" w:rsidP="00240FED">
      <w:pPr>
        <w:spacing w:line="276" w:lineRule="auto"/>
      </w:pPr>
      <w:r>
        <w:lastRenderedPageBreak/>
        <w:t xml:space="preserve">McNamara, Sylvia and Moreton, G. (2001) </w:t>
      </w:r>
      <w:r>
        <w:rPr>
          <w:i/>
          <w:iCs/>
        </w:rPr>
        <w:t xml:space="preserve">Changing Behaviour: Teaching Children with </w:t>
      </w:r>
      <w:r>
        <w:rPr>
          <w:i/>
          <w:iCs/>
        </w:rPr>
        <w:tab/>
        <w:t>Emotional Behavioural Difficulties in Primary and Secondary Classrooms</w:t>
      </w:r>
      <w:r>
        <w:t xml:space="preserve">. London: </w:t>
      </w:r>
      <w:r>
        <w:tab/>
        <w:t>Routledge.</w:t>
      </w:r>
    </w:p>
    <w:p w14:paraId="394A7813" w14:textId="77777777" w:rsidR="00C627BF" w:rsidRDefault="00C627BF" w:rsidP="00240FED">
      <w:pPr>
        <w:spacing w:line="276" w:lineRule="auto"/>
      </w:pPr>
      <w:r>
        <w:t>Ming-</w:t>
      </w:r>
      <w:proofErr w:type="spellStart"/>
      <w:r>
        <w:t>Tak</w:t>
      </w:r>
      <w:proofErr w:type="spellEnd"/>
      <w:r>
        <w:t xml:space="preserve">, Hue and Wai-Shing, L. (2008) </w:t>
      </w:r>
      <w:r>
        <w:rPr>
          <w:i/>
          <w:iCs/>
        </w:rPr>
        <w:t xml:space="preserve">Classroom Management: Creating a Positive </w:t>
      </w:r>
      <w:r>
        <w:rPr>
          <w:i/>
          <w:iCs/>
        </w:rPr>
        <w:tab/>
        <w:t>Learning Environment</w:t>
      </w:r>
      <w:r>
        <w:t xml:space="preserve">. Hong Kong: Hong Kong University Press. </w:t>
      </w:r>
    </w:p>
    <w:p w14:paraId="78ED3083" w14:textId="5AC72073" w:rsidR="00C627BF" w:rsidRDefault="00C627BF" w:rsidP="00240FED">
      <w:pPr>
        <w:spacing w:line="276" w:lineRule="auto"/>
      </w:pPr>
      <w:r>
        <w:t xml:space="preserve">Newman, Gail (2003) ‘Using the Object in the Classroom’ </w:t>
      </w:r>
      <w:r>
        <w:rPr>
          <w:i/>
          <w:iCs/>
        </w:rPr>
        <w:t xml:space="preserve">Psychoanalysis, Culture &amp; Society </w:t>
      </w:r>
      <w:r>
        <w:rPr>
          <w:i/>
          <w:iCs/>
        </w:rPr>
        <w:tab/>
      </w:r>
      <w:r>
        <w:t>(15/4) 361-375.</w:t>
      </w:r>
    </w:p>
    <w:p w14:paraId="3E6B19F6" w14:textId="77777777" w:rsidR="00C627BF" w:rsidRPr="00C627BF" w:rsidRDefault="00C627BF" w:rsidP="00240FED">
      <w:pPr>
        <w:spacing w:line="276" w:lineRule="auto"/>
      </w:pPr>
      <w:r>
        <w:t xml:space="preserve">Paris, Scott, G. (2002) </w:t>
      </w:r>
      <w:r>
        <w:rPr>
          <w:i/>
          <w:iCs/>
        </w:rPr>
        <w:t>Perspectives on Object-Centred Learning in Museums</w:t>
      </w:r>
      <w:r>
        <w:t xml:space="preserve">. New York: </w:t>
      </w:r>
      <w:r>
        <w:tab/>
        <w:t xml:space="preserve">Routledge. </w:t>
      </w:r>
    </w:p>
    <w:p w14:paraId="2DCFBC53" w14:textId="2434CCB2" w:rsidR="00C627BF" w:rsidRDefault="00C627BF" w:rsidP="00240FED">
      <w:pPr>
        <w:spacing w:line="276" w:lineRule="auto"/>
      </w:pPr>
      <w:r>
        <w:t xml:space="preserve">Schwab, Susanne, Eckstein, </w:t>
      </w:r>
      <w:proofErr w:type="gramStart"/>
      <w:r>
        <w:t>B.</w:t>
      </w:r>
      <w:proofErr w:type="gramEnd"/>
      <w:r>
        <w:t xml:space="preserve"> and </w:t>
      </w:r>
      <w:proofErr w:type="spellStart"/>
      <w:r>
        <w:t>Reusser</w:t>
      </w:r>
      <w:proofErr w:type="spellEnd"/>
      <w:r>
        <w:t xml:space="preserve"> K. (2018) ‘Predictors of Non-Compliant Classroom </w:t>
      </w:r>
      <w:r>
        <w:tab/>
        <w:t xml:space="preserve">Behaviour of Secondary School Students’, </w:t>
      </w:r>
      <w:r>
        <w:rPr>
          <w:i/>
          <w:iCs/>
        </w:rPr>
        <w:t xml:space="preserve">Journal of Research in Special Education </w:t>
      </w:r>
      <w:r>
        <w:rPr>
          <w:i/>
          <w:iCs/>
        </w:rPr>
        <w:tab/>
        <w:t>Needs</w:t>
      </w:r>
      <w:r>
        <w:t xml:space="preserve"> (19/3) 220-231.</w:t>
      </w:r>
    </w:p>
    <w:p w14:paraId="15787A59" w14:textId="77777777" w:rsidR="00C627BF" w:rsidRDefault="00C627BF" w:rsidP="00240FED">
      <w:pPr>
        <w:spacing w:line="276" w:lineRule="auto"/>
      </w:pPr>
      <w:r>
        <w:t xml:space="preserve">Tripp, David (2012) </w:t>
      </w:r>
      <w:r>
        <w:rPr>
          <w:i/>
          <w:iCs/>
        </w:rPr>
        <w:t>Critical Incidents in Teaching: Developing Professional Judgement</w:t>
      </w:r>
      <w:r>
        <w:t xml:space="preserve">. </w:t>
      </w:r>
      <w:r>
        <w:tab/>
        <w:t>London: Routledge.</w:t>
      </w:r>
    </w:p>
    <w:p w14:paraId="49FA52AB" w14:textId="6F487EEC" w:rsidR="00C627BF" w:rsidRDefault="00C627BF" w:rsidP="00240FED">
      <w:pPr>
        <w:spacing w:line="276" w:lineRule="auto"/>
      </w:pPr>
      <w:r>
        <w:t xml:space="preserve">Ulrich, Laurel (2003) ‘Objects in the Classroom’ </w:t>
      </w:r>
      <w:r>
        <w:rPr>
          <w:i/>
          <w:iCs/>
        </w:rPr>
        <w:t>OAH Magazine of His</w:t>
      </w:r>
      <w:r>
        <w:t xml:space="preserve"> 57-59. </w:t>
      </w:r>
    </w:p>
    <w:p w14:paraId="234235A7" w14:textId="77777777" w:rsidR="00C627BF" w:rsidRDefault="00C627BF" w:rsidP="00240FED">
      <w:pPr>
        <w:spacing w:line="276" w:lineRule="auto"/>
      </w:pPr>
      <w:r>
        <w:t xml:space="preserve">Vygotsky, Lev S. (1997) ‘Interaction Between Learning and Development’ in </w:t>
      </w:r>
      <w:proofErr w:type="spellStart"/>
      <w:r>
        <w:t>Gauvain</w:t>
      </w:r>
      <w:proofErr w:type="spellEnd"/>
      <w:r>
        <w:t xml:space="preserve">, M. and </w:t>
      </w:r>
      <w:r>
        <w:tab/>
        <w:t xml:space="preserve">Cole, M. (eds) </w:t>
      </w:r>
      <w:r>
        <w:rPr>
          <w:i/>
          <w:iCs/>
        </w:rPr>
        <w:t>Readings on the Development of Children</w:t>
      </w:r>
      <w:r>
        <w:t xml:space="preserve">. New York: W.H. Freeman &amp; </w:t>
      </w:r>
      <w:r>
        <w:tab/>
        <w:t>Company, pp. 29-36.</w:t>
      </w:r>
    </w:p>
    <w:p w14:paraId="659BF86F" w14:textId="77777777" w:rsidR="00C627BF" w:rsidRDefault="00C627BF" w:rsidP="00C627BF">
      <w:pPr>
        <w:spacing w:line="276" w:lineRule="auto"/>
        <w:rPr>
          <w:rFonts w:cstheme="minorHAnsi"/>
        </w:rPr>
      </w:pPr>
      <w:r>
        <w:t xml:space="preserve">Welsh Government (2022) </w:t>
      </w:r>
      <w:r>
        <w:rPr>
          <w:i/>
          <w:iCs/>
        </w:rPr>
        <w:t xml:space="preserve">Professional Standards for Teaching and Leadership </w:t>
      </w:r>
      <w:r>
        <w:rPr>
          <w:i/>
          <w:iCs/>
        </w:rPr>
        <w:tab/>
      </w:r>
      <w:hyperlink r:id="rId10" w:history="1">
        <w:r w:rsidRPr="006B4AEC">
          <w:rPr>
            <w:rStyle w:val="Hyperlink"/>
          </w:rPr>
          <w:t>https://hwb.gov.wales/api/storage/19bc948b-8a3f-41e0-944a-</w:t>
        </w:r>
        <w:r w:rsidRPr="006B4AEC">
          <w:rPr>
            <w:rStyle w:val="Hyperlink"/>
          </w:rPr>
          <w:tab/>
        </w:r>
        <w:r w:rsidRPr="006B4AEC">
          <w:rPr>
            <w:rStyle w:val="Hyperlink"/>
          </w:rPr>
          <w:t>7bf2cadf7d18/professional-standards-for-teaching-and-leadership-interactive-pdf-</w:t>
        </w:r>
        <w:r w:rsidRPr="006B4AEC">
          <w:rPr>
            <w:rStyle w:val="Hyperlink"/>
          </w:rPr>
          <w:tab/>
        </w:r>
        <w:r w:rsidRPr="006B4AEC">
          <w:rPr>
            <w:rStyle w:val="Hyperlink"/>
          </w:rPr>
          <w:t>for-pc.pdf</w:t>
        </w:r>
      </w:hyperlink>
      <w:r>
        <w:rPr>
          <w:i/>
          <w:iCs/>
        </w:rPr>
        <w:t xml:space="preserve"> </w:t>
      </w:r>
      <w:r>
        <w:t>(Accessed: 15</w:t>
      </w:r>
      <w:r w:rsidRPr="00240FED">
        <w:rPr>
          <w:vertAlign w:val="superscript"/>
        </w:rPr>
        <w:t>th</w:t>
      </w:r>
      <w:r>
        <w:t xml:space="preserve"> October 2023).</w:t>
      </w:r>
      <w:r w:rsidRPr="00C627BF">
        <w:rPr>
          <w:rFonts w:cstheme="minorHAnsi"/>
        </w:rPr>
        <w:t xml:space="preserve"> </w:t>
      </w:r>
    </w:p>
    <w:p w14:paraId="5F149A13" w14:textId="7BA78B67" w:rsidR="00C627BF" w:rsidRDefault="00C627BF" w:rsidP="00C627BF">
      <w:pPr>
        <w:spacing w:line="276" w:lineRule="auto"/>
        <w:rPr>
          <w:rFonts w:cstheme="minorHAnsi"/>
        </w:rPr>
      </w:pPr>
      <w:r w:rsidRPr="00467C39">
        <w:rPr>
          <w:rFonts w:cstheme="minorHAnsi"/>
        </w:rPr>
        <w:t>———</w:t>
      </w:r>
      <w:r>
        <w:rPr>
          <w:rFonts w:cstheme="minorHAnsi"/>
        </w:rPr>
        <w:t xml:space="preserve"> (2022) </w:t>
      </w:r>
      <w:r w:rsidRPr="00240FED">
        <w:rPr>
          <w:rFonts w:cstheme="minorHAnsi"/>
          <w:color w:val="FFFFFF" w:themeColor="background1"/>
          <w14:textFill>
            <w14:noFill/>
          </w14:textFill>
        </w:rPr>
        <w:t>Treorchy</w:t>
      </w:r>
      <w:r>
        <w:rPr>
          <w:rFonts w:cstheme="minorHAnsi"/>
        </w:rPr>
        <w:t xml:space="preserve"> </w:t>
      </w:r>
      <w:r w:rsidRPr="00240FED">
        <w:rPr>
          <w:rFonts w:cstheme="minorHAnsi"/>
          <w:i/>
          <w:iCs/>
        </w:rPr>
        <w:t>Comprehensive School</w:t>
      </w:r>
      <w:r>
        <w:rPr>
          <w:rFonts w:cstheme="minorHAnsi"/>
          <w:i/>
          <w:iCs/>
        </w:rPr>
        <w:t xml:space="preserve"> </w:t>
      </w:r>
      <w:r>
        <w:rPr>
          <w:rFonts w:cstheme="minorHAnsi"/>
          <w:i/>
          <w:iCs/>
        </w:rPr>
        <w:tab/>
      </w:r>
      <w:hyperlink r:id="rId11" w:history="1">
        <w:r w:rsidRPr="00240FED">
          <w:rPr>
            <w:rStyle w:val="Hyperlink"/>
            <w:rFonts w:cstheme="minorHAnsi"/>
          </w:rPr>
          <w:t>https://mylocalschool.gov.wales/School/6744081?lang=en</w:t>
        </w:r>
      </w:hyperlink>
      <w:r>
        <w:rPr>
          <w:rFonts w:cstheme="minorHAnsi"/>
          <w:i/>
          <w:iCs/>
        </w:rPr>
        <w:t xml:space="preserve"> </w:t>
      </w:r>
      <w:r>
        <w:rPr>
          <w:rFonts w:cstheme="minorHAnsi"/>
        </w:rPr>
        <w:t>(Accessed: 17</w:t>
      </w:r>
      <w:r w:rsidRPr="00240FED">
        <w:rPr>
          <w:rFonts w:cstheme="minorHAnsi"/>
          <w:vertAlign w:val="superscript"/>
        </w:rPr>
        <w:t>th</w:t>
      </w:r>
      <w:r>
        <w:rPr>
          <w:rFonts w:cstheme="minorHAnsi"/>
        </w:rPr>
        <w:t xml:space="preserve"> October </w:t>
      </w:r>
      <w:r>
        <w:rPr>
          <w:rFonts w:cstheme="minorHAnsi"/>
        </w:rPr>
        <w:tab/>
        <w:t>2023).</w:t>
      </w:r>
    </w:p>
    <w:p w14:paraId="3E10FEBE" w14:textId="3467B860" w:rsidR="00C627BF" w:rsidRDefault="00C627BF" w:rsidP="00240FED">
      <w:pPr>
        <w:spacing w:line="276" w:lineRule="auto"/>
      </w:pPr>
    </w:p>
    <w:p w14:paraId="0EB4A5FA" w14:textId="77777777" w:rsidR="00BE3428" w:rsidRDefault="00BE3428" w:rsidP="00240FED">
      <w:pPr>
        <w:spacing w:line="276" w:lineRule="auto"/>
      </w:pPr>
    </w:p>
    <w:p w14:paraId="72342FCA" w14:textId="77777777" w:rsidR="00BE3428" w:rsidRDefault="00BE3428" w:rsidP="00240FED">
      <w:pPr>
        <w:spacing w:line="276" w:lineRule="auto"/>
      </w:pPr>
    </w:p>
    <w:p w14:paraId="262D420A" w14:textId="77777777" w:rsidR="00BE3428" w:rsidRDefault="00BE3428" w:rsidP="00240FED">
      <w:pPr>
        <w:spacing w:line="276" w:lineRule="auto"/>
      </w:pPr>
    </w:p>
    <w:p w14:paraId="30ABC7B1" w14:textId="77777777" w:rsidR="00BE3428" w:rsidRDefault="00BE3428" w:rsidP="00240FED">
      <w:pPr>
        <w:spacing w:line="276" w:lineRule="auto"/>
      </w:pPr>
    </w:p>
    <w:p w14:paraId="517BC07C" w14:textId="77777777" w:rsidR="00BE3428" w:rsidRDefault="00BE3428" w:rsidP="00240FED">
      <w:pPr>
        <w:spacing w:line="276" w:lineRule="auto"/>
      </w:pPr>
    </w:p>
    <w:p w14:paraId="364AB279" w14:textId="77777777" w:rsidR="00BE3428" w:rsidRDefault="00BE3428" w:rsidP="00240FED">
      <w:pPr>
        <w:spacing w:line="276" w:lineRule="auto"/>
      </w:pPr>
    </w:p>
    <w:p w14:paraId="2431241A" w14:textId="77777777" w:rsidR="00BE3428" w:rsidRDefault="00BE3428" w:rsidP="00240FED">
      <w:pPr>
        <w:spacing w:line="276" w:lineRule="auto"/>
      </w:pPr>
    </w:p>
    <w:p w14:paraId="75B142BD" w14:textId="77777777" w:rsidR="00BE3428" w:rsidRDefault="00BE3428" w:rsidP="00240FED">
      <w:pPr>
        <w:spacing w:line="276" w:lineRule="auto"/>
      </w:pPr>
    </w:p>
    <w:p w14:paraId="1E0FF9CC" w14:textId="77777777" w:rsidR="00BE3428" w:rsidRDefault="00BE3428" w:rsidP="00240FED">
      <w:pPr>
        <w:spacing w:line="276" w:lineRule="auto"/>
      </w:pPr>
    </w:p>
    <w:p w14:paraId="153EDE39" w14:textId="77777777" w:rsidR="00BE3428" w:rsidRDefault="00BE3428" w:rsidP="00240FED">
      <w:pPr>
        <w:spacing w:line="276" w:lineRule="auto"/>
      </w:pPr>
    </w:p>
    <w:p w14:paraId="55DF729D" w14:textId="77777777" w:rsidR="00BE3428" w:rsidRDefault="00BE3428" w:rsidP="00240FED">
      <w:pPr>
        <w:spacing w:line="276" w:lineRule="auto"/>
      </w:pPr>
    </w:p>
    <w:p w14:paraId="4F0367C3" w14:textId="77777777" w:rsidR="00BE3428" w:rsidRDefault="00BE3428" w:rsidP="00240FED">
      <w:pPr>
        <w:spacing w:line="276" w:lineRule="auto"/>
      </w:pPr>
    </w:p>
    <w:p w14:paraId="1F3C7D97" w14:textId="77777777" w:rsidR="00BE3428" w:rsidRDefault="00BE3428" w:rsidP="00240FED">
      <w:pPr>
        <w:spacing w:line="276" w:lineRule="auto"/>
      </w:pPr>
    </w:p>
    <w:p w14:paraId="29C9198D" w14:textId="77777777" w:rsidR="00BE3428" w:rsidRDefault="00BE3428" w:rsidP="00240FED">
      <w:pPr>
        <w:spacing w:line="276" w:lineRule="auto"/>
      </w:pPr>
    </w:p>
    <w:p w14:paraId="69AAC50B" w14:textId="77777777" w:rsidR="00BE3428" w:rsidRDefault="00BE3428" w:rsidP="00240FED">
      <w:pPr>
        <w:spacing w:line="276" w:lineRule="auto"/>
      </w:pPr>
    </w:p>
    <w:p w14:paraId="7CE02C59" w14:textId="258FEE4D" w:rsidR="00BE3428" w:rsidRDefault="00BE3428" w:rsidP="00BE3428">
      <w:pPr>
        <w:spacing w:line="276" w:lineRule="auto"/>
        <w:jc w:val="center"/>
        <w:rPr>
          <w:b/>
          <w:bCs/>
          <w:u w:val="single"/>
        </w:rPr>
      </w:pPr>
      <w:r>
        <w:rPr>
          <w:b/>
          <w:bCs/>
          <w:u w:val="single"/>
        </w:rPr>
        <w:lastRenderedPageBreak/>
        <w:t>Appendix</w:t>
      </w:r>
    </w:p>
    <w:p w14:paraId="5ECBF349" w14:textId="77777777" w:rsidR="00BE3428" w:rsidRDefault="00BE3428" w:rsidP="00BE3428">
      <w:pPr>
        <w:spacing w:line="276" w:lineRule="auto"/>
        <w:jc w:val="center"/>
        <w:rPr>
          <w:b/>
          <w:bCs/>
          <w:u w:val="single"/>
        </w:rPr>
      </w:pPr>
    </w:p>
    <w:p w14:paraId="0D6CB37D" w14:textId="7943EB84" w:rsidR="00BE3428" w:rsidRPr="00627773" w:rsidRDefault="00BE3428" w:rsidP="00BE3428">
      <w:pPr>
        <w:rPr>
          <w:b/>
          <w:bCs/>
          <w:sz w:val="22"/>
          <w:szCs w:val="22"/>
        </w:rPr>
      </w:pPr>
    </w:p>
    <w:tbl>
      <w:tblPr>
        <w:tblStyle w:val="TableGrid"/>
        <w:tblW w:w="0" w:type="auto"/>
        <w:tblLook w:val="04A0" w:firstRow="1" w:lastRow="0" w:firstColumn="1" w:lastColumn="0" w:noHBand="0" w:noVBand="1"/>
      </w:tblPr>
      <w:tblGrid>
        <w:gridCol w:w="8926"/>
      </w:tblGrid>
      <w:tr w:rsidR="00BE3428" w:rsidRPr="003737F1" w14:paraId="778306DB" w14:textId="77777777" w:rsidTr="00C570B9">
        <w:tc>
          <w:tcPr>
            <w:tcW w:w="8926" w:type="dxa"/>
          </w:tcPr>
          <w:p w14:paraId="1E2E7E48" w14:textId="4DAE5DD1" w:rsidR="00BE3428" w:rsidRPr="003737F1" w:rsidRDefault="00BE3428" w:rsidP="00C570B9">
            <w:pPr>
              <w:rPr>
                <w:rFonts w:asciiTheme="minorHAnsi" w:hAnsiTheme="minorHAnsi"/>
              </w:rPr>
            </w:pPr>
            <w:r w:rsidRPr="003737F1">
              <w:rPr>
                <w:rFonts w:asciiTheme="minorHAnsi" w:hAnsiTheme="minorHAnsi"/>
              </w:rPr>
              <w:t>Date and time, year group:</w:t>
            </w:r>
            <w:r>
              <w:rPr>
                <w:rFonts w:asciiTheme="minorHAnsi" w:hAnsiTheme="minorHAnsi"/>
              </w:rPr>
              <w:t xml:space="preserve"> 10/10/23 12:15- 13:15, year 7</w:t>
            </w:r>
          </w:p>
          <w:p w14:paraId="78AF48A6" w14:textId="77777777" w:rsidR="00BE3428" w:rsidRPr="003737F1" w:rsidRDefault="00BE3428" w:rsidP="00C570B9">
            <w:pPr>
              <w:rPr>
                <w:rFonts w:asciiTheme="minorHAnsi" w:hAnsiTheme="minorHAnsi"/>
              </w:rPr>
            </w:pPr>
          </w:p>
        </w:tc>
      </w:tr>
      <w:tr w:rsidR="00BE3428" w:rsidRPr="003737F1" w14:paraId="5061BE9D" w14:textId="77777777" w:rsidTr="00C570B9">
        <w:tc>
          <w:tcPr>
            <w:tcW w:w="8926" w:type="dxa"/>
          </w:tcPr>
          <w:p w14:paraId="78AAF7D1" w14:textId="77777777" w:rsidR="00BE3428" w:rsidRPr="003737F1" w:rsidRDefault="00BE3428" w:rsidP="00C570B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B425B84" w14:textId="6F5E068F" w:rsidR="00BE3428" w:rsidRDefault="00BE3428" w:rsidP="00C570B9">
            <w:pPr>
              <w:rPr>
                <w:rFonts w:asciiTheme="minorHAnsi" w:hAnsiTheme="minorHAnsi"/>
              </w:rPr>
            </w:pPr>
          </w:p>
          <w:p w14:paraId="6790FCD8" w14:textId="7FEF2405" w:rsidR="00BE3428" w:rsidRPr="003737F1" w:rsidRDefault="00BE3428" w:rsidP="00C570B9">
            <w:pPr>
              <w:rPr>
                <w:rFonts w:asciiTheme="minorHAnsi" w:hAnsiTheme="minorHAnsi"/>
              </w:rPr>
            </w:pPr>
            <w:r>
              <w:rPr>
                <w:rFonts w:asciiTheme="minorHAnsi" w:hAnsiTheme="minorHAnsi"/>
              </w:rPr>
              <w:t>It was in the classroom during a year 7 history lesson. It was the teachers third lesson with the class.</w:t>
            </w:r>
          </w:p>
          <w:p w14:paraId="4BBDA6AD" w14:textId="77777777" w:rsidR="00BE3428" w:rsidRPr="003737F1" w:rsidRDefault="00BE3428" w:rsidP="00C570B9">
            <w:pPr>
              <w:rPr>
                <w:rFonts w:asciiTheme="minorHAnsi" w:hAnsiTheme="minorHAnsi"/>
              </w:rPr>
            </w:pPr>
          </w:p>
          <w:p w14:paraId="45B01EE0" w14:textId="77777777" w:rsidR="00BE3428" w:rsidRPr="003737F1" w:rsidRDefault="00BE3428" w:rsidP="00C570B9">
            <w:pPr>
              <w:rPr>
                <w:rFonts w:asciiTheme="minorHAnsi" w:hAnsiTheme="minorHAnsi"/>
              </w:rPr>
            </w:pPr>
          </w:p>
          <w:p w14:paraId="109D6406" w14:textId="77777777" w:rsidR="00BE3428" w:rsidRPr="003737F1" w:rsidRDefault="00BE3428" w:rsidP="00C570B9">
            <w:pPr>
              <w:rPr>
                <w:rFonts w:asciiTheme="minorHAnsi" w:hAnsiTheme="minorHAnsi"/>
              </w:rPr>
            </w:pPr>
          </w:p>
          <w:p w14:paraId="0112FC32" w14:textId="77777777" w:rsidR="00BE3428" w:rsidRPr="003737F1" w:rsidRDefault="00BE3428" w:rsidP="00C570B9">
            <w:pPr>
              <w:rPr>
                <w:rFonts w:asciiTheme="minorHAnsi" w:hAnsiTheme="minorHAnsi"/>
              </w:rPr>
            </w:pPr>
          </w:p>
        </w:tc>
      </w:tr>
      <w:tr w:rsidR="00BE3428" w:rsidRPr="003737F1" w14:paraId="46A3DE28" w14:textId="77777777" w:rsidTr="00C570B9">
        <w:tc>
          <w:tcPr>
            <w:tcW w:w="8926" w:type="dxa"/>
          </w:tcPr>
          <w:p w14:paraId="50DA6C92" w14:textId="77777777" w:rsidR="00BE3428" w:rsidRPr="00627773" w:rsidRDefault="00BE3428" w:rsidP="00C570B9">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6683F2AE" w14:textId="1A151E23" w:rsidR="00BE3428" w:rsidRPr="00BE3428" w:rsidRDefault="00BE3428" w:rsidP="00BE3428">
            <w:pPr>
              <w:pStyle w:val="ListParagraph"/>
              <w:numPr>
                <w:ilvl w:val="0"/>
                <w:numId w:val="1"/>
              </w:numPr>
              <w:rPr>
                <w:bCs/>
                <w:lang w:val="en-US"/>
              </w:rPr>
            </w:pPr>
            <w:r>
              <w:t>A</w:t>
            </w:r>
            <w:r>
              <w:t>round 27 learners with one class teacher</w:t>
            </w:r>
            <w:r w:rsidR="00A15E20">
              <w:t>.</w:t>
            </w:r>
          </w:p>
          <w:p w14:paraId="2D69DC10" w14:textId="3C6C1958" w:rsidR="00BE3428" w:rsidRPr="00BE3428" w:rsidRDefault="00BE3428" w:rsidP="00BE3428">
            <w:pPr>
              <w:pStyle w:val="ListParagraph"/>
              <w:numPr>
                <w:ilvl w:val="0"/>
                <w:numId w:val="1"/>
              </w:numPr>
              <w:rPr>
                <w:bCs/>
                <w:lang w:val="en-US"/>
              </w:rPr>
            </w:pPr>
            <w:r>
              <w:t>T</w:t>
            </w:r>
            <w:r>
              <w:t>eacher divided them into groups, three groups of five and two groups of six and made them aware that the session would consist of analysing Roman armour</w:t>
            </w:r>
            <w:r w:rsidR="00A15E20">
              <w:t>.</w:t>
            </w:r>
          </w:p>
          <w:p w14:paraId="11C1B0E1" w14:textId="09BD40D0" w:rsidR="00BE3428" w:rsidRPr="00BE3428" w:rsidRDefault="00BE3428" w:rsidP="00BE3428">
            <w:pPr>
              <w:pStyle w:val="ListParagraph"/>
              <w:numPr>
                <w:ilvl w:val="0"/>
                <w:numId w:val="1"/>
              </w:numPr>
              <w:rPr>
                <w:bCs/>
                <w:lang w:val="en-US"/>
              </w:rPr>
            </w:pPr>
            <w:r>
              <w:t>Many of the children were initially apprehensive to working in group</w:t>
            </w:r>
            <w:r w:rsidR="00A15E20">
              <w:t>.</w:t>
            </w:r>
          </w:p>
          <w:p w14:paraId="23845E00" w14:textId="2816B227" w:rsidR="00BE3428" w:rsidRPr="00BE3428" w:rsidRDefault="00BE3428" w:rsidP="00BE3428">
            <w:pPr>
              <w:pStyle w:val="ListParagraph"/>
              <w:numPr>
                <w:ilvl w:val="0"/>
                <w:numId w:val="1"/>
              </w:numPr>
              <w:rPr>
                <w:bCs/>
                <w:lang w:val="en-US"/>
              </w:rPr>
            </w:pPr>
            <w:r>
              <w:t>T</w:t>
            </w:r>
            <w:r>
              <w:t>here was a group that were disengaged from the task</w:t>
            </w:r>
            <w:r w:rsidR="00A15E20">
              <w:t>.</w:t>
            </w:r>
          </w:p>
          <w:p w14:paraId="4D7AF20A" w14:textId="24DC0774" w:rsidR="00BE3428" w:rsidRDefault="00BE3428" w:rsidP="00BE3428">
            <w:pPr>
              <w:pStyle w:val="ListParagraph"/>
              <w:numPr>
                <w:ilvl w:val="0"/>
                <w:numId w:val="1"/>
              </w:numPr>
              <w:rPr>
                <w:bCs/>
                <w:lang w:val="en-US"/>
              </w:rPr>
            </w:pPr>
            <w:r>
              <w:rPr>
                <w:bCs/>
                <w:lang w:val="en-US"/>
              </w:rPr>
              <w:t>Disengaged group began to use items to distract others</w:t>
            </w:r>
            <w:r w:rsidR="00A15E20">
              <w:rPr>
                <w:bCs/>
                <w:lang w:val="en-US"/>
              </w:rPr>
              <w:t>.</w:t>
            </w:r>
          </w:p>
          <w:p w14:paraId="11A23C0B" w14:textId="04F4227F" w:rsidR="00BE3428" w:rsidRPr="00BE3428" w:rsidRDefault="00BE3428" w:rsidP="00BE3428">
            <w:pPr>
              <w:pStyle w:val="ListParagraph"/>
              <w:numPr>
                <w:ilvl w:val="0"/>
                <w:numId w:val="1"/>
              </w:numPr>
              <w:rPr>
                <w:bCs/>
                <w:lang w:val="en-US"/>
              </w:rPr>
            </w:pPr>
            <w:r>
              <w:rPr>
                <w:bCs/>
                <w:lang w:val="en-US"/>
              </w:rPr>
              <w:t xml:space="preserve">Pulled teacher away from other groups to stop </w:t>
            </w:r>
            <w:r w:rsidR="00A15E20">
              <w:rPr>
                <w:bCs/>
                <w:lang w:val="en-US"/>
              </w:rPr>
              <w:t>disengaged group.</w:t>
            </w:r>
          </w:p>
          <w:p w14:paraId="6F01EEA6" w14:textId="77777777" w:rsidR="00BE3428" w:rsidRPr="003737F1" w:rsidRDefault="00BE3428" w:rsidP="00C570B9">
            <w:pPr>
              <w:rPr>
                <w:rFonts w:asciiTheme="minorHAnsi" w:hAnsiTheme="minorHAnsi"/>
                <w:bCs/>
                <w:lang w:val="en-US"/>
              </w:rPr>
            </w:pPr>
          </w:p>
          <w:p w14:paraId="10A5E08B" w14:textId="77777777" w:rsidR="00BE3428" w:rsidRPr="003737F1" w:rsidRDefault="00BE3428" w:rsidP="00BE3428">
            <w:pPr>
              <w:rPr>
                <w:rFonts w:asciiTheme="minorHAnsi" w:hAnsiTheme="minorHAnsi"/>
              </w:rPr>
            </w:pPr>
          </w:p>
        </w:tc>
      </w:tr>
      <w:tr w:rsidR="00BE3428" w:rsidRPr="003737F1" w14:paraId="29E87763" w14:textId="77777777" w:rsidTr="00C570B9">
        <w:tc>
          <w:tcPr>
            <w:tcW w:w="8926" w:type="dxa"/>
          </w:tcPr>
          <w:p w14:paraId="178E7E13" w14:textId="77777777" w:rsidR="00BE3428" w:rsidRPr="00627773" w:rsidRDefault="00BE3428" w:rsidP="00C570B9">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2C940E6" w14:textId="4ABFC685" w:rsidR="00BE3428" w:rsidRDefault="00A15E20" w:rsidP="00A15E20">
            <w:pPr>
              <w:pStyle w:val="ListParagraph"/>
              <w:numPr>
                <w:ilvl w:val="0"/>
                <w:numId w:val="2"/>
              </w:numPr>
            </w:pPr>
            <w:r>
              <w:t>Zone of Proximal Development</w:t>
            </w:r>
          </w:p>
          <w:p w14:paraId="529CF784" w14:textId="348E1480" w:rsidR="00A15E20" w:rsidRDefault="00A15E20" w:rsidP="00A15E20">
            <w:pPr>
              <w:pStyle w:val="ListParagraph"/>
              <w:numPr>
                <w:ilvl w:val="0"/>
                <w:numId w:val="2"/>
              </w:numPr>
            </w:pPr>
            <w:r>
              <w:t>Scaffolding</w:t>
            </w:r>
          </w:p>
          <w:p w14:paraId="49EB468A" w14:textId="027B18B2" w:rsidR="00A15E20" w:rsidRDefault="00A15E20" w:rsidP="00A15E20">
            <w:pPr>
              <w:pStyle w:val="ListParagraph"/>
              <w:numPr>
                <w:ilvl w:val="0"/>
                <w:numId w:val="2"/>
              </w:numPr>
            </w:pPr>
            <w:r>
              <w:t>Experiential learning</w:t>
            </w:r>
          </w:p>
          <w:p w14:paraId="0E343547" w14:textId="5B5DE6FC" w:rsidR="00A15E20" w:rsidRPr="00A15E20" w:rsidRDefault="00A15E20" w:rsidP="00A15E20">
            <w:pPr>
              <w:pStyle w:val="ListParagraph"/>
              <w:numPr>
                <w:ilvl w:val="0"/>
                <w:numId w:val="2"/>
              </w:numPr>
            </w:pPr>
            <w:r>
              <w:t>Classroom behaviour management</w:t>
            </w:r>
          </w:p>
          <w:p w14:paraId="6468A2C2" w14:textId="77777777" w:rsidR="00BE3428" w:rsidRPr="003737F1" w:rsidRDefault="00BE3428" w:rsidP="00C570B9">
            <w:pPr>
              <w:rPr>
                <w:rFonts w:asciiTheme="minorHAnsi" w:hAnsiTheme="minorHAnsi"/>
              </w:rPr>
            </w:pPr>
          </w:p>
          <w:p w14:paraId="1D38DFA5" w14:textId="77777777" w:rsidR="00BE3428" w:rsidRPr="003737F1" w:rsidRDefault="00BE3428" w:rsidP="00C570B9">
            <w:pPr>
              <w:rPr>
                <w:rFonts w:asciiTheme="minorHAnsi" w:hAnsiTheme="minorHAnsi"/>
              </w:rPr>
            </w:pPr>
          </w:p>
        </w:tc>
      </w:tr>
      <w:tr w:rsidR="00BE3428" w:rsidRPr="003737F1" w14:paraId="6B256129" w14:textId="77777777" w:rsidTr="00C570B9">
        <w:tc>
          <w:tcPr>
            <w:tcW w:w="8926" w:type="dxa"/>
          </w:tcPr>
          <w:p w14:paraId="5638DE84" w14:textId="77777777" w:rsidR="00BE3428" w:rsidRPr="00627773" w:rsidRDefault="00BE3428" w:rsidP="00C570B9">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EBD47B7" w14:textId="139C31C2" w:rsidR="00BE3428" w:rsidRDefault="00A15E20" w:rsidP="00A15E20">
            <w:pPr>
              <w:pStyle w:val="ListParagraph"/>
              <w:numPr>
                <w:ilvl w:val="0"/>
                <w:numId w:val="3"/>
              </w:numPr>
              <w:rPr>
                <w:bCs/>
              </w:rPr>
            </w:pPr>
            <w:r>
              <w:rPr>
                <w:bCs/>
              </w:rPr>
              <w:t xml:space="preserve">Objects are new, meaning would be a </w:t>
            </w:r>
            <w:proofErr w:type="gramStart"/>
            <w:r>
              <w:rPr>
                <w:bCs/>
              </w:rPr>
              <w:t>distraction</w:t>
            </w:r>
            <w:proofErr w:type="gramEnd"/>
          </w:p>
          <w:p w14:paraId="718B0AE3" w14:textId="1BA0FE47" w:rsidR="00A15E20" w:rsidRDefault="00A15E20" w:rsidP="00A15E20">
            <w:pPr>
              <w:pStyle w:val="ListParagraph"/>
              <w:numPr>
                <w:ilvl w:val="0"/>
                <w:numId w:val="3"/>
              </w:numPr>
              <w:rPr>
                <w:bCs/>
              </w:rPr>
            </w:pPr>
            <w:r>
              <w:rPr>
                <w:bCs/>
              </w:rPr>
              <w:t xml:space="preserve">A large class, may be harder to </w:t>
            </w:r>
            <w:proofErr w:type="gramStart"/>
            <w:r>
              <w:rPr>
                <w:bCs/>
              </w:rPr>
              <w:t>control</w:t>
            </w:r>
            <w:proofErr w:type="gramEnd"/>
          </w:p>
          <w:p w14:paraId="799FA3C5" w14:textId="2A604C64" w:rsidR="00A15E20" w:rsidRDefault="00A15E20" w:rsidP="00A15E20">
            <w:pPr>
              <w:pStyle w:val="ListParagraph"/>
              <w:numPr>
                <w:ilvl w:val="0"/>
                <w:numId w:val="3"/>
              </w:numPr>
              <w:rPr>
                <w:bCs/>
              </w:rPr>
            </w:pPr>
            <w:r>
              <w:rPr>
                <w:bCs/>
              </w:rPr>
              <w:t xml:space="preserve">Just before lunch, learners may be </w:t>
            </w:r>
            <w:proofErr w:type="gramStart"/>
            <w:r>
              <w:rPr>
                <w:bCs/>
              </w:rPr>
              <w:t>rowdy</w:t>
            </w:r>
            <w:proofErr w:type="gramEnd"/>
            <w:r>
              <w:rPr>
                <w:bCs/>
              </w:rPr>
              <w:t xml:space="preserve"> </w:t>
            </w:r>
          </w:p>
          <w:p w14:paraId="4F9978AB" w14:textId="4A02FF41" w:rsidR="00A15E20" w:rsidRDefault="00A15E20" w:rsidP="00A15E20">
            <w:pPr>
              <w:pStyle w:val="ListParagraph"/>
              <w:numPr>
                <w:ilvl w:val="0"/>
                <w:numId w:val="3"/>
              </w:numPr>
              <w:rPr>
                <w:bCs/>
              </w:rPr>
            </w:pPr>
            <w:r>
              <w:rPr>
                <w:bCs/>
              </w:rPr>
              <w:t xml:space="preserve">Directions are made explicit – however, lack of </w:t>
            </w:r>
            <w:proofErr w:type="gramStart"/>
            <w:r>
              <w:rPr>
                <w:bCs/>
              </w:rPr>
              <w:t>scaffolding</w:t>
            </w:r>
            <w:proofErr w:type="gramEnd"/>
          </w:p>
          <w:p w14:paraId="6399006F" w14:textId="507E3A8D" w:rsidR="00A15E20" w:rsidRPr="00A15E20" w:rsidRDefault="00A15E20" w:rsidP="00A15E20">
            <w:pPr>
              <w:pStyle w:val="ListParagraph"/>
              <w:numPr>
                <w:ilvl w:val="0"/>
                <w:numId w:val="3"/>
              </w:numPr>
              <w:rPr>
                <w:bCs/>
              </w:rPr>
            </w:pPr>
            <w:r>
              <w:rPr>
                <w:bCs/>
              </w:rPr>
              <w:t>Lack of teacher-learner relationship (did not know many names)</w:t>
            </w:r>
          </w:p>
          <w:p w14:paraId="1E75288D" w14:textId="77777777" w:rsidR="00BE3428" w:rsidRPr="003737F1" w:rsidRDefault="00BE3428" w:rsidP="00C570B9">
            <w:pPr>
              <w:rPr>
                <w:rFonts w:asciiTheme="minorHAnsi" w:hAnsiTheme="minorHAnsi"/>
              </w:rPr>
            </w:pPr>
          </w:p>
          <w:p w14:paraId="0FA16060" w14:textId="77777777" w:rsidR="00BE3428" w:rsidRPr="003737F1" w:rsidRDefault="00BE3428" w:rsidP="00C570B9">
            <w:pPr>
              <w:rPr>
                <w:rFonts w:asciiTheme="minorHAnsi" w:hAnsiTheme="minorHAnsi"/>
              </w:rPr>
            </w:pPr>
          </w:p>
          <w:p w14:paraId="3CFAEA5D" w14:textId="77777777" w:rsidR="00BE3428" w:rsidRPr="003737F1" w:rsidRDefault="00BE3428" w:rsidP="00C570B9">
            <w:pPr>
              <w:rPr>
                <w:rFonts w:asciiTheme="minorHAnsi" w:hAnsiTheme="minorHAnsi"/>
              </w:rPr>
            </w:pPr>
          </w:p>
          <w:p w14:paraId="00FDC110" w14:textId="77777777" w:rsidR="00BE3428" w:rsidRPr="003737F1" w:rsidRDefault="00BE3428" w:rsidP="00C570B9">
            <w:pPr>
              <w:rPr>
                <w:rFonts w:asciiTheme="minorHAnsi" w:hAnsiTheme="minorHAnsi"/>
              </w:rPr>
            </w:pPr>
          </w:p>
          <w:p w14:paraId="2B97897B" w14:textId="77777777" w:rsidR="00BE3428" w:rsidRPr="003737F1" w:rsidRDefault="00BE3428" w:rsidP="00C570B9">
            <w:pPr>
              <w:rPr>
                <w:rFonts w:asciiTheme="minorHAnsi" w:hAnsiTheme="minorHAnsi"/>
              </w:rPr>
            </w:pPr>
          </w:p>
          <w:p w14:paraId="6F820C79" w14:textId="77777777" w:rsidR="00BE3428" w:rsidRPr="003737F1" w:rsidRDefault="00BE3428" w:rsidP="00C570B9">
            <w:pPr>
              <w:rPr>
                <w:rFonts w:asciiTheme="minorHAnsi" w:hAnsiTheme="minorHAnsi"/>
              </w:rPr>
            </w:pPr>
          </w:p>
        </w:tc>
      </w:tr>
    </w:tbl>
    <w:p w14:paraId="486366AC" w14:textId="77777777" w:rsidR="00BE3428" w:rsidRPr="00BE3428" w:rsidRDefault="00BE3428" w:rsidP="00BE3428">
      <w:pPr>
        <w:spacing w:line="276" w:lineRule="auto"/>
        <w:rPr>
          <w:b/>
          <w:bCs/>
          <w:u w:val="single"/>
        </w:rPr>
      </w:pPr>
    </w:p>
    <w:sectPr w:rsidR="00BE3428" w:rsidRPr="00BE3428" w:rsidSect="009E7318">
      <w:headerReference w:type="default" r:id="rId12"/>
      <w:footerReference w:type="even" r:id="rId13"/>
      <w:footerReference w:type="defaul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97F59" w14:textId="77777777" w:rsidR="00EA02B5" w:rsidRDefault="00EA02B5" w:rsidP="00122F69">
      <w:r>
        <w:separator/>
      </w:r>
    </w:p>
  </w:endnote>
  <w:endnote w:type="continuationSeparator" w:id="0">
    <w:p w14:paraId="0CE4F40A" w14:textId="77777777" w:rsidR="00EA02B5" w:rsidRDefault="00EA02B5" w:rsidP="00122F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6896252"/>
      <w:docPartObj>
        <w:docPartGallery w:val="Page Numbers (Bottom of Page)"/>
        <w:docPartUnique/>
      </w:docPartObj>
    </w:sdtPr>
    <w:sdtContent>
      <w:p w14:paraId="5F39CD52" w14:textId="15E5539D" w:rsidR="00122F69" w:rsidRDefault="00122F69" w:rsidP="00C04B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136C98" w14:textId="77777777" w:rsidR="00122F69" w:rsidRDefault="00122F69" w:rsidP="00122F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8811767"/>
      <w:docPartObj>
        <w:docPartGallery w:val="Page Numbers (Bottom of Page)"/>
        <w:docPartUnique/>
      </w:docPartObj>
    </w:sdtPr>
    <w:sdtContent>
      <w:p w14:paraId="2A68DF3B" w14:textId="13E44AD3" w:rsidR="00122F69" w:rsidRDefault="00122F69" w:rsidP="00C04B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F05E93" w14:textId="77777777" w:rsidR="00122F69" w:rsidRDefault="00122F69" w:rsidP="00122F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EB9E8" w14:textId="77777777" w:rsidR="00EA02B5" w:rsidRDefault="00EA02B5" w:rsidP="00122F69">
      <w:r>
        <w:separator/>
      </w:r>
    </w:p>
  </w:footnote>
  <w:footnote w:type="continuationSeparator" w:id="0">
    <w:p w14:paraId="7B53E825" w14:textId="77777777" w:rsidR="00EA02B5" w:rsidRDefault="00EA02B5" w:rsidP="00122F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CD664" w14:textId="273B95E9" w:rsidR="00122F69" w:rsidRDefault="00122F69">
    <w:pPr>
      <w:pStyle w:val="Header"/>
    </w:pPr>
    <w:r>
      <w:t>2204215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42583"/>
    <w:multiLevelType w:val="hybridMultilevel"/>
    <w:tmpl w:val="7B32C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1164A9"/>
    <w:multiLevelType w:val="hybridMultilevel"/>
    <w:tmpl w:val="C7C43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A202BB"/>
    <w:multiLevelType w:val="hybridMultilevel"/>
    <w:tmpl w:val="DA3E2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6526310">
    <w:abstractNumId w:val="0"/>
  </w:num>
  <w:num w:numId="2" w16cid:durableId="1402362031">
    <w:abstractNumId w:val="2"/>
  </w:num>
  <w:num w:numId="3" w16cid:durableId="1433816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DBD"/>
    <w:rsid w:val="00043408"/>
    <w:rsid w:val="00053D09"/>
    <w:rsid w:val="00075077"/>
    <w:rsid w:val="00092B70"/>
    <w:rsid w:val="00094F0D"/>
    <w:rsid w:val="000B245A"/>
    <w:rsid w:val="000F33D9"/>
    <w:rsid w:val="00120C8C"/>
    <w:rsid w:val="00122F69"/>
    <w:rsid w:val="00134E67"/>
    <w:rsid w:val="00143C79"/>
    <w:rsid w:val="00163A9E"/>
    <w:rsid w:val="00182965"/>
    <w:rsid w:val="001A17CB"/>
    <w:rsid w:val="001A425E"/>
    <w:rsid w:val="00204600"/>
    <w:rsid w:val="00223006"/>
    <w:rsid w:val="00240FED"/>
    <w:rsid w:val="002462D1"/>
    <w:rsid w:val="00257D9B"/>
    <w:rsid w:val="00263F4C"/>
    <w:rsid w:val="002A107C"/>
    <w:rsid w:val="002B6471"/>
    <w:rsid w:val="002C1DA8"/>
    <w:rsid w:val="002E532D"/>
    <w:rsid w:val="002F05E3"/>
    <w:rsid w:val="00302E27"/>
    <w:rsid w:val="00305B13"/>
    <w:rsid w:val="00310DB3"/>
    <w:rsid w:val="00311AC0"/>
    <w:rsid w:val="003778A8"/>
    <w:rsid w:val="003A404C"/>
    <w:rsid w:val="003A7996"/>
    <w:rsid w:val="003B3C53"/>
    <w:rsid w:val="003E45FA"/>
    <w:rsid w:val="003F3197"/>
    <w:rsid w:val="00407C5D"/>
    <w:rsid w:val="004212A3"/>
    <w:rsid w:val="004343BB"/>
    <w:rsid w:val="004F05EA"/>
    <w:rsid w:val="00550B4D"/>
    <w:rsid w:val="005716A8"/>
    <w:rsid w:val="005B16F7"/>
    <w:rsid w:val="00616DBD"/>
    <w:rsid w:val="00617AC2"/>
    <w:rsid w:val="0064217F"/>
    <w:rsid w:val="006603C9"/>
    <w:rsid w:val="00663105"/>
    <w:rsid w:val="00666CEA"/>
    <w:rsid w:val="006727CA"/>
    <w:rsid w:val="00673B9E"/>
    <w:rsid w:val="006801E4"/>
    <w:rsid w:val="00682C15"/>
    <w:rsid w:val="00691BA6"/>
    <w:rsid w:val="00693764"/>
    <w:rsid w:val="006B047A"/>
    <w:rsid w:val="006B1309"/>
    <w:rsid w:val="006C53D7"/>
    <w:rsid w:val="006D5E10"/>
    <w:rsid w:val="006E0401"/>
    <w:rsid w:val="006E4F81"/>
    <w:rsid w:val="006E5130"/>
    <w:rsid w:val="0072395B"/>
    <w:rsid w:val="00726D85"/>
    <w:rsid w:val="0073274E"/>
    <w:rsid w:val="00782DBC"/>
    <w:rsid w:val="00792FA4"/>
    <w:rsid w:val="007A27D8"/>
    <w:rsid w:val="007C4917"/>
    <w:rsid w:val="007C63CF"/>
    <w:rsid w:val="008152AD"/>
    <w:rsid w:val="00817458"/>
    <w:rsid w:val="00821439"/>
    <w:rsid w:val="00824930"/>
    <w:rsid w:val="00847102"/>
    <w:rsid w:val="00873893"/>
    <w:rsid w:val="0088178C"/>
    <w:rsid w:val="00886C4A"/>
    <w:rsid w:val="009049B5"/>
    <w:rsid w:val="00927EB9"/>
    <w:rsid w:val="009850D7"/>
    <w:rsid w:val="009B6CFF"/>
    <w:rsid w:val="009C11F5"/>
    <w:rsid w:val="009D323E"/>
    <w:rsid w:val="009E7318"/>
    <w:rsid w:val="00A00A31"/>
    <w:rsid w:val="00A15E20"/>
    <w:rsid w:val="00A2000D"/>
    <w:rsid w:val="00A40D12"/>
    <w:rsid w:val="00AB4A64"/>
    <w:rsid w:val="00AC4DF0"/>
    <w:rsid w:val="00AC597F"/>
    <w:rsid w:val="00AD1F0B"/>
    <w:rsid w:val="00AD72F1"/>
    <w:rsid w:val="00AE1750"/>
    <w:rsid w:val="00AF03AC"/>
    <w:rsid w:val="00B0384E"/>
    <w:rsid w:val="00B27582"/>
    <w:rsid w:val="00B7759E"/>
    <w:rsid w:val="00B8675E"/>
    <w:rsid w:val="00BB0811"/>
    <w:rsid w:val="00BC628E"/>
    <w:rsid w:val="00BE3428"/>
    <w:rsid w:val="00C04C3E"/>
    <w:rsid w:val="00C07595"/>
    <w:rsid w:val="00C45358"/>
    <w:rsid w:val="00C47D41"/>
    <w:rsid w:val="00C627BF"/>
    <w:rsid w:val="00C738D4"/>
    <w:rsid w:val="00CA491F"/>
    <w:rsid w:val="00CE560E"/>
    <w:rsid w:val="00D04724"/>
    <w:rsid w:val="00D0757D"/>
    <w:rsid w:val="00D433AF"/>
    <w:rsid w:val="00D45FC7"/>
    <w:rsid w:val="00D52982"/>
    <w:rsid w:val="00D5611B"/>
    <w:rsid w:val="00D712FC"/>
    <w:rsid w:val="00D74764"/>
    <w:rsid w:val="00DB2B8A"/>
    <w:rsid w:val="00DB3076"/>
    <w:rsid w:val="00DD011F"/>
    <w:rsid w:val="00E321A6"/>
    <w:rsid w:val="00E60450"/>
    <w:rsid w:val="00E656B8"/>
    <w:rsid w:val="00E73F0A"/>
    <w:rsid w:val="00E93B06"/>
    <w:rsid w:val="00EA02B5"/>
    <w:rsid w:val="00EE1FAC"/>
    <w:rsid w:val="00EF09FC"/>
    <w:rsid w:val="00EF316F"/>
    <w:rsid w:val="00F16492"/>
    <w:rsid w:val="00F16B4E"/>
    <w:rsid w:val="00F31B6B"/>
    <w:rsid w:val="00F636E7"/>
    <w:rsid w:val="00F824E7"/>
    <w:rsid w:val="00F86C1F"/>
    <w:rsid w:val="00FD50D2"/>
    <w:rsid w:val="00FF0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C69EB5"/>
  <w15:chartTrackingRefBased/>
  <w15:docId w15:val="{188DB480-34EF-694E-A1F9-54606A4AF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22F69"/>
    <w:pPr>
      <w:tabs>
        <w:tab w:val="center" w:pos="4513"/>
        <w:tab w:val="right" w:pos="9026"/>
      </w:tabs>
    </w:pPr>
  </w:style>
  <w:style w:type="character" w:customStyle="1" w:styleId="FooterChar">
    <w:name w:val="Footer Char"/>
    <w:basedOn w:val="DefaultParagraphFont"/>
    <w:link w:val="Footer"/>
    <w:uiPriority w:val="99"/>
    <w:rsid w:val="00122F69"/>
  </w:style>
  <w:style w:type="character" w:styleId="PageNumber">
    <w:name w:val="page number"/>
    <w:basedOn w:val="DefaultParagraphFont"/>
    <w:uiPriority w:val="99"/>
    <w:semiHidden/>
    <w:unhideWhenUsed/>
    <w:rsid w:val="00122F69"/>
  </w:style>
  <w:style w:type="paragraph" w:styleId="Header">
    <w:name w:val="header"/>
    <w:basedOn w:val="Normal"/>
    <w:link w:val="HeaderChar"/>
    <w:uiPriority w:val="99"/>
    <w:unhideWhenUsed/>
    <w:rsid w:val="00122F69"/>
    <w:pPr>
      <w:tabs>
        <w:tab w:val="center" w:pos="4513"/>
        <w:tab w:val="right" w:pos="9026"/>
      </w:tabs>
    </w:pPr>
  </w:style>
  <w:style w:type="character" w:customStyle="1" w:styleId="HeaderChar">
    <w:name w:val="Header Char"/>
    <w:basedOn w:val="DefaultParagraphFont"/>
    <w:link w:val="Header"/>
    <w:uiPriority w:val="99"/>
    <w:rsid w:val="00122F69"/>
  </w:style>
  <w:style w:type="paragraph" w:styleId="NoSpacing">
    <w:name w:val="No Spacing"/>
    <w:link w:val="NoSpacingChar"/>
    <w:uiPriority w:val="1"/>
    <w:qFormat/>
    <w:rsid w:val="005716A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716A8"/>
    <w:rPr>
      <w:rFonts w:eastAsiaTheme="minorEastAsia"/>
      <w:kern w:val="0"/>
      <w:sz w:val="22"/>
      <w:szCs w:val="22"/>
      <w:lang w:val="en-US" w:eastAsia="zh-CN"/>
      <w14:ligatures w14:val="none"/>
    </w:rPr>
  </w:style>
  <w:style w:type="paragraph" w:styleId="NormalWeb">
    <w:name w:val="Normal (Web)"/>
    <w:basedOn w:val="Normal"/>
    <w:uiPriority w:val="99"/>
    <w:unhideWhenUsed/>
    <w:rsid w:val="005716A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40FED"/>
    <w:rPr>
      <w:color w:val="0563C1" w:themeColor="hyperlink"/>
      <w:u w:val="single"/>
    </w:rPr>
  </w:style>
  <w:style w:type="character" w:styleId="UnresolvedMention">
    <w:name w:val="Unresolved Mention"/>
    <w:basedOn w:val="DefaultParagraphFont"/>
    <w:uiPriority w:val="99"/>
    <w:semiHidden/>
    <w:unhideWhenUsed/>
    <w:rsid w:val="00240FED"/>
    <w:rPr>
      <w:color w:val="605E5C"/>
      <w:shd w:val="clear" w:color="auto" w:fill="E1DFDD"/>
    </w:rPr>
  </w:style>
  <w:style w:type="table" w:styleId="TableGrid">
    <w:name w:val="Table Grid"/>
    <w:basedOn w:val="TableNormal"/>
    <w:uiPriority w:val="39"/>
    <w:rsid w:val="00BE3428"/>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34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724197">
      <w:bodyDiv w:val="1"/>
      <w:marLeft w:val="0"/>
      <w:marRight w:val="0"/>
      <w:marTop w:val="0"/>
      <w:marBottom w:val="0"/>
      <w:divBdr>
        <w:top w:val="none" w:sz="0" w:space="0" w:color="auto"/>
        <w:left w:val="none" w:sz="0" w:space="0" w:color="auto"/>
        <w:bottom w:val="none" w:sz="0" w:space="0" w:color="auto"/>
        <w:right w:val="none" w:sz="0" w:space="0" w:color="auto"/>
      </w:divBdr>
      <w:divsChild>
        <w:div w:id="310015104">
          <w:marLeft w:val="0"/>
          <w:marRight w:val="0"/>
          <w:marTop w:val="0"/>
          <w:marBottom w:val="0"/>
          <w:divBdr>
            <w:top w:val="none" w:sz="0" w:space="0" w:color="auto"/>
            <w:left w:val="none" w:sz="0" w:space="0" w:color="auto"/>
            <w:bottom w:val="none" w:sz="0" w:space="0" w:color="auto"/>
            <w:right w:val="none" w:sz="0" w:space="0" w:color="auto"/>
          </w:divBdr>
          <w:divsChild>
            <w:div w:id="1090931838">
              <w:marLeft w:val="0"/>
              <w:marRight w:val="0"/>
              <w:marTop w:val="0"/>
              <w:marBottom w:val="0"/>
              <w:divBdr>
                <w:top w:val="none" w:sz="0" w:space="0" w:color="auto"/>
                <w:left w:val="none" w:sz="0" w:space="0" w:color="auto"/>
                <w:bottom w:val="none" w:sz="0" w:space="0" w:color="auto"/>
                <w:right w:val="none" w:sz="0" w:space="0" w:color="auto"/>
              </w:divBdr>
              <w:divsChild>
                <w:div w:id="660158886">
                  <w:marLeft w:val="0"/>
                  <w:marRight w:val="0"/>
                  <w:marTop w:val="0"/>
                  <w:marBottom w:val="0"/>
                  <w:divBdr>
                    <w:top w:val="none" w:sz="0" w:space="0" w:color="auto"/>
                    <w:left w:val="none" w:sz="0" w:space="0" w:color="auto"/>
                    <w:bottom w:val="none" w:sz="0" w:space="0" w:color="auto"/>
                    <w:right w:val="none" w:sz="0" w:space="0" w:color="auto"/>
                  </w:divBdr>
                  <w:divsChild>
                    <w:div w:id="21300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835691">
      <w:bodyDiv w:val="1"/>
      <w:marLeft w:val="0"/>
      <w:marRight w:val="0"/>
      <w:marTop w:val="0"/>
      <w:marBottom w:val="0"/>
      <w:divBdr>
        <w:top w:val="none" w:sz="0" w:space="0" w:color="auto"/>
        <w:left w:val="none" w:sz="0" w:space="0" w:color="auto"/>
        <w:bottom w:val="none" w:sz="0" w:space="0" w:color="auto"/>
        <w:right w:val="none" w:sz="0" w:space="0" w:color="auto"/>
      </w:divBdr>
      <w:divsChild>
        <w:div w:id="1454058678">
          <w:marLeft w:val="0"/>
          <w:marRight w:val="0"/>
          <w:marTop w:val="0"/>
          <w:marBottom w:val="0"/>
          <w:divBdr>
            <w:top w:val="none" w:sz="0" w:space="0" w:color="auto"/>
            <w:left w:val="none" w:sz="0" w:space="0" w:color="auto"/>
            <w:bottom w:val="none" w:sz="0" w:space="0" w:color="auto"/>
            <w:right w:val="none" w:sz="0" w:space="0" w:color="auto"/>
          </w:divBdr>
          <w:divsChild>
            <w:div w:id="1999457834">
              <w:marLeft w:val="0"/>
              <w:marRight w:val="0"/>
              <w:marTop w:val="0"/>
              <w:marBottom w:val="0"/>
              <w:divBdr>
                <w:top w:val="none" w:sz="0" w:space="0" w:color="auto"/>
                <w:left w:val="none" w:sz="0" w:space="0" w:color="auto"/>
                <w:bottom w:val="none" w:sz="0" w:space="0" w:color="auto"/>
                <w:right w:val="none" w:sz="0" w:space="0" w:color="auto"/>
              </w:divBdr>
              <w:divsChild>
                <w:div w:id="1157916245">
                  <w:marLeft w:val="0"/>
                  <w:marRight w:val="0"/>
                  <w:marTop w:val="0"/>
                  <w:marBottom w:val="0"/>
                  <w:divBdr>
                    <w:top w:val="none" w:sz="0" w:space="0" w:color="auto"/>
                    <w:left w:val="none" w:sz="0" w:space="0" w:color="auto"/>
                    <w:bottom w:val="none" w:sz="0" w:space="0" w:color="auto"/>
                    <w:right w:val="none" w:sz="0" w:space="0" w:color="auto"/>
                  </w:divBdr>
                </w:div>
                <w:div w:id="1976640267">
                  <w:marLeft w:val="0"/>
                  <w:marRight w:val="0"/>
                  <w:marTop w:val="0"/>
                  <w:marBottom w:val="0"/>
                  <w:divBdr>
                    <w:top w:val="none" w:sz="0" w:space="0" w:color="auto"/>
                    <w:left w:val="none" w:sz="0" w:space="0" w:color="auto"/>
                    <w:bottom w:val="none" w:sz="0" w:space="0" w:color="auto"/>
                    <w:right w:val="none" w:sz="0" w:space="0" w:color="auto"/>
                  </w:divBdr>
                </w:div>
              </w:divsChild>
            </w:div>
            <w:div w:id="1497652279">
              <w:marLeft w:val="0"/>
              <w:marRight w:val="0"/>
              <w:marTop w:val="0"/>
              <w:marBottom w:val="0"/>
              <w:divBdr>
                <w:top w:val="none" w:sz="0" w:space="0" w:color="auto"/>
                <w:left w:val="none" w:sz="0" w:space="0" w:color="auto"/>
                <w:bottom w:val="none" w:sz="0" w:space="0" w:color="auto"/>
                <w:right w:val="none" w:sz="0" w:space="0" w:color="auto"/>
              </w:divBdr>
              <w:divsChild>
                <w:div w:id="2102794346">
                  <w:marLeft w:val="0"/>
                  <w:marRight w:val="0"/>
                  <w:marTop w:val="0"/>
                  <w:marBottom w:val="0"/>
                  <w:divBdr>
                    <w:top w:val="none" w:sz="0" w:space="0" w:color="auto"/>
                    <w:left w:val="none" w:sz="0" w:space="0" w:color="auto"/>
                    <w:bottom w:val="none" w:sz="0" w:space="0" w:color="auto"/>
                    <w:right w:val="none" w:sz="0" w:space="0" w:color="auto"/>
                  </w:divBdr>
                  <w:divsChild>
                    <w:div w:id="954412085">
                      <w:marLeft w:val="0"/>
                      <w:marRight w:val="0"/>
                      <w:marTop w:val="0"/>
                      <w:marBottom w:val="0"/>
                      <w:divBdr>
                        <w:top w:val="none" w:sz="0" w:space="0" w:color="auto"/>
                        <w:left w:val="none" w:sz="0" w:space="0" w:color="auto"/>
                        <w:bottom w:val="none" w:sz="0" w:space="0" w:color="auto"/>
                        <w:right w:val="none" w:sz="0" w:space="0" w:color="auto"/>
                      </w:divBdr>
                    </w:div>
                  </w:divsChild>
                </w:div>
                <w:div w:id="1809278412">
                  <w:marLeft w:val="0"/>
                  <w:marRight w:val="0"/>
                  <w:marTop w:val="0"/>
                  <w:marBottom w:val="0"/>
                  <w:divBdr>
                    <w:top w:val="none" w:sz="0" w:space="0" w:color="auto"/>
                    <w:left w:val="none" w:sz="0" w:space="0" w:color="auto"/>
                    <w:bottom w:val="none" w:sz="0" w:space="0" w:color="auto"/>
                    <w:right w:val="none" w:sz="0" w:space="0" w:color="auto"/>
                  </w:divBdr>
                  <w:divsChild>
                    <w:div w:id="414473112">
                      <w:marLeft w:val="0"/>
                      <w:marRight w:val="0"/>
                      <w:marTop w:val="0"/>
                      <w:marBottom w:val="0"/>
                      <w:divBdr>
                        <w:top w:val="none" w:sz="0" w:space="0" w:color="auto"/>
                        <w:left w:val="none" w:sz="0" w:space="0" w:color="auto"/>
                        <w:bottom w:val="none" w:sz="0" w:space="0" w:color="auto"/>
                        <w:right w:val="none" w:sz="0" w:space="0" w:color="auto"/>
                      </w:divBdr>
                    </w:div>
                  </w:divsChild>
                </w:div>
                <w:div w:id="249239575">
                  <w:marLeft w:val="0"/>
                  <w:marRight w:val="0"/>
                  <w:marTop w:val="0"/>
                  <w:marBottom w:val="0"/>
                  <w:divBdr>
                    <w:top w:val="none" w:sz="0" w:space="0" w:color="auto"/>
                    <w:left w:val="none" w:sz="0" w:space="0" w:color="auto"/>
                    <w:bottom w:val="none" w:sz="0" w:space="0" w:color="auto"/>
                    <w:right w:val="none" w:sz="0" w:space="0" w:color="auto"/>
                  </w:divBdr>
                  <w:divsChild>
                    <w:div w:id="1691026012">
                      <w:marLeft w:val="0"/>
                      <w:marRight w:val="0"/>
                      <w:marTop w:val="0"/>
                      <w:marBottom w:val="0"/>
                      <w:divBdr>
                        <w:top w:val="none" w:sz="0" w:space="0" w:color="auto"/>
                        <w:left w:val="none" w:sz="0" w:space="0" w:color="auto"/>
                        <w:bottom w:val="none" w:sz="0" w:space="0" w:color="auto"/>
                        <w:right w:val="none" w:sz="0" w:space="0" w:color="auto"/>
                      </w:divBdr>
                    </w:div>
                  </w:divsChild>
                </w:div>
                <w:div w:id="1545681158">
                  <w:marLeft w:val="0"/>
                  <w:marRight w:val="0"/>
                  <w:marTop w:val="0"/>
                  <w:marBottom w:val="0"/>
                  <w:divBdr>
                    <w:top w:val="none" w:sz="0" w:space="0" w:color="auto"/>
                    <w:left w:val="none" w:sz="0" w:space="0" w:color="auto"/>
                    <w:bottom w:val="none" w:sz="0" w:space="0" w:color="auto"/>
                    <w:right w:val="none" w:sz="0" w:space="0" w:color="auto"/>
                  </w:divBdr>
                  <w:divsChild>
                    <w:div w:id="794837910">
                      <w:marLeft w:val="0"/>
                      <w:marRight w:val="0"/>
                      <w:marTop w:val="0"/>
                      <w:marBottom w:val="0"/>
                      <w:divBdr>
                        <w:top w:val="none" w:sz="0" w:space="0" w:color="auto"/>
                        <w:left w:val="none" w:sz="0" w:space="0" w:color="auto"/>
                        <w:bottom w:val="none" w:sz="0" w:space="0" w:color="auto"/>
                        <w:right w:val="none" w:sz="0" w:space="0" w:color="auto"/>
                      </w:divBdr>
                    </w:div>
                  </w:divsChild>
                </w:div>
                <w:div w:id="1773621811">
                  <w:marLeft w:val="0"/>
                  <w:marRight w:val="0"/>
                  <w:marTop w:val="0"/>
                  <w:marBottom w:val="0"/>
                  <w:divBdr>
                    <w:top w:val="none" w:sz="0" w:space="0" w:color="auto"/>
                    <w:left w:val="none" w:sz="0" w:space="0" w:color="auto"/>
                    <w:bottom w:val="none" w:sz="0" w:space="0" w:color="auto"/>
                    <w:right w:val="none" w:sz="0" w:space="0" w:color="auto"/>
                  </w:divBdr>
                  <w:divsChild>
                    <w:div w:id="743452955">
                      <w:marLeft w:val="0"/>
                      <w:marRight w:val="0"/>
                      <w:marTop w:val="0"/>
                      <w:marBottom w:val="0"/>
                      <w:divBdr>
                        <w:top w:val="none" w:sz="0" w:space="0" w:color="auto"/>
                        <w:left w:val="none" w:sz="0" w:space="0" w:color="auto"/>
                        <w:bottom w:val="none" w:sz="0" w:space="0" w:color="auto"/>
                        <w:right w:val="none" w:sz="0" w:space="0" w:color="auto"/>
                      </w:divBdr>
                    </w:div>
                  </w:divsChild>
                </w:div>
                <w:div w:id="1667244948">
                  <w:marLeft w:val="0"/>
                  <w:marRight w:val="0"/>
                  <w:marTop w:val="0"/>
                  <w:marBottom w:val="0"/>
                  <w:divBdr>
                    <w:top w:val="none" w:sz="0" w:space="0" w:color="auto"/>
                    <w:left w:val="none" w:sz="0" w:space="0" w:color="auto"/>
                    <w:bottom w:val="none" w:sz="0" w:space="0" w:color="auto"/>
                    <w:right w:val="none" w:sz="0" w:space="0" w:color="auto"/>
                  </w:divBdr>
                  <w:divsChild>
                    <w:div w:id="291326623">
                      <w:marLeft w:val="0"/>
                      <w:marRight w:val="0"/>
                      <w:marTop w:val="0"/>
                      <w:marBottom w:val="0"/>
                      <w:divBdr>
                        <w:top w:val="none" w:sz="0" w:space="0" w:color="auto"/>
                        <w:left w:val="none" w:sz="0" w:space="0" w:color="auto"/>
                        <w:bottom w:val="none" w:sz="0" w:space="0" w:color="auto"/>
                        <w:right w:val="none" w:sz="0" w:space="0" w:color="auto"/>
                      </w:divBdr>
                    </w:div>
                  </w:divsChild>
                </w:div>
                <w:div w:id="2069188842">
                  <w:marLeft w:val="0"/>
                  <w:marRight w:val="0"/>
                  <w:marTop w:val="0"/>
                  <w:marBottom w:val="0"/>
                  <w:divBdr>
                    <w:top w:val="none" w:sz="0" w:space="0" w:color="auto"/>
                    <w:left w:val="none" w:sz="0" w:space="0" w:color="auto"/>
                    <w:bottom w:val="none" w:sz="0" w:space="0" w:color="auto"/>
                    <w:right w:val="none" w:sz="0" w:space="0" w:color="auto"/>
                  </w:divBdr>
                  <w:divsChild>
                    <w:div w:id="2118062114">
                      <w:marLeft w:val="0"/>
                      <w:marRight w:val="0"/>
                      <w:marTop w:val="0"/>
                      <w:marBottom w:val="0"/>
                      <w:divBdr>
                        <w:top w:val="none" w:sz="0" w:space="0" w:color="auto"/>
                        <w:left w:val="none" w:sz="0" w:space="0" w:color="auto"/>
                        <w:bottom w:val="none" w:sz="0" w:space="0" w:color="auto"/>
                        <w:right w:val="none" w:sz="0" w:space="0" w:color="auto"/>
                      </w:divBdr>
                    </w:div>
                  </w:divsChild>
                </w:div>
                <w:div w:id="1830555278">
                  <w:marLeft w:val="0"/>
                  <w:marRight w:val="0"/>
                  <w:marTop w:val="0"/>
                  <w:marBottom w:val="0"/>
                  <w:divBdr>
                    <w:top w:val="none" w:sz="0" w:space="0" w:color="auto"/>
                    <w:left w:val="none" w:sz="0" w:space="0" w:color="auto"/>
                    <w:bottom w:val="none" w:sz="0" w:space="0" w:color="auto"/>
                    <w:right w:val="none" w:sz="0" w:space="0" w:color="auto"/>
                  </w:divBdr>
                  <w:divsChild>
                    <w:div w:id="969359027">
                      <w:marLeft w:val="0"/>
                      <w:marRight w:val="0"/>
                      <w:marTop w:val="0"/>
                      <w:marBottom w:val="0"/>
                      <w:divBdr>
                        <w:top w:val="none" w:sz="0" w:space="0" w:color="auto"/>
                        <w:left w:val="none" w:sz="0" w:space="0" w:color="auto"/>
                        <w:bottom w:val="none" w:sz="0" w:space="0" w:color="auto"/>
                        <w:right w:val="none" w:sz="0" w:space="0" w:color="auto"/>
                      </w:divBdr>
                    </w:div>
                  </w:divsChild>
                </w:div>
                <w:div w:id="541213728">
                  <w:marLeft w:val="0"/>
                  <w:marRight w:val="0"/>
                  <w:marTop w:val="0"/>
                  <w:marBottom w:val="0"/>
                  <w:divBdr>
                    <w:top w:val="none" w:sz="0" w:space="0" w:color="auto"/>
                    <w:left w:val="none" w:sz="0" w:space="0" w:color="auto"/>
                    <w:bottom w:val="none" w:sz="0" w:space="0" w:color="auto"/>
                    <w:right w:val="none" w:sz="0" w:space="0" w:color="auto"/>
                  </w:divBdr>
                  <w:divsChild>
                    <w:div w:id="1524512052">
                      <w:marLeft w:val="0"/>
                      <w:marRight w:val="0"/>
                      <w:marTop w:val="0"/>
                      <w:marBottom w:val="0"/>
                      <w:divBdr>
                        <w:top w:val="none" w:sz="0" w:space="0" w:color="auto"/>
                        <w:left w:val="none" w:sz="0" w:space="0" w:color="auto"/>
                        <w:bottom w:val="none" w:sz="0" w:space="0" w:color="auto"/>
                        <w:right w:val="none" w:sz="0" w:space="0" w:color="auto"/>
                      </w:divBdr>
                    </w:div>
                  </w:divsChild>
                </w:div>
                <w:div w:id="1390346599">
                  <w:marLeft w:val="0"/>
                  <w:marRight w:val="0"/>
                  <w:marTop w:val="0"/>
                  <w:marBottom w:val="0"/>
                  <w:divBdr>
                    <w:top w:val="none" w:sz="0" w:space="0" w:color="auto"/>
                    <w:left w:val="none" w:sz="0" w:space="0" w:color="auto"/>
                    <w:bottom w:val="none" w:sz="0" w:space="0" w:color="auto"/>
                    <w:right w:val="none" w:sz="0" w:space="0" w:color="auto"/>
                  </w:divBdr>
                  <w:divsChild>
                    <w:div w:id="365059861">
                      <w:marLeft w:val="0"/>
                      <w:marRight w:val="0"/>
                      <w:marTop w:val="0"/>
                      <w:marBottom w:val="0"/>
                      <w:divBdr>
                        <w:top w:val="none" w:sz="0" w:space="0" w:color="auto"/>
                        <w:left w:val="none" w:sz="0" w:space="0" w:color="auto"/>
                        <w:bottom w:val="none" w:sz="0" w:space="0" w:color="auto"/>
                        <w:right w:val="none" w:sz="0" w:space="0" w:color="auto"/>
                      </w:divBdr>
                    </w:div>
                  </w:divsChild>
                </w:div>
                <w:div w:id="1247151131">
                  <w:marLeft w:val="0"/>
                  <w:marRight w:val="0"/>
                  <w:marTop w:val="0"/>
                  <w:marBottom w:val="0"/>
                  <w:divBdr>
                    <w:top w:val="none" w:sz="0" w:space="0" w:color="auto"/>
                    <w:left w:val="none" w:sz="0" w:space="0" w:color="auto"/>
                    <w:bottom w:val="none" w:sz="0" w:space="0" w:color="auto"/>
                    <w:right w:val="none" w:sz="0" w:space="0" w:color="auto"/>
                  </w:divBdr>
                  <w:divsChild>
                    <w:div w:id="1251500201">
                      <w:marLeft w:val="0"/>
                      <w:marRight w:val="0"/>
                      <w:marTop w:val="0"/>
                      <w:marBottom w:val="0"/>
                      <w:divBdr>
                        <w:top w:val="none" w:sz="0" w:space="0" w:color="auto"/>
                        <w:left w:val="none" w:sz="0" w:space="0" w:color="auto"/>
                        <w:bottom w:val="none" w:sz="0" w:space="0" w:color="auto"/>
                        <w:right w:val="none" w:sz="0" w:space="0" w:color="auto"/>
                      </w:divBdr>
                    </w:div>
                  </w:divsChild>
                </w:div>
                <w:div w:id="1268461179">
                  <w:marLeft w:val="0"/>
                  <w:marRight w:val="0"/>
                  <w:marTop w:val="0"/>
                  <w:marBottom w:val="0"/>
                  <w:divBdr>
                    <w:top w:val="none" w:sz="0" w:space="0" w:color="auto"/>
                    <w:left w:val="none" w:sz="0" w:space="0" w:color="auto"/>
                    <w:bottom w:val="none" w:sz="0" w:space="0" w:color="auto"/>
                    <w:right w:val="none" w:sz="0" w:space="0" w:color="auto"/>
                  </w:divBdr>
                  <w:divsChild>
                    <w:div w:id="47610544">
                      <w:marLeft w:val="0"/>
                      <w:marRight w:val="0"/>
                      <w:marTop w:val="0"/>
                      <w:marBottom w:val="0"/>
                      <w:divBdr>
                        <w:top w:val="none" w:sz="0" w:space="0" w:color="auto"/>
                        <w:left w:val="none" w:sz="0" w:space="0" w:color="auto"/>
                        <w:bottom w:val="none" w:sz="0" w:space="0" w:color="auto"/>
                        <w:right w:val="none" w:sz="0" w:space="0" w:color="auto"/>
                      </w:divBdr>
                    </w:div>
                  </w:divsChild>
                </w:div>
                <w:div w:id="1922980139">
                  <w:marLeft w:val="0"/>
                  <w:marRight w:val="0"/>
                  <w:marTop w:val="0"/>
                  <w:marBottom w:val="0"/>
                  <w:divBdr>
                    <w:top w:val="none" w:sz="0" w:space="0" w:color="auto"/>
                    <w:left w:val="none" w:sz="0" w:space="0" w:color="auto"/>
                    <w:bottom w:val="none" w:sz="0" w:space="0" w:color="auto"/>
                    <w:right w:val="none" w:sz="0" w:space="0" w:color="auto"/>
                  </w:divBdr>
                  <w:divsChild>
                    <w:div w:id="847333631">
                      <w:marLeft w:val="0"/>
                      <w:marRight w:val="0"/>
                      <w:marTop w:val="0"/>
                      <w:marBottom w:val="0"/>
                      <w:divBdr>
                        <w:top w:val="none" w:sz="0" w:space="0" w:color="auto"/>
                        <w:left w:val="none" w:sz="0" w:space="0" w:color="auto"/>
                        <w:bottom w:val="none" w:sz="0" w:space="0" w:color="auto"/>
                        <w:right w:val="none" w:sz="0" w:space="0" w:color="auto"/>
                      </w:divBdr>
                    </w:div>
                  </w:divsChild>
                </w:div>
                <w:div w:id="790592264">
                  <w:marLeft w:val="0"/>
                  <w:marRight w:val="0"/>
                  <w:marTop w:val="0"/>
                  <w:marBottom w:val="0"/>
                  <w:divBdr>
                    <w:top w:val="none" w:sz="0" w:space="0" w:color="auto"/>
                    <w:left w:val="none" w:sz="0" w:space="0" w:color="auto"/>
                    <w:bottom w:val="none" w:sz="0" w:space="0" w:color="auto"/>
                    <w:right w:val="none" w:sz="0" w:space="0" w:color="auto"/>
                  </w:divBdr>
                  <w:divsChild>
                    <w:div w:id="1669097707">
                      <w:marLeft w:val="0"/>
                      <w:marRight w:val="0"/>
                      <w:marTop w:val="0"/>
                      <w:marBottom w:val="0"/>
                      <w:divBdr>
                        <w:top w:val="none" w:sz="0" w:space="0" w:color="auto"/>
                        <w:left w:val="none" w:sz="0" w:space="0" w:color="auto"/>
                        <w:bottom w:val="none" w:sz="0" w:space="0" w:color="auto"/>
                        <w:right w:val="none" w:sz="0" w:space="0" w:color="auto"/>
                      </w:divBdr>
                    </w:div>
                  </w:divsChild>
                </w:div>
                <w:div w:id="1840390648">
                  <w:marLeft w:val="0"/>
                  <w:marRight w:val="0"/>
                  <w:marTop w:val="0"/>
                  <w:marBottom w:val="0"/>
                  <w:divBdr>
                    <w:top w:val="none" w:sz="0" w:space="0" w:color="auto"/>
                    <w:left w:val="none" w:sz="0" w:space="0" w:color="auto"/>
                    <w:bottom w:val="none" w:sz="0" w:space="0" w:color="auto"/>
                    <w:right w:val="none" w:sz="0" w:space="0" w:color="auto"/>
                  </w:divBdr>
                  <w:divsChild>
                    <w:div w:id="127013922">
                      <w:marLeft w:val="0"/>
                      <w:marRight w:val="0"/>
                      <w:marTop w:val="0"/>
                      <w:marBottom w:val="0"/>
                      <w:divBdr>
                        <w:top w:val="none" w:sz="0" w:space="0" w:color="auto"/>
                        <w:left w:val="none" w:sz="0" w:space="0" w:color="auto"/>
                        <w:bottom w:val="none" w:sz="0" w:space="0" w:color="auto"/>
                        <w:right w:val="none" w:sz="0" w:space="0" w:color="auto"/>
                      </w:divBdr>
                    </w:div>
                  </w:divsChild>
                </w:div>
                <w:div w:id="1983533154">
                  <w:marLeft w:val="0"/>
                  <w:marRight w:val="0"/>
                  <w:marTop w:val="0"/>
                  <w:marBottom w:val="0"/>
                  <w:divBdr>
                    <w:top w:val="none" w:sz="0" w:space="0" w:color="auto"/>
                    <w:left w:val="none" w:sz="0" w:space="0" w:color="auto"/>
                    <w:bottom w:val="none" w:sz="0" w:space="0" w:color="auto"/>
                    <w:right w:val="none" w:sz="0" w:space="0" w:color="auto"/>
                  </w:divBdr>
                  <w:divsChild>
                    <w:div w:id="1206483703">
                      <w:marLeft w:val="0"/>
                      <w:marRight w:val="0"/>
                      <w:marTop w:val="0"/>
                      <w:marBottom w:val="0"/>
                      <w:divBdr>
                        <w:top w:val="none" w:sz="0" w:space="0" w:color="auto"/>
                        <w:left w:val="none" w:sz="0" w:space="0" w:color="auto"/>
                        <w:bottom w:val="none" w:sz="0" w:space="0" w:color="auto"/>
                        <w:right w:val="none" w:sz="0" w:space="0" w:color="auto"/>
                      </w:divBdr>
                    </w:div>
                  </w:divsChild>
                </w:div>
                <w:div w:id="1910185228">
                  <w:marLeft w:val="0"/>
                  <w:marRight w:val="0"/>
                  <w:marTop w:val="0"/>
                  <w:marBottom w:val="0"/>
                  <w:divBdr>
                    <w:top w:val="none" w:sz="0" w:space="0" w:color="auto"/>
                    <w:left w:val="none" w:sz="0" w:space="0" w:color="auto"/>
                    <w:bottom w:val="none" w:sz="0" w:space="0" w:color="auto"/>
                    <w:right w:val="none" w:sz="0" w:space="0" w:color="auto"/>
                  </w:divBdr>
                  <w:divsChild>
                    <w:div w:id="190965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908/Treorchy%2520Comprehensive%2520School.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openpress.sussex.ac.uk/ideasforactivelearning/chapter/object-%09based-learning-active-learning-through-enquiry/"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localschool.gov.wales/School/6744081?lang=e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hwb.gov.wales/api/storage/19bc948b-8a3f-41e0-944a-%097bf2cadf7d18/professional-standards-for-teaching-and-leadership-interactive-pdf-%09for-pc.pdf" TargetMode="External"/><Relationship Id="rId4" Type="http://schemas.openxmlformats.org/officeDocument/2006/relationships/webSettings" Target="webSettings.xml"/><Relationship Id="rId9" Type="http://schemas.openxmlformats.org/officeDocument/2006/relationships/hyperlink" Target="https://www.proquest.com/docview/304844985?pq-%09origsite=gscholar&amp;fromopenview=tru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1230</TotalTime>
  <Pages>11</Pages>
  <Words>4954</Words>
  <Characters>28242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Lawrence (2204215)</dc:creator>
  <cp:keywords/>
  <dc:description/>
  <cp:lastModifiedBy>Morgan Lawrence (2204215)</cp:lastModifiedBy>
  <cp:revision>59</cp:revision>
  <dcterms:created xsi:type="dcterms:W3CDTF">2023-11-02T13:00:00Z</dcterms:created>
  <dcterms:modified xsi:type="dcterms:W3CDTF">2023-11-06T21:33:00Z</dcterms:modified>
</cp:coreProperties>
</file>