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91AD0" w14:textId="5E4705A8" w:rsidR="00357A2C" w:rsidRPr="00357A2C" w:rsidRDefault="00357A2C" w:rsidP="00357A2C">
      <w:pPr>
        <w:spacing w:line="360" w:lineRule="auto"/>
        <w:jc w:val="both"/>
        <w:rPr>
          <w:b/>
          <w:bCs/>
          <w:sz w:val="56"/>
          <w:szCs w:val="56"/>
        </w:rPr>
      </w:pPr>
      <w:r w:rsidRPr="00357A2C">
        <w:rPr>
          <w:sz w:val="56"/>
          <w:szCs w:val="56"/>
        </w:rPr>
        <w:t xml:space="preserve">                 </w:t>
      </w:r>
      <w:r>
        <w:rPr>
          <w:sz w:val="56"/>
          <w:szCs w:val="56"/>
        </w:rPr>
        <w:t xml:space="preserve">      </w:t>
      </w:r>
      <w:r w:rsidRPr="00357A2C">
        <w:rPr>
          <w:sz w:val="56"/>
          <w:szCs w:val="56"/>
        </w:rPr>
        <w:t xml:space="preserve"> </w:t>
      </w:r>
      <w:r w:rsidRPr="00357A2C">
        <w:rPr>
          <w:b/>
          <w:bCs/>
          <w:sz w:val="56"/>
          <w:szCs w:val="56"/>
        </w:rPr>
        <w:t>LCBB5004</w:t>
      </w:r>
    </w:p>
    <w:p w14:paraId="0FB4D2E9" w14:textId="77777777" w:rsidR="00357A2C" w:rsidRDefault="00357A2C" w:rsidP="00357A2C">
      <w:pPr>
        <w:spacing w:line="360" w:lineRule="auto"/>
        <w:jc w:val="both"/>
        <w:rPr>
          <w:rFonts w:ascii="Times New Roman" w:eastAsia="Times New Roman" w:hAnsi="Times New Roman" w:cs="Times New Roman"/>
          <w:kern w:val="0"/>
          <w:sz w:val="32"/>
          <w:szCs w:val="32"/>
          <w14:ligatures w14:val="none"/>
        </w:rPr>
      </w:pPr>
      <w:r>
        <w:rPr>
          <w:rFonts w:ascii="Times New Roman" w:eastAsia="Times New Roman" w:hAnsi="Times New Roman" w:cs="Times New Roman"/>
          <w:kern w:val="0"/>
          <w:sz w:val="32"/>
          <w:szCs w:val="32"/>
          <w14:ligatures w14:val="none"/>
        </w:rPr>
        <w:t xml:space="preserve">                     </w:t>
      </w:r>
    </w:p>
    <w:p w14:paraId="19F290BC" w14:textId="77777777" w:rsidR="00357A2C" w:rsidRDefault="00357A2C" w:rsidP="00357A2C">
      <w:pPr>
        <w:spacing w:line="360" w:lineRule="auto"/>
        <w:jc w:val="both"/>
        <w:rPr>
          <w:rFonts w:ascii="Times New Roman" w:eastAsia="Times New Roman" w:hAnsi="Times New Roman" w:cs="Times New Roman"/>
          <w:b/>
          <w:bCs/>
          <w:kern w:val="0"/>
          <w:sz w:val="56"/>
          <w:szCs w:val="56"/>
          <w14:ligatures w14:val="none"/>
        </w:rPr>
      </w:pPr>
      <w:r w:rsidRPr="00357A2C">
        <w:rPr>
          <w:rFonts w:ascii="Times New Roman" w:eastAsia="Times New Roman" w:hAnsi="Times New Roman" w:cs="Times New Roman"/>
          <w:b/>
          <w:bCs/>
          <w:kern w:val="0"/>
          <w:sz w:val="32"/>
          <w:szCs w:val="32"/>
          <w14:ligatures w14:val="none"/>
        </w:rPr>
        <w:t xml:space="preserve">                             </w:t>
      </w:r>
      <w:r w:rsidRPr="00357A2C">
        <w:rPr>
          <w:rFonts w:ascii="Times New Roman" w:eastAsia="Times New Roman" w:hAnsi="Times New Roman" w:cs="Times New Roman"/>
          <w:b/>
          <w:bCs/>
          <w:kern w:val="0"/>
          <w:sz w:val="56"/>
          <w:szCs w:val="56"/>
          <w14:ligatures w14:val="none"/>
        </w:rPr>
        <w:t>Managing People</w:t>
      </w:r>
    </w:p>
    <w:p w14:paraId="1FFF27D3" w14:textId="027173F4" w:rsidR="00357A2C" w:rsidRPr="00357A2C" w:rsidRDefault="00357A2C" w:rsidP="00357A2C">
      <w:pPr>
        <w:spacing w:line="360" w:lineRule="auto"/>
        <w:jc w:val="both"/>
        <w:rPr>
          <w:rFonts w:ascii="Times New Roman" w:eastAsia="Times New Roman" w:hAnsi="Times New Roman" w:cs="Times New Roman"/>
          <w:b/>
          <w:bCs/>
          <w:kern w:val="0"/>
          <w:sz w:val="56"/>
          <w:szCs w:val="56"/>
          <w14:ligatures w14:val="none"/>
        </w:rPr>
      </w:pPr>
      <w:r>
        <w:rPr>
          <w:rFonts w:ascii="Times New Roman" w:eastAsia="Times New Roman" w:hAnsi="Times New Roman" w:cs="Times New Roman"/>
          <w:b/>
          <w:bCs/>
          <w:kern w:val="0"/>
          <w:sz w:val="56"/>
          <w:szCs w:val="56"/>
          <w14:ligatures w14:val="none"/>
        </w:rPr>
        <w:t xml:space="preserve">                   </w:t>
      </w:r>
      <w:r w:rsidRPr="00357A2C">
        <w:rPr>
          <w:rFonts w:ascii="Times New Roman" w:eastAsia="Times New Roman" w:hAnsi="Times New Roman" w:cs="Times New Roman"/>
          <w:b/>
          <w:bCs/>
          <w:kern w:val="0"/>
          <w:sz w:val="56"/>
          <w:szCs w:val="56"/>
          <w:lang w:val="en"/>
          <w14:ligatures w14:val="none"/>
        </w:rPr>
        <w:t xml:space="preserve"> Assessment 2 </w:t>
      </w:r>
    </w:p>
    <w:p w14:paraId="064C86B0" w14:textId="77777777" w:rsidR="00357A2C" w:rsidRPr="00357A2C" w:rsidRDefault="00357A2C" w:rsidP="00357A2C">
      <w:pPr>
        <w:spacing w:line="360" w:lineRule="auto"/>
        <w:jc w:val="both"/>
        <w:rPr>
          <w:rFonts w:ascii="Times New Roman" w:eastAsia="Times New Roman" w:hAnsi="Times New Roman" w:cs="Times New Roman"/>
          <w:kern w:val="0"/>
          <w:sz w:val="56"/>
          <w:szCs w:val="56"/>
          <w:lang w:val="en"/>
          <w14:ligatures w14:val="none"/>
        </w:rPr>
      </w:pPr>
    </w:p>
    <w:p w14:paraId="788C7D54" w14:textId="77777777" w:rsidR="00357A2C" w:rsidRDefault="00357A2C" w:rsidP="00357A2C">
      <w:pPr>
        <w:spacing w:line="360" w:lineRule="auto"/>
        <w:jc w:val="both"/>
        <w:rPr>
          <w:rFonts w:ascii="Times New Roman" w:eastAsia="Times New Roman" w:hAnsi="Times New Roman" w:cs="Times New Roman"/>
          <w:kern w:val="0"/>
          <w:sz w:val="32"/>
          <w:szCs w:val="32"/>
          <w:lang w:val="en"/>
          <w14:ligatures w14:val="none"/>
        </w:rPr>
      </w:pPr>
    </w:p>
    <w:p w14:paraId="5FF6171C" w14:textId="77777777" w:rsidR="00357A2C" w:rsidRDefault="00357A2C" w:rsidP="00357A2C">
      <w:pPr>
        <w:spacing w:line="360" w:lineRule="auto"/>
        <w:jc w:val="both"/>
        <w:rPr>
          <w:rFonts w:ascii="Times New Roman" w:eastAsia="Times New Roman" w:hAnsi="Times New Roman" w:cs="Times New Roman"/>
          <w:kern w:val="0"/>
          <w:sz w:val="32"/>
          <w:szCs w:val="32"/>
          <w:lang w:val="en"/>
          <w14:ligatures w14:val="none"/>
        </w:rPr>
      </w:pPr>
    </w:p>
    <w:p w14:paraId="2892CBC1" w14:textId="77777777" w:rsidR="00357A2C" w:rsidRDefault="00357A2C" w:rsidP="00357A2C">
      <w:pPr>
        <w:spacing w:line="360" w:lineRule="auto"/>
        <w:jc w:val="both"/>
        <w:rPr>
          <w:rFonts w:ascii="Times New Roman" w:eastAsia="Times New Roman" w:hAnsi="Times New Roman" w:cs="Times New Roman"/>
          <w:kern w:val="0"/>
          <w:sz w:val="32"/>
          <w:szCs w:val="32"/>
          <w:lang w:val="en"/>
          <w14:ligatures w14:val="none"/>
        </w:rPr>
      </w:pPr>
    </w:p>
    <w:p w14:paraId="5AC82CD0" w14:textId="77777777" w:rsidR="00357A2C" w:rsidRDefault="00357A2C" w:rsidP="00357A2C">
      <w:pPr>
        <w:spacing w:line="360" w:lineRule="auto"/>
        <w:jc w:val="both"/>
        <w:rPr>
          <w:rFonts w:ascii="Times New Roman" w:eastAsia="Times New Roman" w:hAnsi="Times New Roman" w:cs="Times New Roman"/>
          <w:kern w:val="0"/>
          <w:sz w:val="32"/>
          <w:szCs w:val="32"/>
          <w:lang w:val="en"/>
          <w14:ligatures w14:val="none"/>
        </w:rPr>
      </w:pPr>
    </w:p>
    <w:p w14:paraId="6A66F115" w14:textId="77777777" w:rsidR="00357A2C" w:rsidRDefault="00357A2C" w:rsidP="00357A2C">
      <w:pPr>
        <w:spacing w:line="360" w:lineRule="auto"/>
        <w:jc w:val="both"/>
        <w:rPr>
          <w:rFonts w:ascii="Times New Roman" w:eastAsia="Times New Roman" w:hAnsi="Times New Roman" w:cs="Times New Roman"/>
          <w:kern w:val="0"/>
          <w:sz w:val="32"/>
          <w:szCs w:val="32"/>
          <w:lang w:val="en"/>
          <w14:ligatures w14:val="none"/>
        </w:rPr>
      </w:pPr>
    </w:p>
    <w:p w14:paraId="5E2E74AF" w14:textId="77777777" w:rsidR="00357A2C" w:rsidRPr="00CA15C9" w:rsidRDefault="00357A2C" w:rsidP="00357A2C">
      <w:pPr>
        <w:spacing w:line="360" w:lineRule="auto"/>
        <w:jc w:val="both"/>
        <w:rPr>
          <w:rFonts w:ascii="Times New Roman" w:eastAsia="Times New Roman" w:hAnsi="Times New Roman" w:cs="Times New Roman"/>
          <w:b/>
          <w:bCs/>
          <w:kern w:val="0"/>
          <w:sz w:val="32"/>
          <w:szCs w:val="32"/>
          <w:lang w:val="en"/>
          <w14:ligatures w14:val="none"/>
        </w:rPr>
      </w:pPr>
      <w:r w:rsidRPr="00CA15C9">
        <w:rPr>
          <w:rFonts w:ascii="Times New Roman" w:eastAsia="Times New Roman" w:hAnsi="Times New Roman" w:cs="Times New Roman"/>
          <w:b/>
          <w:bCs/>
          <w:kern w:val="0"/>
          <w:sz w:val="32"/>
          <w:szCs w:val="32"/>
          <w:lang w:val="en"/>
          <w14:ligatures w14:val="none"/>
        </w:rPr>
        <w:t>Student Name: Florentina Fistoleanu</w:t>
      </w:r>
    </w:p>
    <w:p w14:paraId="273EB816" w14:textId="6DC94A26" w:rsidR="005F51B7" w:rsidRPr="00CA15C9" w:rsidRDefault="00357A2C" w:rsidP="00357A2C">
      <w:pPr>
        <w:spacing w:line="360" w:lineRule="auto"/>
        <w:jc w:val="both"/>
        <w:rPr>
          <w:rFonts w:ascii="Times New Roman" w:eastAsia="Times New Roman" w:hAnsi="Times New Roman" w:cs="Times New Roman"/>
          <w:b/>
          <w:bCs/>
          <w:kern w:val="0"/>
          <w:sz w:val="32"/>
          <w:szCs w:val="32"/>
          <w:lang w:val="en"/>
          <w14:ligatures w14:val="none"/>
        </w:rPr>
      </w:pPr>
      <w:r w:rsidRPr="00CA15C9">
        <w:rPr>
          <w:rFonts w:ascii="Times New Roman" w:eastAsia="Times New Roman" w:hAnsi="Times New Roman" w:cs="Times New Roman"/>
          <w:b/>
          <w:bCs/>
          <w:sz w:val="32"/>
          <w:szCs w:val="32"/>
          <w:lang w:val="en"/>
        </w:rPr>
        <w:t>Student ID: 2115309</w:t>
      </w:r>
    </w:p>
    <w:p w14:paraId="00F869B9" w14:textId="77777777" w:rsidR="00357A2C" w:rsidRDefault="00357A2C" w:rsidP="00357A2C">
      <w:pPr>
        <w:keepNext/>
        <w:keepLines/>
        <w:spacing w:after="60" w:line="360" w:lineRule="auto"/>
        <w:rPr>
          <w:rFonts w:ascii="Times New Roman" w:eastAsia="Times New Roman" w:hAnsi="Times New Roman" w:cs="Times New Roman"/>
          <w:sz w:val="32"/>
          <w:szCs w:val="32"/>
          <w:lang w:val="en"/>
        </w:rPr>
      </w:pPr>
    </w:p>
    <w:p w14:paraId="79BE091D" w14:textId="77777777" w:rsidR="00357A2C" w:rsidRDefault="00357A2C" w:rsidP="00357A2C">
      <w:pPr>
        <w:keepNext/>
        <w:keepLines/>
        <w:spacing w:after="60" w:line="360" w:lineRule="auto"/>
        <w:rPr>
          <w:rFonts w:ascii="Times New Roman" w:eastAsia="Times New Roman" w:hAnsi="Times New Roman" w:cs="Times New Roman"/>
          <w:sz w:val="32"/>
          <w:szCs w:val="32"/>
          <w:lang w:val="en"/>
        </w:rPr>
      </w:pPr>
    </w:p>
    <w:p w14:paraId="76B16104" w14:textId="77777777" w:rsidR="00357A2C" w:rsidRDefault="00357A2C" w:rsidP="00357A2C">
      <w:pPr>
        <w:keepNext/>
        <w:keepLines/>
        <w:spacing w:after="60" w:line="360" w:lineRule="auto"/>
        <w:rPr>
          <w:rFonts w:ascii="Times New Roman" w:eastAsia="Times New Roman" w:hAnsi="Times New Roman" w:cs="Times New Roman"/>
          <w:sz w:val="32"/>
          <w:szCs w:val="32"/>
          <w:lang w:val="en"/>
        </w:rPr>
      </w:pPr>
    </w:p>
    <w:p w14:paraId="57F187DF" w14:textId="77777777" w:rsidR="00357A2C" w:rsidRDefault="00357A2C" w:rsidP="00357A2C">
      <w:pPr>
        <w:keepNext/>
        <w:keepLines/>
        <w:spacing w:after="60" w:line="360" w:lineRule="auto"/>
        <w:rPr>
          <w:rFonts w:ascii="Times New Roman" w:eastAsia="Times New Roman" w:hAnsi="Times New Roman" w:cs="Times New Roman"/>
          <w:sz w:val="32"/>
          <w:szCs w:val="32"/>
          <w:lang w:val="en"/>
        </w:rPr>
      </w:pPr>
    </w:p>
    <w:p w14:paraId="45F3436C" w14:textId="77777777" w:rsidR="00357A2C" w:rsidRDefault="00357A2C" w:rsidP="00357A2C">
      <w:pPr>
        <w:keepNext/>
        <w:keepLines/>
        <w:spacing w:after="60" w:line="360" w:lineRule="auto"/>
        <w:rPr>
          <w:rFonts w:ascii="Times New Roman" w:eastAsia="Times New Roman" w:hAnsi="Times New Roman" w:cs="Times New Roman"/>
          <w:sz w:val="32"/>
          <w:szCs w:val="32"/>
          <w:lang w:val="en"/>
        </w:rPr>
      </w:pPr>
    </w:p>
    <w:p w14:paraId="0AEE0015" w14:textId="77777777" w:rsidR="00357A2C" w:rsidRDefault="00357A2C" w:rsidP="00357A2C">
      <w:pPr>
        <w:keepNext/>
        <w:keepLines/>
        <w:spacing w:after="60" w:line="360" w:lineRule="auto"/>
        <w:rPr>
          <w:rFonts w:ascii="Times New Roman" w:eastAsia="Times New Roman" w:hAnsi="Times New Roman" w:cs="Times New Roman"/>
          <w:sz w:val="32"/>
          <w:szCs w:val="32"/>
          <w:lang w:val="en"/>
        </w:rPr>
      </w:pPr>
    </w:p>
    <w:p w14:paraId="481A5A96" w14:textId="77777777" w:rsidR="00357A2C" w:rsidRDefault="00357A2C" w:rsidP="00357A2C">
      <w:pPr>
        <w:keepNext/>
        <w:keepLines/>
        <w:spacing w:after="60" w:line="360" w:lineRule="auto"/>
        <w:rPr>
          <w:rFonts w:ascii="Times New Roman" w:eastAsia="Times New Roman" w:hAnsi="Times New Roman" w:cs="Times New Roman"/>
          <w:sz w:val="32"/>
          <w:szCs w:val="32"/>
          <w:lang w:val="en"/>
        </w:rPr>
      </w:pPr>
    </w:p>
    <w:p w14:paraId="07BBD737" w14:textId="77777777" w:rsidR="00357A2C" w:rsidRDefault="00357A2C" w:rsidP="00357A2C">
      <w:pPr>
        <w:keepNext/>
        <w:keepLines/>
        <w:spacing w:after="60" w:line="360" w:lineRule="auto"/>
        <w:rPr>
          <w:rFonts w:ascii="Times New Roman" w:eastAsia="Times New Roman" w:hAnsi="Times New Roman" w:cs="Times New Roman"/>
          <w:sz w:val="32"/>
          <w:szCs w:val="32"/>
          <w:lang w:val="en"/>
        </w:rPr>
      </w:pPr>
    </w:p>
    <w:p w14:paraId="1161A2D0" w14:textId="77777777" w:rsidR="00357A2C" w:rsidRDefault="00357A2C" w:rsidP="00357A2C">
      <w:pPr>
        <w:keepNext/>
        <w:keepLines/>
        <w:spacing w:after="60" w:line="360" w:lineRule="auto"/>
        <w:rPr>
          <w:rFonts w:ascii="Times New Roman" w:eastAsia="Times New Roman" w:hAnsi="Times New Roman" w:cs="Times New Roman"/>
          <w:sz w:val="32"/>
          <w:szCs w:val="32"/>
          <w:lang w:val="en"/>
        </w:rPr>
      </w:pPr>
    </w:p>
    <w:p w14:paraId="493F3DCA" w14:textId="77777777" w:rsidR="00357A2C" w:rsidRDefault="00357A2C" w:rsidP="00357A2C">
      <w:pPr>
        <w:keepNext/>
        <w:keepLines/>
        <w:spacing w:after="60" w:line="360" w:lineRule="auto"/>
        <w:rPr>
          <w:rFonts w:ascii="Times New Roman" w:eastAsia="Times New Roman" w:hAnsi="Times New Roman" w:cs="Times New Roman"/>
          <w:sz w:val="32"/>
          <w:szCs w:val="32"/>
          <w:lang w:val="en"/>
        </w:rPr>
      </w:pPr>
    </w:p>
    <w:bookmarkStart w:id="0" w:name="_7yruephpjht0" w:colFirst="0" w:colLast="0" w:displacedByCustomXml="next"/>
    <w:bookmarkEnd w:id="0" w:displacedByCustomXml="next"/>
    <w:bookmarkStart w:id="1" w:name="_Hlk133778810" w:displacedByCustomXml="next"/>
    <w:sdt>
      <w:sdtPr>
        <w:rPr>
          <w:rFonts w:ascii="Cambria" w:eastAsia="Cambria" w:hAnsi="Cambria" w:cs="Times New Roman"/>
        </w:rPr>
        <w:id w:val="115337474"/>
        <w:docPartObj>
          <w:docPartGallery w:val="Table of Contents"/>
          <w:docPartUnique/>
        </w:docPartObj>
      </w:sdtPr>
      <w:sdtEndPr>
        <w:rPr>
          <w:rFonts w:ascii="Times New Roman" w:eastAsia="Times New Roman" w:hAnsi="Times New Roman"/>
          <w:noProof/>
          <w:kern w:val="0"/>
          <w:lang w:val="en"/>
          <w14:ligatures w14:val="none"/>
        </w:rPr>
      </w:sdtEndPr>
      <w:sdtContent>
        <w:p w14:paraId="1E0B550C" w14:textId="77777777" w:rsidR="00357A2C" w:rsidRPr="00357A2C" w:rsidRDefault="00357A2C" w:rsidP="00357A2C">
          <w:pPr>
            <w:keepNext/>
            <w:keepLines/>
            <w:spacing w:before="480" w:line="276" w:lineRule="auto"/>
            <w:rPr>
              <w:rFonts w:ascii="Calibri" w:eastAsia="Times New Roman" w:hAnsi="Calibri" w:cs="Times New Roman"/>
              <w:b/>
              <w:bCs/>
              <w:color w:val="365F91"/>
              <w:kern w:val="0"/>
              <w:sz w:val="28"/>
              <w:szCs w:val="28"/>
              <w:lang w:val="en-US"/>
              <w14:ligatures w14:val="none"/>
            </w:rPr>
          </w:pPr>
          <w:r w:rsidRPr="00357A2C">
            <w:rPr>
              <w:rFonts w:ascii="Calibri" w:eastAsia="Times New Roman" w:hAnsi="Calibri" w:cs="Times New Roman"/>
              <w:b/>
              <w:bCs/>
              <w:color w:val="365F91"/>
              <w:kern w:val="0"/>
              <w:sz w:val="28"/>
              <w:szCs w:val="28"/>
              <w:lang w:val="en-US"/>
              <w14:ligatures w14:val="none"/>
            </w:rPr>
            <w:t>Table of Contents</w:t>
          </w:r>
        </w:p>
        <w:p w14:paraId="33CA6D0D" w14:textId="77777777" w:rsidR="00357A2C" w:rsidRPr="00357A2C" w:rsidRDefault="00357A2C" w:rsidP="00357A2C">
          <w:pPr>
            <w:tabs>
              <w:tab w:val="right" w:leader="dot" w:pos="9010"/>
            </w:tabs>
            <w:spacing w:before="120"/>
            <w:rPr>
              <w:rFonts w:ascii="Cambria" w:eastAsia="Cambria" w:hAnsi="Cambria" w:cs="Cambria"/>
              <w:b/>
              <w:bCs/>
              <w:i/>
              <w:iCs/>
              <w:noProof/>
            </w:rPr>
          </w:pPr>
          <w:r w:rsidRPr="00357A2C">
            <w:rPr>
              <w:rFonts w:ascii="Cambria" w:eastAsia="Cambria" w:hAnsi="Cambria" w:cs="Cambria"/>
              <w:b/>
              <w:bCs/>
              <w:i/>
              <w:iCs/>
            </w:rPr>
            <w:fldChar w:fldCharType="begin"/>
          </w:r>
          <w:r w:rsidRPr="00357A2C">
            <w:rPr>
              <w:rFonts w:ascii="Cambria" w:eastAsia="Cambria" w:hAnsi="Cambria" w:cs="Cambria"/>
              <w:b/>
              <w:bCs/>
              <w:i/>
              <w:iCs/>
            </w:rPr>
            <w:instrText xml:space="preserve"> TOC \o "1-3" \h \z \u </w:instrText>
          </w:r>
          <w:r w:rsidRPr="00357A2C">
            <w:rPr>
              <w:rFonts w:ascii="Cambria" w:eastAsia="Cambria" w:hAnsi="Cambria" w:cs="Cambria"/>
              <w:b/>
              <w:bCs/>
              <w:i/>
              <w:iCs/>
            </w:rPr>
            <w:fldChar w:fldCharType="separate"/>
          </w:r>
          <w:hyperlink w:anchor="_Toc133598841" w:history="1">
            <w:r w:rsidRPr="00357A2C">
              <w:rPr>
                <w:rFonts w:ascii="Cambria" w:eastAsia="Cambria" w:hAnsi="Cambria" w:cs="Cambria"/>
                <w:b/>
                <w:bCs/>
                <w:i/>
                <w:iCs/>
                <w:noProof/>
                <w:color w:val="0000FF"/>
                <w:u w:val="single"/>
              </w:rPr>
              <w:t>Analysis of Causes and Effects of Employee Attrition in the Nursing Industry in the UK</w:t>
            </w:r>
            <w:r w:rsidRPr="00357A2C">
              <w:rPr>
                <w:rFonts w:ascii="Cambria" w:eastAsia="Cambria" w:hAnsi="Cambria" w:cs="Cambria"/>
                <w:b/>
                <w:bCs/>
                <w:i/>
                <w:iCs/>
                <w:noProof/>
                <w:webHidden/>
              </w:rPr>
              <w:tab/>
            </w:r>
            <w:r w:rsidRPr="00357A2C">
              <w:rPr>
                <w:rFonts w:ascii="Cambria" w:eastAsia="Cambria" w:hAnsi="Cambria" w:cs="Cambria"/>
                <w:b/>
                <w:bCs/>
                <w:i/>
                <w:iCs/>
                <w:noProof/>
                <w:webHidden/>
              </w:rPr>
              <w:fldChar w:fldCharType="begin"/>
            </w:r>
            <w:r w:rsidRPr="00357A2C">
              <w:rPr>
                <w:rFonts w:ascii="Cambria" w:eastAsia="Cambria" w:hAnsi="Cambria" w:cs="Cambria"/>
                <w:b/>
                <w:bCs/>
                <w:i/>
                <w:iCs/>
                <w:noProof/>
                <w:webHidden/>
              </w:rPr>
              <w:instrText xml:space="preserve"> PAGEREF _Toc133598841 \h </w:instrText>
            </w:r>
            <w:r w:rsidRPr="00357A2C">
              <w:rPr>
                <w:rFonts w:ascii="Cambria" w:eastAsia="Cambria" w:hAnsi="Cambria" w:cs="Cambria"/>
                <w:b/>
                <w:bCs/>
                <w:i/>
                <w:iCs/>
                <w:noProof/>
                <w:webHidden/>
              </w:rPr>
            </w:r>
            <w:r w:rsidRPr="00357A2C">
              <w:rPr>
                <w:rFonts w:ascii="Cambria" w:eastAsia="Cambria" w:hAnsi="Cambria" w:cs="Cambria"/>
                <w:b/>
                <w:bCs/>
                <w:i/>
                <w:iCs/>
                <w:noProof/>
                <w:webHidden/>
              </w:rPr>
              <w:fldChar w:fldCharType="separate"/>
            </w:r>
            <w:r w:rsidRPr="00357A2C">
              <w:rPr>
                <w:rFonts w:ascii="Cambria" w:eastAsia="Cambria" w:hAnsi="Cambria" w:cs="Cambria"/>
                <w:b/>
                <w:bCs/>
                <w:i/>
                <w:iCs/>
                <w:noProof/>
                <w:webHidden/>
              </w:rPr>
              <w:t>1</w:t>
            </w:r>
            <w:r w:rsidRPr="00357A2C">
              <w:rPr>
                <w:rFonts w:ascii="Cambria" w:eastAsia="Cambria" w:hAnsi="Cambria" w:cs="Cambria"/>
                <w:b/>
                <w:bCs/>
                <w:i/>
                <w:iCs/>
                <w:noProof/>
                <w:webHidden/>
              </w:rPr>
              <w:fldChar w:fldCharType="end"/>
            </w:r>
          </w:hyperlink>
        </w:p>
        <w:p w14:paraId="77C64E55" w14:textId="77777777" w:rsidR="00357A2C" w:rsidRPr="00357A2C" w:rsidRDefault="00000000" w:rsidP="00357A2C">
          <w:pPr>
            <w:tabs>
              <w:tab w:val="right" w:leader="dot" w:pos="9010"/>
            </w:tabs>
            <w:spacing w:before="120"/>
            <w:rPr>
              <w:rFonts w:ascii="Cambria" w:eastAsia="Cambria" w:hAnsi="Cambria" w:cs="Cambria"/>
              <w:b/>
              <w:bCs/>
              <w:i/>
              <w:iCs/>
              <w:noProof/>
            </w:rPr>
          </w:pPr>
          <w:hyperlink w:anchor="_Toc133598842" w:history="1">
            <w:r w:rsidR="00357A2C" w:rsidRPr="00357A2C">
              <w:rPr>
                <w:rFonts w:ascii="Cambria" w:eastAsia="Cambria" w:hAnsi="Cambria" w:cs="Cambria"/>
                <w:b/>
                <w:bCs/>
                <w:i/>
                <w:iCs/>
                <w:noProof/>
                <w:color w:val="0000FF"/>
                <w:u w:val="single"/>
              </w:rPr>
              <w:t>Evaluation of Existing Retention Schemes for Nursing Professionals in the NHS</w:t>
            </w:r>
            <w:r w:rsidR="00357A2C" w:rsidRPr="00357A2C">
              <w:rPr>
                <w:rFonts w:ascii="Cambria" w:eastAsia="Cambria" w:hAnsi="Cambria" w:cs="Cambria"/>
                <w:b/>
                <w:bCs/>
                <w:i/>
                <w:iCs/>
                <w:noProof/>
                <w:webHidden/>
              </w:rPr>
              <w:tab/>
            </w:r>
            <w:r w:rsidR="00357A2C" w:rsidRPr="00357A2C">
              <w:rPr>
                <w:rFonts w:ascii="Cambria" w:eastAsia="Cambria" w:hAnsi="Cambria" w:cs="Cambria"/>
                <w:b/>
                <w:bCs/>
                <w:i/>
                <w:iCs/>
                <w:noProof/>
                <w:webHidden/>
              </w:rPr>
              <w:fldChar w:fldCharType="begin"/>
            </w:r>
            <w:r w:rsidR="00357A2C" w:rsidRPr="00357A2C">
              <w:rPr>
                <w:rFonts w:ascii="Cambria" w:eastAsia="Cambria" w:hAnsi="Cambria" w:cs="Cambria"/>
                <w:b/>
                <w:bCs/>
                <w:i/>
                <w:iCs/>
                <w:noProof/>
                <w:webHidden/>
              </w:rPr>
              <w:instrText xml:space="preserve"> PAGEREF _Toc133598842 \h </w:instrText>
            </w:r>
            <w:r w:rsidR="00357A2C" w:rsidRPr="00357A2C">
              <w:rPr>
                <w:rFonts w:ascii="Cambria" w:eastAsia="Cambria" w:hAnsi="Cambria" w:cs="Cambria"/>
                <w:b/>
                <w:bCs/>
                <w:i/>
                <w:iCs/>
                <w:noProof/>
                <w:webHidden/>
              </w:rPr>
            </w:r>
            <w:r w:rsidR="00357A2C" w:rsidRPr="00357A2C">
              <w:rPr>
                <w:rFonts w:ascii="Cambria" w:eastAsia="Cambria" w:hAnsi="Cambria" w:cs="Cambria"/>
                <w:b/>
                <w:bCs/>
                <w:i/>
                <w:iCs/>
                <w:noProof/>
                <w:webHidden/>
              </w:rPr>
              <w:fldChar w:fldCharType="separate"/>
            </w:r>
            <w:r w:rsidR="00357A2C" w:rsidRPr="00357A2C">
              <w:rPr>
                <w:rFonts w:ascii="Cambria" w:eastAsia="Cambria" w:hAnsi="Cambria" w:cs="Cambria"/>
                <w:b/>
                <w:bCs/>
                <w:i/>
                <w:iCs/>
                <w:noProof/>
                <w:webHidden/>
              </w:rPr>
              <w:t>2</w:t>
            </w:r>
            <w:r w:rsidR="00357A2C" w:rsidRPr="00357A2C">
              <w:rPr>
                <w:rFonts w:ascii="Cambria" w:eastAsia="Cambria" w:hAnsi="Cambria" w:cs="Cambria"/>
                <w:b/>
                <w:bCs/>
                <w:i/>
                <w:iCs/>
                <w:noProof/>
                <w:webHidden/>
              </w:rPr>
              <w:fldChar w:fldCharType="end"/>
            </w:r>
          </w:hyperlink>
        </w:p>
        <w:p w14:paraId="0DB7FF14" w14:textId="77777777" w:rsidR="00357A2C" w:rsidRPr="00357A2C" w:rsidRDefault="00000000" w:rsidP="00357A2C">
          <w:pPr>
            <w:tabs>
              <w:tab w:val="right" w:leader="dot" w:pos="9010"/>
            </w:tabs>
            <w:spacing w:before="120"/>
            <w:rPr>
              <w:rFonts w:ascii="Cambria" w:eastAsia="Cambria" w:hAnsi="Cambria" w:cs="Cambria"/>
              <w:b/>
              <w:bCs/>
              <w:i/>
              <w:iCs/>
              <w:noProof/>
            </w:rPr>
          </w:pPr>
          <w:hyperlink w:anchor="_Toc133598843" w:history="1">
            <w:r w:rsidR="00357A2C" w:rsidRPr="00357A2C">
              <w:rPr>
                <w:rFonts w:ascii="Cambria" w:eastAsia="Cambria" w:hAnsi="Cambria" w:cs="Cambria"/>
                <w:b/>
                <w:bCs/>
                <w:i/>
                <w:iCs/>
                <w:noProof/>
                <w:color w:val="0000FF"/>
                <w:u w:val="single"/>
              </w:rPr>
              <w:t>Recommendations to Improve Nurse Retention in the UK</w:t>
            </w:r>
            <w:r w:rsidR="00357A2C" w:rsidRPr="00357A2C">
              <w:rPr>
                <w:rFonts w:ascii="Cambria" w:eastAsia="Cambria" w:hAnsi="Cambria" w:cs="Cambria"/>
                <w:b/>
                <w:bCs/>
                <w:i/>
                <w:iCs/>
                <w:noProof/>
                <w:webHidden/>
              </w:rPr>
              <w:tab/>
            </w:r>
            <w:r w:rsidR="00357A2C" w:rsidRPr="00357A2C">
              <w:rPr>
                <w:rFonts w:ascii="Cambria" w:eastAsia="Cambria" w:hAnsi="Cambria" w:cs="Cambria"/>
                <w:b/>
                <w:bCs/>
                <w:i/>
                <w:iCs/>
                <w:noProof/>
                <w:webHidden/>
              </w:rPr>
              <w:fldChar w:fldCharType="begin"/>
            </w:r>
            <w:r w:rsidR="00357A2C" w:rsidRPr="00357A2C">
              <w:rPr>
                <w:rFonts w:ascii="Cambria" w:eastAsia="Cambria" w:hAnsi="Cambria" w:cs="Cambria"/>
                <w:b/>
                <w:bCs/>
                <w:i/>
                <w:iCs/>
                <w:noProof/>
                <w:webHidden/>
              </w:rPr>
              <w:instrText xml:space="preserve"> PAGEREF _Toc133598843 \h </w:instrText>
            </w:r>
            <w:r w:rsidR="00357A2C" w:rsidRPr="00357A2C">
              <w:rPr>
                <w:rFonts w:ascii="Cambria" w:eastAsia="Cambria" w:hAnsi="Cambria" w:cs="Cambria"/>
                <w:b/>
                <w:bCs/>
                <w:i/>
                <w:iCs/>
                <w:noProof/>
                <w:webHidden/>
              </w:rPr>
            </w:r>
            <w:r w:rsidR="00357A2C" w:rsidRPr="00357A2C">
              <w:rPr>
                <w:rFonts w:ascii="Cambria" w:eastAsia="Cambria" w:hAnsi="Cambria" w:cs="Cambria"/>
                <w:b/>
                <w:bCs/>
                <w:i/>
                <w:iCs/>
                <w:noProof/>
                <w:webHidden/>
              </w:rPr>
              <w:fldChar w:fldCharType="separate"/>
            </w:r>
            <w:r w:rsidR="00357A2C" w:rsidRPr="00357A2C">
              <w:rPr>
                <w:rFonts w:ascii="Cambria" w:eastAsia="Cambria" w:hAnsi="Cambria" w:cs="Cambria"/>
                <w:b/>
                <w:bCs/>
                <w:i/>
                <w:iCs/>
                <w:noProof/>
                <w:webHidden/>
              </w:rPr>
              <w:t>5</w:t>
            </w:r>
            <w:r w:rsidR="00357A2C" w:rsidRPr="00357A2C">
              <w:rPr>
                <w:rFonts w:ascii="Cambria" w:eastAsia="Cambria" w:hAnsi="Cambria" w:cs="Cambria"/>
                <w:b/>
                <w:bCs/>
                <w:i/>
                <w:iCs/>
                <w:noProof/>
                <w:webHidden/>
              </w:rPr>
              <w:fldChar w:fldCharType="end"/>
            </w:r>
          </w:hyperlink>
        </w:p>
        <w:p w14:paraId="66C160D4" w14:textId="77777777" w:rsidR="00357A2C" w:rsidRPr="00357A2C" w:rsidRDefault="00000000" w:rsidP="00357A2C">
          <w:pPr>
            <w:tabs>
              <w:tab w:val="right" w:leader="dot" w:pos="9010"/>
            </w:tabs>
            <w:spacing w:before="120"/>
            <w:rPr>
              <w:rFonts w:ascii="Cambria" w:eastAsia="Cambria" w:hAnsi="Cambria" w:cs="Cambria"/>
              <w:b/>
              <w:bCs/>
              <w:i/>
              <w:iCs/>
              <w:noProof/>
            </w:rPr>
          </w:pPr>
          <w:hyperlink w:anchor="_Toc133598844" w:history="1">
            <w:r w:rsidR="00357A2C" w:rsidRPr="00357A2C">
              <w:rPr>
                <w:rFonts w:ascii="Cambria" w:eastAsia="Cambria" w:hAnsi="Cambria" w:cs="Cambria"/>
                <w:b/>
                <w:bCs/>
                <w:i/>
                <w:iCs/>
                <w:noProof/>
                <w:color w:val="0000FF"/>
                <w:u w:val="single"/>
              </w:rPr>
              <w:t>Works Cited</w:t>
            </w:r>
            <w:r w:rsidR="00357A2C" w:rsidRPr="00357A2C">
              <w:rPr>
                <w:rFonts w:ascii="Cambria" w:eastAsia="Cambria" w:hAnsi="Cambria" w:cs="Cambria"/>
                <w:b/>
                <w:bCs/>
                <w:i/>
                <w:iCs/>
                <w:noProof/>
                <w:webHidden/>
              </w:rPr>
              <w:tab/>
            </w:r>
            <w:r w:rsidR="00357A2C" w:rsidRPr="00357A2C">
              <w:rPr>
                <w:rFonts w:ascii="Cambria" w:eastAsia="Cambria" w:hAnsi="Cambria" w:cs="Cambria"/>
                <w:b/>
                <w:bCs/>
                <w:i/>
                <w:iCs/>
                <w:noProof/>
                <w:webHidden/>
              </w:rPr>
              <w:fldChar w:fldCharType="begin"/>
            </w:r>
            <w:r w:rsidR="00357A2C" w:rsidRPr="00357A2C">
              <w:rPr>
                <w:rFonts w:ascii="Cambria" w:eastAsia="Cambria" w:hAnsi="Cambria" w:cs="Cambria"/>
                <w:b/>
                <w:bCs/>
                <w:i/>
                <w:iCs/>
                <w:noProof/>
                <w:webHidden/>
              </w:rPr>
              <w:instrText xml:space="preserve"> PAGEREF _Toc133598844 \h </w:instrText>
            </w:r>
            <w:r w:rsidR="00357A2C" w:rsidRPr="00357A2C">
              <w:rPr>
                <w:rFonts w:ascii="Cambria" w:eastAsia="Cambria" w:hAnsi="Cambria" w:cs="Cambria"/>
                <w:b/>
                <w:bCs/>
                <w:i/>
                <w:iCs/>
                <w:noProof/>
                <w:webHidden/>
              </w:rPr>
            </w:r>
            <w:r w:rsidR="00357A2C" w:rsidRPr="00357A2C">
              <w:rPr>
                <w:rFonts w:ascii="Cambria" w:eastAsia="Cambria" w:hAnsi="Cambria" w:cs="Cambria"/>
                <w:b/>
                <w:bCs/>
                <w:i/>
                <w:iCs/>
                <w:noProof/>
                <w:webHidden/>
              </w:rPr>
              <w:fldChar w:fldCharType="separate"/>
            </w:r>
            <w:r w:rsidR="00357A2C" w:rsidRPr="00357A2C">
              <w:rPr>
                <w:rFonts w:ascii="Cambria" w:eastAsia="Cambria" w:hAnsi="Cambria" w:cs="Cambria"/>
                <w:b/>
                <w:bCs/>
                <w:i/>
                <w:iCs/>
                <w:noProof/>
                <w:webHidden/>
              </w:rPr>
              <w:t>8</w:t>
            </w:r>
            <w:r w:rsidR="00357A2C" w:rsidRPr="00357A2C">
              <w:rPr>
                <w:rFonts w:ascii="Cambria" w:eastAsia="Cambria" w:hAnsi="Cambria" w:cs="Cambria"/>
                <w:b/>
                <w:bCs/>
                <w:i/>
                <w:iCs/>
                <w:noProof/>
                <w:webHidden/>
              </w:rPr>
              <w:fldChar w:fldCharType="end"/>
            </w:r>
          </w:hyperlink>
        </w:p>
        <w:p w14:paraId="23AC988F" w14:textId="77777777" w:rsidR="00357A2C" w:rsidRPr="00357A2C" w:rsidRDefault="00357A2C" w:rsidP="00357A2C">
          <w:pPr>
            <w:spacing w:line="360" w:lineRule="auto"/>
            <w:jc w:val="both"/>
            <w:rPr>
              <w:rFonts w:ascii="Times New Roman" w:eastAsia="Times New Roman" w:hAnsi="Times New Roman" w:cs="Times New Roman"/>
              <w:kern w:val="0"/>
              <w:lang w:val="en"/>
              <w14:ligatures w14:val="none"/>
            </w:rPr>
          </w:pPr>
          <w:r w:rsidRPr="00357A2C">
            <w:rPr>
              <w:rFonts w:ascii="Times New Roman" w:eastAsia="Times New Roman" w:hAnsi="Times New Roman" w:cs="Times New Roman"/>
              <w:b/>
              <w:bCs/>
              <w:noProof/>
              <w:kern w:val="0"/>
              <w:lang w:val="en"/>
              <w14:ligatures w14:val="none"/>
            </w:rPr>
            <w:fldChar w:fldCharType="end"/>
          </w:r>
        </w:p>
      </w:sdtContent>
    </w:sdt>
    <w:bookmarkEnd w:id="1" w:displacedByCustomXml="prev"/>
    <w:p w14:paraId="5A681EF5" w14:textId="4767FFCB" w:rsidR="00357A2C" w:rsidRDefault="00357A2C" w:rsidP="00357A2C">
      <w:pPr>
        <w:spacing w:line="360" w:lineRule="auto"/>
        <w:jc w:val="both"/>
        <w:rPr>
          <w:rFonts w:ascii="Times New Roman" w:eastAsia="Times New Roman" w:hAnsi="Times New Roman" w:cs="Times New Roman"/>
          <w:kern w:val="0"/>
          <w:lang w:val="en"/>
          <w14:ligatures w14:val="none"/>
        </w:rPr>
      </w:pPr>
    </w:p>
    <w:p w14:paraId="01C9943A" w14:textId="77777777" w:rsidR="00357A2C" w:rsidRDefault="00357A2C" w:rsidP="00357A2C">
      <w:pPr>
        <w:spacing w:line="360" w:lineRule="auto"/>
        <w:jc w:val="both"/>
        <w:rPr>
          <w:rFonts w:ascii="Times New Roman" w:eastAsia="Times New Roman" w:hAnsi="Times New Roman" w:cs="Times New Roman"/>
          <w:kern w:val="0"/>
          <w:lang w:val="en"/>
          <w14:ligatures w14:val="none"/>
        </w:rPr>
      </w:pPr>
    </w:p>
    <w:p w14:paraId="4129387D" w14:textId="77777777" w:rsidR="00357A2C" w:rsidRDefault="00357A2C" w:rsidP="00357A2C">
      <w:pPr>
        <w:spacing w:line="360" w:lineRule="auto"/>
        <w:jc w:val="both"/>
        <w:rPr>
          <w:rFonts w:ascii="Times New Roman" w:eastAsia="Times New Roman" w:hAnsi="Times New Roman" w:cs="Times New Roman"/>
          <w:kern w:val="0"/>
          <w:lang w:val="en"/>
          <w14:ligatures w14:val="none"/>
        </w:rPr>
      </w:pPr>
    </w:p>
    <w:p w14:paraId="378FD4E0" w14:textId="77777777" w:rsidR="00357A2C" w:rsidRDefault="00357A2C" w:rsidP="00357A2C">
      <w:pPr>
        <w:spacing w:line="360" w:lineRule="auto"/>
        <w:jc w:val="both"/>
        <w:rPr>
          <w:rFonts w:ascii="Times New Roman" w:eastAsia="Times New Roman" w:hAnsi="Times New Roman" w:cs="Times New Roman"/>
          <w:kern w:val="0"/>
          <w:lang w:val="en"/>
          <w14:ligatures w14:val="none"/>
        </w:rPr>
      </w:pPr>
    </w:p>
    <w:p w14:paraId="7D11C282" w14:textId="77777777" w:rsidR="00357A2C" w:rsidRDefault="00357A2C" w:rsidP="00357A2C">
      <w:pPr>
        <w:spacing w:line="360" w:lineRule="auto"/>
        <w:jc w:val="both"/>
        <w:rPr>
          <w:rFonts w:ascii="Times New Roman" w:eastAsia="Times New Roman" w:hAnsi="Times New Roman" w:cs="Times New Roman"/>
          <w:kern w:val="0"/>
          <w:lang w:val="en"/>
          <w14:ligatures w14:val="none"/>
        </w:rPr>
      </w:pPr>
    </w:p>
    <w:p w14:paraId="5BCB24BB" w14:textId="77777777" w:rsidR="00357A2C" w:rsidRDefault="00357A2C" w:rsidP="00357A2C">
      <w:pPr>
        <w:spacing w:line="360" w:lineRule="auto"/>
        <w:jc w:val="both"/>
        <w:rPr>
          <w:rFonts w:ascii="Times New Roman" w:eastAsia="Times New Roman" w:hAnsi="Times New Roman" w:cs="Times New Roman"/>
          <w:kern w:val="0"/>
          <w:lang w:val="en"/>
          <w14:ligatures w14:val="none"/>
        </w:rPr>
      </w:pPr>
    </w:p>
    <w:p w14:paraId="30873DE6" w14:textId="77777777" w:rsidR="00357A2C" w:rsidRDefault="00357A2C" w:rsidP="00357A2C">
      <w:pPr>
        <w:spacing w:line="360" w:lineRule="auto"/>
        <w:jc w:val="both"/>
        <w:rPr>
          <w:rFonts w:ascii="Times New Roman" w:eastAsia="Times New Roman" w:hAnsi="Times New Roman" w:cs="Times New Roman"/>
          <w:kern w:val="0"/>
          <w:lang w:val="en"/>
          <w14:ligatures w14:val="none"/>
        </w:rPr>
      </w:pPr>
    </w:p>
    <w:p w14:paraId="61F7F9BA" w14:textId="77777777" w:rsidR="00357A2C" w:rsidRPr="00357A2C" w:rsidRDefault="00357A2C" w:rsidP="00357A2C">
      <w:pPr>
        <w:spacing w:line="360" w:lineRule="auto"/>
        <w:jc w:val="both"/>
        <w:rPr>
          <w:rFonts w:ascii="Calibri" w:eastAsia="Times New Roman" w:hAnsi="Calibri" w:cs="Times New Roman"/>
          <w:color w:val="365F91"/>
          <w:kern w:val="0"/>
          <w:sz w:val="32"/>
          <w:szCs w:val="32"/>
          <w:lang w:val="en"/>
          <w14:ligatures w14:val="none"/>
        </w:rPr>
      </w:pPr>
    </w:p>
    <w:p w14:paraId="5133365A" w14:textId="2C28F358" w:rsidR="005F51B7" w:rsidRDefault="005F51B7" w:rsidP="005F51B7">
      <w:pPr>
        <w:pStyle w:val="Heading1"/>
      </w:pPr>
      <w:bookmarkStart w:id="2" w:name="_Toc133598841"/>
      <w:r>
        <w:lastRenderedPageBreak/>
        <w:t>Analysis of Causes and Effects of Employee Attrition in the Nursing Industry in the UK</w:t>
      </w:r>
      <w:bookmarkEnd w:id="2"/>
    </w:p>
    <w:p w14:paraId="34B8F1D7" w14:textId="77777777" w:rsidR="005F51B7" w:rsidRDefault="005F51B7" w:rsidP="005F51B7"/>
    <w:p w14:paraId="64E5CD60" w14:textId="3323A51C" w:rsidR="005F51B7" w:rsidRDefault="005F51B7" w:rsidP="005F51B7">
      <w:r>
        <w:t>Employee attrition within the nursing industry in the UK has reached alarming levels, with many nurses leaving their positions. This report aims to analyse the causes and effects of employee attrition within the nursing industry, highlighting the key factors contributing to this issue. By understanding these causes and effects, appropriate retention strategies can be developed to mitigate the high attrition rates.</w:t>
      </w:r>
    </w:p>
    <w:p w14:paraId="5F04C2FA" w14:textId="77777777" w:rsidR="005F51B7" w:rsidRDefault="005F51B7" w:rsidP="005F51B7"/>
    <w:p w14:paraId="54B8C843" w14:textId="77777777" w:rsidR="005F51B7" w:rsidRPr="005F51B7" w:rsidRDefault="005F51B7" w:rsidP="005F51B7">
      <w:pPr>
        <w:rPr>
          <w:i/>
          <w:iCs/>
          <w:u w:val="single"/>
        </w:rPr>
      </w:pPr>
      <w:r w:rsidRPr="005F51B7">
        <w:rPr>
          <w:i/>
          <w:iCs/>
          <w:u w:val="single"/>
        </w:rPr>
        <w:t>Causes of Employee Attrition in the Nursing Industry:</w:t>
      </w:r>
    </w:p>
    <w:p w14:paraId="4FE78B34" w14:textId="77777777" w:rsidR="005F51B7" w:rsidRDefault="005F51B7" w:rsidP="005F51B7"/>
    <w:p w14:paraId="00D43411" w14:textId="77777777" w:rsidR="005F51B7" w:rsidRDefault="005F51B7" w:rsidP="005F51B7">
      <w:r>
        <w:t>Workload and Burnout: One of the primary causes of attrition among nurses is the excessive workload and high levels of burnout. Nurses often face long working hours, understaffing, and increased patient acuity, leading to chronic stress and exhaustion. The demanding nature of the job can erode job satisfaction and motivation, prompting nurses to seek alternative career options.</w:t>
      </w:r>
    </w:p>
    <w:p w14:paraId="67DE3269" w14:textId="77777777" w:rsidR="005F51B7" w:rsidRDefault="005F51B7" w:rsidP="005F51B7"/>
    <w:p w14:paraId="5240D5DD" w14:textId="0B7AE644" w:rsidR="005F51B7" w:rsidRDefault="005F51B7" w:rsidP="005F51B7">
      <w:r>
        <w:t>Lack of Career Development Opportunities: Many nurses perceive a need for opportunities for career growth and professional advancement within the nursing industry. Limited promotional prospects and inadequate support for further education and specialisation can hinder nurses' career progression, resulting in frustration and attrition.</w:t>
      </w:r>
    </w:p>
    <w:p w14:paraId="1C595DEC" w14:textId="77777777" w:rsidR="005F51B7" w:rsidRDefault="005F51B7" w:rsidP="005F51B7"/>
    <w:p w14:paraId="2B74EA06" w14:textId="69A677BC" w:rsidR="005F51B7" w:rsidRDefault="005F51B7" w:rsidP="005F51B7">
      <w:r>
        <w:t>Work-Life Balance Challenges: The nursing profession often requires irregular and unsociable working hours, including night shifts and weekends, which can impact work-life balance. Nurses with family responsibilities may need help managing personal commitments and coping with the profession's demands, leading to attrition.</w:t>
      </w:r>
    </w:p>
    <w:p w14:paraId="3F42A000" w14:textId="77777777" w:rsidR="005F51B7" w:rsidRDefault="005F51B7" w:rsidP="005F51B7"/>
    <w:p w14:paraId="7A010633" w14:textId="3024B06C" w:rsidR="005F51B7" w:rsidRDefault="005F51B7" w:rsidP="005F51B7">
      <w:r>
        <w:t>Inadequate Compensation and Benefits: Nurses often need more compensation and benefits. The demanding nature of the job, coupled with relatively lower pay compared to other healthcare professions, may encourage nurses to continue in their roles. Limited financial incentives, insufficient pension schemes, and lack of recognition contribute to attrition.</w:t>
      </w:r>
    </w:p>
    <w:p w14:paraId="1457C971" w14:textId="77777777" w:rsidR="005F51B7" w:rsidRDefault="005F51B7" w:rsidP="005F51B7"/>
    <w:p w14:paraId="06D7B1B8" w14:textId="72B68D5A" w:rsidR="005F51B7" w:rsidRDefault="005F51B7" w:rsidP="005F51B7">
      <w:r>
        <w:t>Limited Autonomy and Decision-Making Authority: Some nurses need more autonomy and decision-making authority. Restrictive policies, hierarchical organisational structures, and little involvement in decision-making processes can lead to dissatisfaction and demotivation, ultimately contributing to attrition.</w:t>
      </w:r>
    </w:p>
    <w:p w14:paraId="1BC9A621" w14:textId="77777777" w:rsidR="005F51B7" w:rsidRDefault="005F51B7" w:rsidP="005F51B7"/>
    <w:p w14:paraId="7D16A441" w14:textId="77777777" w:rsidR="00255E20" w:rsidRDefault="00255E20" w:rsidP="005F51B7">
      <w:pPr>
        <w:rPr>
          <w:i/>
          <w:iCs/>
          <w:u w:val="single"/>
        </w:rPr>
      </w:pPr>
    </w:p>
    <w:p w14:paraId="18F66311" w14:textId="77777777" w:rsidR="00255E20" w:rsidRDefault="00255E20" w:rsidP="005F51B7">
      <w:pPr>
        <w:rPr>
          <w:i/>
          <w:iCs/>
          <w:u w:val="single"/>
        </w:rPr>
      </w:pPr>
    </w:p>
    <w:p w14:paraId="124682D1" w14:textId="77777777" w:rsidR="00255E20" w:rsidRDefault="00255E20" w:rsidP="005F51B7">
      <w:pPr>
        <w:rPr>
          <w:i/>
          <w:iCs/>
          <w:u w:val="single"/>
        </w:rPr>
      </w:pPr>
    </w:p>
    <w:p w14:paraId="0B8BA87C" w14:textId="77777777" w:rsidR="00255E20" w:rsidRDefault="00255E20" w:rsidP="005F51B7">
      <w:pPr>
        <w:rPr>
          <w:i/>
          <w:iCs/>
          <w:u w:val="single"/>
        </w:rPr>
      </w:pPr>
    </w:p>
    <w:p w14:paraId="21F70201" w14:textId="0A7026C2" w:rsidR="005F51B7" w:rsidRPr="005F51B7" w:rsidRDefault="005F51B7" w:rsidP="005F51B7">
      <w:pPr>
        <w:rPr>
          <w:i/>
          <w:iCs/>
          <w:u w:val="single"/>
        </w:rPr>
      </w:pPr>
      <w:r w:rsidRPr="005F51B7">
        <w:rPr>
          <w:i/>
          <w:iCs/>
          <w:u w:val="single"/>
        </w:rPr>
        <w:t>Effects of Employee Attrition in the Nursing Industry:</w:t>
      </w:r>
    </w:p>
    <w:p w14:paraId="1C1494D1" w14:textId="77777777" w:rsidR="005F51B7" w:rsidRDefault="005F51B7" w:rsidP="005F51B7"/>
    <w:p w14:paraId="5C9DCF18" w14:textId="63E672EE" w:rsidR="005F51B7" w:rsidRDefault="005F51B7" w:rsidP="005F51B7">
      <w:r>
        <w:lastRenderedPageBreak/>
        <w:t>Staff Shortages and Increased Workload: High attrition rates exacerbate existing staffing shortages within healthcare organisations, burdening the remaining nursing staff. The increased workload can compromise patient care quality, safety, and healthcare outcomes.</w:t>
      </w:r>
    </w:p>
    <w:p w14:paraId="2D1EBC43" w14:textId="77777777" w:rsidR="005F51B7" w:rsidRDefault="005F51B7" w:rsidP="005F51B7"/>
    <w:p w14:paraId="0F292970" w14:textId="07D2827E" w:rsidR="005F51B7" w:rsidRDefault="005F51B7" w:rsidP="005F51B7">
      <w:r>
        <w:t>Reduced Continuity of Care: Frequent nursing staff turnover disrupts the continuity of care provided to patients. Continuity of care is essential for building relationships with patients, understanding their specific needs, and ensuring consistent quality of care. Attrition can lead to fragmented care delivery and decreased patient satisfaction.</w:t>
      </w:r>
    </w:p>
    <w:p w14:paraId="39277206" w14:textId="77777777" w:rsidR="005F51B7" w:rsidRDefault="005F51B7" w:rsidP="005F51B7"/>
    <w:p w14:paraId="394E1CD5" w14:textId="77777777" w:rsidR="005F51B7" w:rsidRDefault="005F51B7" w:rsidP="005F51B7">
      <w:r>
        <w:t>Financial Implications: The cost of recruiting and training new nursing staff to replace those who have left can be substantial. Recruitment expenses, orientation programs, and temporary staffing arrangements can strain healthcare budgets, diverting resources from other critical areas.</w:t>
      </w:r>
    </w:p>
    <w:p w14:paraId="04B4EA41" w14:textId="77777777" w:rsidR="005F51B7" w:rsidRDefault="005F51B7" w:rsidP="005F51B7"/>
    <w:p w14:paraId="2B8B6F0B" w14:textId="552A25D5" w:rsidR="005F51B7" w:rsidRDefault="005F51B7" w:rsidP="005F51B7">
      <w:r>
        <w:t>Decreased Staff Morale and Engagement: High attrition rates negatively impact the morale and engagement of the remaining nursing staff. Constant turnover can create a sense of instability, demoralisation, and decreased job satisfaction, leading to a vicious cycle of attrition.</w:t>
      </w:r>
    </w:p>
    <w:p w14:paraId="1F2FD203" w14:textId="77777777" w:rsidR="005F51B7" w:rsidRDefault="005F51B7" w:rsidP="005F51B7"/>
    <w:p w14:paraId="08988ED7" w14:textId="07B75153" w:rsidR="005F51B7" w:rsidRDefault="005F51B7" w:rsidP="005F51B7">
      <w:r>
        <w:t>Reputation and Public Perception: Prolonged high attrition rates in the nursing industry can damage healthcare organisations' reputation and public perception. A lack of stability and continuity in nursing staff can erode public trust, making it challenging to attract and retain quality healthcare professionals.</w:t>
      </w:r>
    </w:p>
    <w:p w14:paraId="5FAC8819" w14:textId="77777777" w:rsidR="005F51B7" w:rsidRDefault="005F51B7" w:rsidP="005F51B7"/>
    <w:p w14:paraId="78EE178C" w14:textId="77777777" w:rsidR="005F51B7" w:rsidRPr="005F51B7" w:rsidRDefault="005F51B7" w:rsidP="005F51B7">
      <w:pPr>
        <w:rPr>
          <w:i/>
          <w:iCs/>
          <w:u w:val="single"/>
        </w:rPr>
      </w:pPr>
      <w:r w:rsidRPr="005F51B7">
        <w:rPr>
          <w:i/>
          <w:iCs/>
          <w:u w:val="single"/>
        </w:rPr>
        <w:t>Conclusion:</w:t>
      </w:r>
    </w:p>
    <w:p w14:paraId="610A4859" w14:textId="33714C51" w:rsidR="005F51B7" w:rsidRDefault="005F51B7" w:rsidP="005F51B7">
      <w:r>
        <w:t>Employee attrition within the nursing industry in the UK poses significant challenges to the healthcare system, impacting patient care quality, staff morale, and organisational effectiveness. Causes such as workload, lack of career development opportunities, work-life balance challenges, inadequate compensation, and limited autonomy must be addressed to mitigate attrition rates. Healthcare organisations, including NHS, can develop by understanding the causes and effects of attrition.</w:t>
      </w:r>
    </w:p>
    <w:p w14:paraId="62866D26" w14:textId="77777777" w:rsidR="005F51B7" w:rsidRDefault="005F51B7" w:rsidP="005F51B7"/>
    <w:p w14:paraId="5A163D72" w14:textId="77777777" w:rsidR="005F51B7" w:rsidRDefault="005F51B7" w:rsidP="005F51B7"/>
    <w:p w14:paraId="224014CF" w14:textId="77777777" w:rsidR="005F51B7" w:rsidRDefault="005F51B7" w:rsidP="005F51B7"/>
    <w:p w14:paraId="0F6B0D3D" w14:textId="77777777" w:rsidR="005F51B7" w:rsidRDefault="005F51B7" w:rsidP="005F51B7"/>
    <w:p w14:paraId="7D5D2746" w14:textId="77777777" w:rsidR="005F51B7" w:rsidRDefault="005F51B7" w:rsidP="005F51B7"/>
    <w:p w14:paraId="79B8929A" w14:textId="41D8813C" w:rsidR="005F51B7" w:rsidRDefault="005F51B7" w:rsidP="005F51B7">
      <w:pPr>
        <w:pStyle w:val="Heading1"/>
      </w:pPr>
      <w:r>
        <w:t xml:space="preserve"> </w:t>
      </w:r>
      <w:bookmarkStart w:id="3" w:name="_Toc133598842"/>
      <w:r>
        <w:t>Evaluation of Existing Retention Schemes for Nursing Professionals in the NHS</w:t>
      </w:r>
      <w:bookmarkEnd w:id="3"/>
    </w:p>
    <w:p w14:paraId="38DD069F" w14:textId="77777777" w:rsidR="005F51B7" w:rsidRDefault="005F51B7" w:rsidP="005F51B7"/>
    <w:p w14:paraId="34B244EA" w14:textId="32386BD6" w:rsidR="005F51B7" w:rsidRDefault="005F51B7" w:rsidP="005F51B7">
      <w:r>
        <w:t>Retaining nursing professionals is vital for the National Health Service (NHS) to ensure the provision of high-quality healthcare services. The NHS has implemented various retention schemes to address the issue of attrition. This section evaluates five monetary and five non-monetary retention schemes used by the NHS for nursing professionals, assessing their effectiveness and potential impact.</w:t>
      </w:r>
    </w:p>
    <w:p w14:paraId="360A8C91" w14:textId="77777777" w:rsidR="005F51B7" w:rsidRDefault="005F51B7" w:rsidP="005F51B7"/>
    <w:p w14:paraId="4DBF5C0F" w14:textId="77777777" w:rsidR="005F51B7" w:rsidRPr="005F51B7" w:rsidRDefault="005F51B7" w:rsidP="005F51B7">
      <w:pPr>
        <w:rPr>
          <w:b/>
          <w:bCs/>
        </w:rPr>
      </w:pPr>
      <w:r w:rsidRPr="005F51B7">
        <w:rPr>
          <w:b/>
          <w:bCs/>
        </w:rPr>
        <w:t>Monetary Retention Schemes:</w:t>
      </w:r>
    </w:p>
    <w:p w14:paraId="413B8CEE" w14:textId="77777777" w:rsidR="005F51B7" w:rsidRDefault="005F51B7" w:rsidP="005F51B7"/>
    <w:p w14:paraId="249A6C5E" w14:textId="77777777" w:rsidR="005F51B7" w:rsidRPr="005F51B7" w:rsidRDefault="005F51B7" w:rsidP="005F51B7">
      <w:pPr>
        <w:rPr>
          <w:i/>
          <w:iCs/>
          <w:u w:val="single"/>
        </w:rPr>
      </w:pPr>
      <w:r w:rsidRPr="005F51B7">
        <w:rPr>
          <w:i/>
          <w:iCs/>
          <w:u w:val="single"/>
        </w:rPr>
        <w:t>Competitive Salary and Benefits:</w:t>
      </w:r>
    </w:p>
    <w:p w14:paraId="533C06D2" w14:textId="59566B2C" w:rsidR="005F51B7" w:rsidRDefault="005F51B7" w:rsidP="005F51B7">
      <w:r>
        <w:t>The NHS offers a competitive salary and benefits package to attract and retain nursing professionals. This includes regular pay increments, additional payments for unsocial hours, and opportunities for career progression. However, the effectiveness of this scheme may be limited if the salary levels are not commensurate with the demands and responsibilities of the nursing profession. Furthermore, focusing on monetary incentives alone may not address other underlying causes of attrition.</w:t>
      </w:r>
    </w:p>
    <w:p w14:paraId="40DE9ABA" w14:textId="77777777" w:rsidR="005F51B7" w:rsidRDefault="005F51B7" w:rsidP="005F51B7"/>
    <w:p w14:paraId="36E2B5C0" w14:textId="77777777" w:rsidR="005F51B7" w:rsidRPr="005F51B7" w:rsidRDefault="005F51B7" w:rsidP="005F51B7">
      <w:pPr>
        <w:rPr>
          <w:i/>
          <w:iCs/>
          <w:u w:val="single"/>
        </w:rPr>
      </w:pPr>
      <w:r w:rsidRPr="005F51B7">
        <w:rPr>
          <w:i/>
          <w:iCs/>
          <w:u w:val="single"/>
        </w:rPr>
        <w:t>Retention Bonuses:</w:t>
      </w:r>
    </w:p>
    <w:p w14:paraId="32635AF8" w14:textId="588597C8" w:rsidR="005F51B7" w:rsidRDefault="005F51B7" w:rsidP="005F51B7">
      <w:r>
        <w:t>Retention bonuses are financial incentives offered to nursing professionals who commit to a specific service period. While these bonuses can provide short-term motivation and encourage nurses to stay within the NHS, their long-term effectiveness may be limited. Retention bonuses alone may not address the underlying issues that lead to attrition, such as workload and job satisfaction.</w:t>
      </w:r>
    </w:p>
    <w:p w14:paraId="28A5BC3A" w14:textId="77777777" w:rsidR="005F51B7" w:rsidRDefault="005F51B7" w:rsidP="005F51B7"/>
    <w:p w14:paraId="7932D8A1" w14:textId="77777777" w:rsidR="005F51B7" w:rsidRPr="005F51B7" w:rsidRDefault="005F51B7" w:rsidP="005F51B7">
      <w:pPr>
        <w:rPr>
          <w:i/>
          <w:iCs/>
          <w:u w:val="single"/>
        </w:rPr>
      </w:pPr>
      <w:r w:rsidRPr="005F51B7">
        <w:rPr>
          <w:i/>
          <w:iCs/>
          <w:u w:val="single"/>
        </w:rPr>
        <w:t>Relocation Assistance:</w:t>
      </w:r>
    </w:p>
    <w:p w14:paraId="2EAD9758" w14:textId="23CA9E2D" w:rsidR="005F51B7" w:rsidRDefault="005F51B7" w:rsidP="005F51B7">
      <w:r>
        <w:t>The NHS provides financial support for nursing professionals needing to relocate for employment. This scheme aims to reduce barriers to geographical mobility and facilitate the retention of nurses in areas facing staffing shortages. While relocation assistance can be practical, its impact may vary depending on individual circumstances and preferences. Additionally, the availability of suitable housing and other amenities in the desired location is crucial for the success of this scheme.</w:t>
      </w:r>
    </w:p>
    <w:p w14:paraId="5493D260" w14:textId="77777777" w:rsidR="005F51B7" w:rsidRDefault="005F51B7" w:rsidP="005F51B7"/>
    <w:p w14:paraId="45FA8AAF" w14:textId="77777777" w:rsidR="005F51B7" w:rsidRDefault="005F51B7" w:rsidP="005F51B7">
      <w:r w:rsidRPr="005F51B7">
        <w:rPr>
          <w:i/>
          <w:iCs/>
          <w:u w:val="single"/>
        </w:rPr>
        <w:t>Student Loan Repayment Programs</w:t>
      </w:r>
      <w:r>
        <w:t>:</w:t>
      </w:r>
    </w:p>
    <w:p w14:paraId="37A7454D" w14:textId="3BE57C14" w:rsidR="005F51B7" w:rsidRDefault="005F51B7" w:rsidP="005F51B7">
      <w:r>
        <w:t>The NHS offers student loan repayment programs to nursing professionals. This scheme aims to alleviate the financial burden of student loans and increase the attractiveness of nursing as a career choice. While this scheme can benefit nurses with significant student loan debts, its impact may be limited for those who do not have substantial loan obligations. Other factors, such as job satisfaction and work-life balance, also play a significant role in retention.</w:t>
      </w:r>
    </w:p>
    <w:p w14:paraId="271A59C4" w14:textId="77777777" w:rsidR="005F51B7" w:rsidRDefault="005F51B7" w:rsidP="005F51B7"/>
    <w:p w14:paraId="38F26FEC" w14:textId="77777777" w:rsidR="005F51B7" w:rsidRPr="005F51B7" w:rsidRDefault="005F51B7" w:rsidP="005F51B7">
      <w:pPr>
        <w:rPr>
          <w:i/>
          <w:iCs/>
          <w:u w:val="single"/>
        </w:rPr>
      </w:pPr>
      <w:r w:rsidRPr="005F51B7">
        <w:rPr>
          <w:i/>
          <w:iCs/>
          <w:u w:val="single"/>
        </w:rPr>
        <w:t>Financial Support for Continuing Education:</w:t>
      </w:r>
    </w:p>
    <w:p w14:paraId="47BC81A8" w14:textId="57C1EE9F" w:rsidR="005F51B7" w:rsidRDefault="005F51B7" w:rsidP="005F51B7">
      <w:r>
        <w:t>The NHS financially supports nursing professionals pursuing further education and professional development. This includes funding for specialised courses, certifications, and postgraduate degrees. This scheme can enhance career opportunities, job satisfaction, and retention rates among nurses seeking advancement. However, the accessibility and availability of these educational opportunities may vary across different regions, potentially limiting the scheme's effectiveness.</w:t>
      </w:r>
    </w:p>
    <w:p w14:paraId="25C6EA77" w14:textId="77777777" w:rsidR="005F51B7" w:rsidRDefault="005F51B7" w:rsidP="005F51B7"/>
    <w:p w14:paraId="5B1DA84D" w14:textId="77777777" w:rsidR="005F51B7" w:rsidRPr="005F51B7" w:rsidRDefault="005F51B7" w:rsidP="005F51B7">
      <w:pPr>
        <w:rPr>
          <w:b/>
          <w:bCs/>
        </w:rPr>
      </w:pPr>
      <w:r w:rsidRPr="005F51B7">
        <w:rPr>
          <w:b/>
          <w:bCs/>
        </w:rPr>
        <w:t>Non-Monetary Retention Schemes:</w:t>
      </w:r>
    </w:p>
    <w:p w14:paraId="1BCE8058" w14:textId="77777777" w:rsidR="005F51B7" w:rsidRDefault="005F51B7" w:rsidP="005F51B7"/>
    <w:p w14:paraId="5C1E78CC" w14:textId="77777777" w:rsidR="005F51B7" w:rsidRDefault="005F51B7" w:rsidP="005F51B7">
      <w:r>
        <w:t>Flexible Work Arrangements:</w:t>
      </w:r>
    </w:p>
    <w:p w14:paraId="180D193B" w14:textId="025F2B50" w:rsidR="005F51B7" w:rsidRDefault="005F51B7" w:rsidP="005F51B7">
      <w:r>
        <w:t xml:space="preserve">The NHS offers flexible work arrangements, such as part-time schedules, job-sharing, and flexible shifts, to accommodate the work-life balance needs of nursing professionals. This scheme recognises the diverse personal commitments of nurses and aims to enhance job satisfaction and retention. However, implementing flexible work arrangements can be </w:t>
      </w:r>
      <w:r>
        <w:lastRenderedPageBreak/>
        <w:t>challenging due to staffing constraints and the need for adequate coverage during peak demand periods.</w:t>
      </w:r>
    </w:p>
    <w:p w14:paraId="49EA2E28" w14:textId="77777777" w:rsidR="005F51B7" w:rsidRDefault="005F51B7" w:rsidP="005F51B7"/>
    <w:p w14:paraId="498DAE38" w14:textId="77777777" w:rsidR="005F51B7" w:rsidRDefault="005F51B7" w:rsidP="005F51B7"/>
    <w:p w14:paraId="5B61869D" w14:textId="77777777" w:rsidR="005F51B7" w:rsidRPr="005F51B7" w:rsidRDefault="005F51B7" w:rsidP="005F51B7">
      <w:pPr>
        <w:rPr>
          <w:i/>
          <w:iCs/>
          <w:u w:val="single"/>
        </w:rPr>
      </w:pPr>
      <w:r w:rsidRPr="005F51B7">
        <w:rPr>
          <w:i/>
          <w:iCs/>
          <w:u w:val="single"/>
        </w:rPr>
        <w:t>Professional Development and Training Programs:</w:t>
      </w:r>
    </w:p>
    <w:p w14:paraId="477620EF" w14:textId="77777777" w:rsidR="005F51B7" w:rsidRDefault="005F51B7" w:rsidP="005F51B7">
      <w:r>
        <w:t>The NHS invests in professional development and training programs to enhance the skills and competencies of nursing professionals. This scheme provides opportunities for career growth, increased job satisfaction, and retention. However, the availability and accessibility of training programs across different regions and healthcare settings may vary, potentially limiting the impact of this scheme.</w:t>
      </w:r>
    </w:p>
    <w:p w14:paraId="19DA39E2" w14:textId="77777777" w:rsidR="005F51B7" w:rsidRDefault="005F51B7" w:rsidP="005F51B7"/>
    <w:p w14:paraId="63EB4A66" w14:textId="77777777" w:rsidR="005F51B7" w:rsidRPr="005F51B7" w:rsidRDefault="005F51B7" w:rsidP="005F51B7">
      <w:pPr>
        <w:rPr>
          <w:i/>
          <w:iCs/>
          <w:u w:val="single"/>
        </w:rPr>
      </w:pPr>
      <w:r w:rsidRPr="005F51B7">
        <w:rPr>
          <w:i/>
          <w:iCs/>
          <w:u w:val="single"/>
        </w:rPr>
        <w:t>Mentorship and Support Programs:</w:t>
      </w:r>
    </w:p>
    <w:p w14:paraId="549206D7" w14:textId="20008B55" w:rsidR="005F51B7" w:rsidRDefault="005F51B7" w:rsidP="005F51B7">
      <w:r>
        <w:t>The NHS promotes mentorship and support programs to facilitate the integration and retention of nursing professionals. These programs pair experienced nurses with newly recruited or junior nurses, providing guidance, support, and professional advice. Mentorship programs can contribute to job satisfaction, skill development, and a sense of belonging within the organisation. However, the effectiveness of mentorship programs may depend on the availability of experienced mentors and the quality of the mentoring relationships.</w:t>
      </w:r>
    </w:p>
    <w:p w14:paraId="1EF85BB7" w14:textId="77777777" w:rsidR="005F51B7" w:rsidRDefault="005F51B7" w:rsidP="005F51B7"/>
    <w:p w14:paraId="1DDA7F2F" w14:textId="77777777" w:rsidR="005F51B7" w:rsidRDefault="005F51B7" w:rsidP="005F51B7"/>
    <w:p w14:paraId="624DE66B" w14:textId="77777777" w:rsidR="005F51B7" w:rsidRPr="005F51B7" w:rsidRDefault="005F51B7" w:rsidP="005F51B7">
      <w:pPr>
        <w:rPr>
          <w:i/>
          <w:iCs/>
          <w:u w:val="single"/>
        </w:rPr>
      </w:pPr>
      <w:r w:rsidRPr="005F51B7">
        <w:rPr>
          <w:i/>
          <w:iCs/>
          <w:u w:val="single"/>
        </w:rPr>
        <w:t>Recognition and Rewards:</w:t>
      </w:r>
    </w:p>
    <w:p w14:paraId="618D877D" w14:textId="03B40AE0" w:rsidR="005F51B7" w:rsidRDefault="005F51B7" w:rsidP="005F51B7">
      <w:r>
        <w:t>The NHS recognises and rewards the contributions of nursing professionals through various recognition programs. This includes acknowledging exemplary performance, celebrating achievements, and providing opportunities for career advancement. Recognition and rewards can boost nursing professionals' morale, job satisfaction, and loyalty. However, the effectiveness of this scheme depends on the transparency and fairness of the recognition process, as well as the availability of opportunities for advancement within the organisation.</w:t>
      </w:r>
    </w:p>
    <w:p w14:paraId="0D93A07A" w14:textId="77777777" w:rsidR="005F51B7" w:rsidRDefault="005F51B7" w:rsidP="005F51B7"/>
    <w:p w14:paraId="73802888" w14:textId="77777777" w:rsidR="005F51B7" w:rsidRPr="005F51B7" w:rsidRDefault="005F51B7" w:rsidP="005F51B7">
      <w:pPr>
        <w:rPr>
          <w:i/>
          <w:iCs/>
          <w:u w:val="single"/>
        </w:rPr>
      </w:pPr>
      <w:r w:rsidRPr="005F51B7">
        <w:rPr>
          <w:i/>
          <w:iCs/>
          <w:u w:val="single"/>
        </w:rPr>
        <w:t>Support for Health and Well-being:</w:t>
      </w:r>
    </w:p>
    <w:p w14:paraId="169FDCCC" w14:textId="1D936221" w:rsidR="005F51B7" w:rsidRDefault="005F51B7" w:rsidP="005F51B7">
      <w:r>
        <w:t>The NHS prioritises the health and well-being of nursing professionals by providing support services, such as employee assistance programs, mental health support, and access to occupational health services. This scheme aims to address nurses' physical and psychological well-being, reducing stress, burnout, and attrition. However, the availability and accessibility of these support services may vary across different healthcare settings, potentially limiting their impact.</w:t>
      </w:r>
    </w:p>
    <w:p w14:paraId="0DE64D76" w14:textId="77777777" w:rsidR="005F51B7" w:rsidRDefault="005F51B7" w:rsidP="005F51B7"/>
    <w:p w14:paraId="5736690E" w14:textId="77777777" w:rsidR="005F51B7" w:rsidRPr="005F51B7" w:rsidRDefault="005F51B7" w:rsidP="005F51B7">
      <w:pPr>
        <w:rPr>
          <w:i/>
          <w:iCs/>
          <w:u w:val="single"/>
        </w:rPr>
      </w:pPr>
      <w:r w:rsidRPr="005F51B7">
        <w:rPr>
          <w:i/>
          <w:iCs/>
          <w:u w:val="single"/>
        </w:rPr>
        <w:t>Critical Evaluation of Existing Retention Schemes:</w:t>
      </w:r>
    </w:p>
    <w:p w14:paraId="5D6918F9" w14:textId="77777777" w:rsidR="005F51B7" w:rsidRDefault="005F51B7" w:rsidP="005F51B7"/>
    <w:p w14:paraId="23EFEEF6" w14:textId="6BA1ABAE" w:rsidR="005F51B7" w:rsidRDefault="005F51B7" w:rsidP="005F51B7">
      <w:r>
        <w:t>While the monetary and non-monetary retention schemes implemented by the NHS demonstrate the organisation's commitment to addressing nursing attrition, a critical evaluation is necessary to determine their effectiveness and identify areas for improvement.</w:t>
      </w:r>
    </w:p>
    <w:p w14:paraId="46AF196D" w14:textId="77777777" w:rsidR="005F51B7" w:rsidRDefault="005F51B7" w:rsidP="005F51B7"/>
    <w:p w14:paraId="466F3E11" w14:textId="57AC0C16" w:rsidR="005F51B7" w:rsidRDefault="005F51B7" w:rsidP="005F51B7">
      <w:r>
        <w:t xml:space="preserve">Monetary retention schemes, such as competitive salaries and benefits, retention bonuses, relocation assistance, student loan repayment, and financial support for continuing education, provide financial incentives to attract and retain nursing professionals. However, it is essential to recognise that more than economic factors is needed to address the underlying causes of attrition fully. Workload, work-life balance, career development, and </w:t>
      </w:r>
      <w:r>
        <w:lastRenderedPageBreak/>
        <w:t>job satisfaction significantly impact nurse retention. Therefore, a comprehensive approach that combines monetary incentives with non-monetary strategies is essential.</w:t>
      </w:r>
    </w:p>
    <w:p w14:paraId="34ACF95A" w14:textId="77777777" w:rsidR="005F51B7" w:rsidRDefault="005F51B7" w:rsidP="005F51B7"/>
    <w:p w14:paraId="6AE6D01A" w14:textId="77777777" w:rsidR="005F51B7" w:rsidRDefault="005F51B7" w:rsidP="005F51B7">
      <w:r>
        <w:t>Non-monetary retention schemes, including flexible work arrangements, professional development and training programs, mentorship and support programs, recognition and rewards, and support for health and well-being, contribute to creating a positive work environment and addressing nurses' professional and personal needs. However, the effectiveness of these schemes may be influenced by various factors. For example, the availability of flexible work arrangements may be limited due to staffing constraints, and the success of mentorship programs depends on the availability of experienced mentors. Therefore, it is crucial to ensure the accessibility and quality of these non-monetary schemes across all healthcare settings.</w:t>
      </w:r>
    </w:p>
    <w:p w14:paraId="33CA708E" w14:textId="77777777" w:rsidR="005F51B7" w:rsidRDefault="005F51B7" w:rsidP="005F51B7"/>
    <w:p w14:paraId="784CBBD8" w14:textId="2214BD70" w:rsidR="005F51B7" w:rsidRDefault="005F51B7" w:rsidP="005F51B7">
      <w:r>
        <w:t>Additionally, the evaluation of retention schemes should consider nursing professionals' specific needs and preferences in different demographics, including other age groups and diverse cultural backgrounds. Tailoring retention strategies to address the unique challenges faced by various segments of the nursing workforce can enhance their effectiveness and promote inclusivity.</w:t>
      </w:r>
    </w:p>
    <w:p w14:paraId="32CF3984" w14:textId="77777777" w:rsidR="005F51B7" w:rsidRDefault="005F51B7" w:rsidP="005F51B7"/>
    <w:p w14:paraId="52DE5418" w14:textId="2B6FA737" w:rsidR="005F51B7" w:rsidRDefault="005F51B7" w:rsidP="005F51B7">
      <w:r>
        <w:t>Furthermore, regular monitoring and evaluation of the impact of retention schemes are essential. This includes collecting feedback from nursing professionals, analysing retention rates, assessing job satisfaction levels, and identifying gaps or areas for improvement. By continuously evaluating the effectiveness of existing retention schemes, the NHS can make informed decisions and implement targeted interventions to address attrition effectively.</w:t>
      </w:r>
    </w:p>
    <w:p w14:paraId="364D0013" w14:textId="77777777" w:rsidR="005F51B7" w:rsidRDefault="005F51B7" w:rsidP="005F51B7"/>
    <w:p w14:paraId="4308AD32" w14:textId="77777777" w:rsidR="005F51B7" w:rsidRDefault="005F51B7" w:rsidP="005F51B7">
      <w:r>
        <w:t>Conclusion:</w:t>
      </w:r>
    </w:p>
    <w:p w14:paraId="3EE93E44" w14:textId="77777777" w:rsidR="005F51B7" w:rsidRDefault="005F51B7" w:rsidP="005F51B7"/>
    <w:p w14:paraId="15068E26" w14:textId="5F1D578D" w:rsidR="005F51B7" w:rsidRDefault="005F51B7" w:rsidP="005F51B7">
      <w:r>
        <w:t>The NHS has implemented various monetary and non-monetary retention schemes to address the issue of attrition among nursing professionals. While these schemes demonstrate the organisation's commitment to retention, their effectiveness can be enhanced through a comprehensive and tailored approach. Combining monetary incentives with non-monetary strategies, addressing workload and work-life balance issues, promoting career development opportunities, and ensuring the accessibility and quality of support services are vital considerations. Regular evaluation and monitoring of the impact of retention schemes are crucial to identify areas for improvement and implement targeted interventions to reduce nurse attrition effectively.</w:t>
      </w:r>
    </w:p>
    <w:p w14:paraId="3787FA4F" w14:textId="77777777" w:rsidR="005F51B7" w:rsidRDefault="005F51B7" w:rsidP="005F51B7"/>
    <w:p w14:paraId="769A6C82" w14:textId="77777777" w:rsidR="005F51B7" w:rsidRDefault="005F51B7" w:rsidP="005F51B7"/>
    <w:p w14:paraId="1D419FD4" w14:textId="77777777" w:rsidR="005F51B7" w:rsidRDefault="005F51B7" w:rsidP="005F51B7"/>
    <w:p w14:paraId="799D515E" w14:textId="77777777" w:rsidR="005F51B7" w:rsidRDefault="005F51B7" w:rsidP="005F51B7"/>
    <w:p w14:paraId="23477CAF" w14:textId="77777777" w:rsidR="005F51B7" w:rsidRDefault="005F51B7" w:rsidP="005F51B7"/>
    <w:p w14:paraId="17640E19" w14:textId="5FA8BCE0" w:rsidR="005F51B7" w:rsidRDefault="005F51B7" w:rsidP="005F51B7">
      <w:pPr>
        <w:pStyle w:val="Heading1"/>
      </w:pPr>
      <w:bookmarkStart w:id="4" w:name="_Toc133598843"/>
      <w:r>
        <w:t>Recommendations to Improve Nurse Retention in the UK</w:t>
      </w:r>
      <w:bookmarkEnd w:id="4"/>
    </w:p>
    <w:p w14:paraId="747D81BD" w14:textId="77777777" w:rsidR="005F51B7" w:rsidRDefault="005F51B7" w:rsidP="005F51B7"/>
    <w:p w14:paraId="74DFB42C" w14:textId="6621B811" w:rsidR="005F51B7" w:rsidRDefault="005F51B7" w:rsidP="005F51B7">
      <w:r>
        <w:t xml:space="preserve">The attrition rate among nursing professionals in the UK is a significant concern for the National Health Service (NHS). While various retention schemes have been implemented, more targeted interventions are necessary to effectively address the underlying causes of </w:t>
      </w:r>
      <w:r>
        <w:lastRenderedPageBreak/>
        <w:t>attrition. This section outlines short-term and long-term recommendations to improve nurse retention and reduce attrition rates in the UK.</w:t>
      </w:r>
    </w:p>
    <w:p w14:paraId="450FFBD0" w14:textId="77777777" w:rsidR="005F51B7" w:rsidRDefault="005F51B7" w:rsidP="005F51B7"/>
    <w:p w14:paraId="113C2FE9" w14:textId="77777777" w:rsidR="005F51B7" w:rsidRPr="005F51B7" w:rsidRDefault="005F51B7" w:rsidP="005F51B7">
      <w:pPr>
        <w:rPr>
          <w:b/>
          <w:bCs/>
        </w:rPr>
      </w:pPr>
      <w:r w:rsidRPr="005F51B7">
        <w:rPr>
          <w:b/>
          <w:bCs/>
        </w:rPr>
        <w:t>Short-Term Recommendations:</w:t>
      </w:r>
    </w:p>
    <w:p w14:paraId="4D06ACD9" w14:textId="77777777" w:rsidR="005F51B7" w:rsidRDefault="005F51B7" w:rsidP="005F51B7"/>
    <w:p w14:paraId="1421EB4F" w14:textId="77777777" w:rsidR="005F51B7" w:rsidRPr="005F51B7" w:rsidRDefault="005F51B7" w:rsidP="005F51B7">
      <w:pPr>
        <w:rPr>
          <w:i/>
          <w:iCs/>
        </w:rPr>
      </w:pPr>
      <w:r w:rsidRPr="005F51B7">
        <w:rPr>
          <w:i/>
          <w:iCs/>
        </w:rPr>
        <w:t>Address Workload and Work-Life Balance Challenges:</w:t>
      </w:r>
    </w:p>
    <w:p w14:paraId="744CED71" w14:textId="33CA9442" w:rsidR="005F51B7" w:rsidRDefault="005F51B7" w:rsidP="005F51B7">
      <w:r>
        <w:t>Immediate action is necessary to address nursing professionals' workload and work-life balance challenges. This includes hiring additional staff to reduce workload, providing flexible work arrangements, and enhancing support services for physical and mental well-being. Additionally, identifying and addressing staffing shortages in critical areas, such as community providers and care trusts, can reduce the burden on existing nursing staff.</w:t>
      </w:r>
    </w:p>
    <w:p w14:paraId="463E0DA6" w14:textId="77777777" w:rsidR="005F51B7" w:rsidRDefault="005F51B7" w:rsidP="005F51B7"/>
    <w:p w14:paraId="559E6E0C" w14:textId="77777777" w:rsidR="005F51B7" w:rsidRPr="005F51B7" w:rsidRDefault="005F51B7" w:rsidP="005F51B7">
      <w:pPr>
        <w:rPr>
          <w:i/>
          <w:iCs/>
        </w:rPr>
      </w:pPr>
      <w:r w:rsidRPr="005F51B7">
        <w:rPr>
          <w:i/>
          <w:iCs/>
        </w:rPr>
        <w:t>Increase Access to Professional Development Opportunities:</w:t>
      </w:r>
    </w:p>
    <w:p w14:paraId="39F0ACE8" w14:textId="56890262" w:rsidR="005F51B7" w:rsidRDefault="005F51B7" w:rsidP="005F51B7">
      <w:r>
        <w:t>Providing access to professional development and training programs can enhance nursing professionals' career opportunities and job satisfaction. The NHS should identify areas where professional development opportunities are lacking and develop programs that address nursing professionals' specific needs and preferences.</w:t>
      </w:r>
    </w:p>
    <w:p w14:paraId="6126255C" w14:textId="77777777" w:rsidR="005F51B7" w:rsidRDefault="005F51B7" w:rsidP="005F51B7"/>
    <w:p w14:paraId="0F74158A" w14:textId="77777777" w:rsidR="005F51B7" w:rsidRPr="005F51B7" w:rsidRDefault="005F51B7" w:rsidP="005F51B7">
      <w:pPr>
        <w:rPr>
          <w:i/>
          <w:iCs/>
        </w:rPr>
      </w:pPr>
      <w:r w:rsidRPr="005F51B7">
        <w:rPr>
          <w:i/>
          <w:iCs/>
        </w:rPr>
        <w:t>Strengthen Mentorship Programs:</w:t>
      </w:r>
    </w:p>
    <w:p w14:paraId="736AFDCF" w14:textId="289C3D57" w:rsidR="005F51B7" w:rsidRDefault="005F51B7" w:rsidP="005F51B7">
      <w:r>
        <w:t>Mentorship programs can support and guide nursing professionals, particularly those new to the profession. Strengthening mentorship programs, including increasing the number of experienced mentors and providing structured mentoring programs, can enhance the integration and retention of nursing professionals.</w:t>
      </w:r>
    </w:p>
    <w:p w14:paraId="6A97F49E" w14:textId="77777777" w:rsidR="005F51B7" w:rsidRDefault="005F51B7" w:rsidP="005F51B7"/>
    <w:p w14:paraId="62904C81" w14:textId="77777777" w:rsidR="005F51B7" w:rsidRPr="005F51B7" w:rsidRDefault="005F51B7" w:rsidP="005F51B7">
      <w:pPr>
        <w:rPr>
          <w:i/>
          <w:iCs/>
        </w:rPr>
      </w:pPr>
      <w:r w:rsidRPr="005F51B7">
        <w:rPr>
          <w:i/>
          <w:iCs/>
        </w:rPr>
        <w:t>Address Compensation and Benefits:</w:t>
      </w:r>
    </w:p>
    <w:p w14:paraId="54D3DB69" w14:textId="56DF4195" w:rsidR="005F51B7" w:rsidRDefault="005F51B7" w:rsidP="005F51B7">
      <w:r>
        <w:t>While financial incentives are not the only factor contributing to nurse retention, addressing compensation and benefits can enhance the attractiveness of nursing as a career choice. The NHS should regularly review the competitiveness of its compensation and benefits package, including regular pay increments and additional payments for unsocial hours.</w:t>
      </w:r>
    </w:p>
    <w:p w14:paraId="5E953039" w14:textId="77777777" w:rsidR="005F51B7" w:rsidRDefault="005F51B7" w:rsidP="005F51B7"/>
    <w:p w14:paraId="1C67D5D3" w14:textId="77777777" w:rsidR="005F51B7" w:rsidRPr="005F51B7" w:rsidRDefault="005F51B7" w:rsidP="005F51B7">
      <w:pPr>
        <w:rPr>
          <w:i/>
          <w:iCs/>
        </w:rPr>
      </w:pPr>
      <w:r w:rsidRPr="005F51B7">
        <w:rPr>
          <w:i/>
          <w:iCs/>
        </w:rPr>
        <w:t>Enhance Recruitment and Retention Strategies for Diverse Demographics:</w:t>
      </w:r>
    </w:p>
    <w:p w14:paraId="5682AE55" w14:textId="2EF956F0" w:rsidR="005F51B7" w:rsidRDefault="005F51B7" w:rsidP="005F51B7">
      <w:r>
        <w:t>Nursing professionals come from diverse backgrounds, and their needs and preferences may vary. The NHS should develop recruitment and retention strategies tailored to the unique challenges faced by different demographics, including younger nurses and nurses from diverse cultural backgrounds.</w:t>
      </w:r>
    </w:p>
    <w:p w14:paraId="6E66D2EF" w14:textId="77777777" w:rsidR="005F51B7" w:rsidRPr="005F51B7" w:rsidRDefault="005F51B7" w:rsidP="005F51B7">
      <w:pPr>
        <w:rPr>
          <w:b/>
          <w:bCs/>
        </w:rPr>
      </w:pPr>
    </w:p>
    <w:p w14:paraId="79B715C7" w14:textId="77777777" w:rsidR="005F51B7" w:rsidRPr="005F51B7" w:rsidRDefault="005F51B7" w:rsidP="005F51B7">
      <w:pPr>
        <w:rPr>
          <w:b/>
          <w:bCs/>
        </w:rPr>
      </w:pPr>
      <w:r w:rsidRPr="005F51B7">
        <w:rPr>
          <w:b/>
          <w:bCs/>
        </w:rPr>
        <w:t>Long-Term Recommendations:</w:t>
      </w:r>
    </w:p>
    <w:p w14:paraId="7FCB7657" w14:textId="77777777" w:rsidR="005F51B7" w:rsidRDefault="005F51B7" w:rsidP="005F51B7"/>
    <w:p w14:paraId="3B87DBF8" w14:textId="77777777" w:rsidR="005F51B7" w:rsidRPr="005F51B7" w:rsidRDefault="005F51B7" w:rsidP="005F51B7">
      <w:pPr>
        <w:rPr>
          <w:i/>
          <w:iCs/>
        </w:rPr>
      </w:pPr>
      <w:r w:rsidRPr="005F51B7">
        <w:rPr>
          <w:i/>
          <w:iCs/>
        </w:rPr>
        <w:t>Address Structural Issues:</w:t>
      </w:r>
    </w:p>
    <w:p w14:paraId="660E9661" w14:textId="60E0E68B" w:rsidR="005F51B7" w:rsidRDefault="005F51B7" w:rsidP="005F51B7">
      <w:r>
        <w:t>Addressing structural issues within the nursing profession, such as hierarchical organisational structures, limited autonomy, and decision-making authority, can enhance job satisfaction and retention rates. The NHS should promote a culture of inclusivity, transparency, and shared decision-making to improve nurse empowerment and engagement.</w:t>
      </w:r>
    </w:p>
    <w:p w14:paraId="58ABE68C" w14:textId="77777777" w:rsidR="005F51B7" w:rsidRDefault="005F51B7" w:rsidP="005F51B7"/>
    <w:p w14:paraId="55B8647F" w14:textId="77777777" w:rsidR="005F51B7" w:rsidRPr="005F51B7" w:rsidRDefault="005F51B7" w:rsidP="005F51B7">
      <w:pPr>
        <w:rPr>
          <w:i/>
          <w:iCs/>
        </w:rPr>
      </w:pPr>
      <w:r w:rsidRPr="005F51B7">
        <w:rPr>
          <w:i/>
          <w:iCs/>
        </w:rPr>
        <w:t>Enhance Inter-Professional Collaboration:</w:t>
      </w:r>
    </w:p>
    <w:p w14:paraId="1DF43B99" w14:textId="77777777" w:rsidR="005F51B7" w:rsidRDefault="005F51B7" w:rsidP="005F51B7">
      <w:r>
        <w:lastRenderedPageBreak/>
        <w:t>Enhancing inter-professional collaboration can promote a team-based approach to healthcare delivery and improve job satisfaction and retention among nursing professionals. The NHS should promote interdisciplinary teamwork, including increasing opportunities for collaboration and communication between healthcare professionals.</w:t>
      </w:r>
    </w:p>
    <w:p w14:paraId="3D9F1FCB" w14:textId="77777777" w:rsidR="005F51B7" w:rsidRDefault="005F51B7" w:rsidP="005F51B7"/>
    <w:p w14:paraId="1C9385F7" w14:textId="77777777" w:rsidR="005F51B7" w:rsidRPr="005F51B7" w:rsidRDefault="005F51B7" w:rsidP="005F51B7">
      <w:pPr>
        <w:rPr>
          <w:i/>
          <w:iCs/>
        </w:rPr>
      </w:pPr>
      <w:r w:rsidRPr="005F51B7">
        <w:rPr>
          <w:i/>
          <w:iCs/>
        </w:rPr>
        <w:t>Develop Innovative Retention Strategies:</w:t>
      </w:r>
    </w:p>
    <w:p w14:paraId="628718B0" w14:textId="34207746" w:rsidR="005F51B7" w:rsidRDefault="005F51B7" w:rsidP="005F51B7">
      <w:r>
        <w:t>The nursing profession is evolving, and innovative retention strategies are necessary to keep pace. The NHS should invest in research and development to identify emerging trends and develop new and innovative retention strategies that address the evolving needs of nursing professionals.</w:t>
      </w:r>
    </w:p>
    <w:p w14:paraId="73CB0E79" w14:textId="77777777" w:rsidR="005F51B7" w:rsidRPr="005F51B7" w:rsidRDefault="005F51B7" w:rsidP="005F51B7">
      <w:pPr>
        <w:rPr>
          <w:i/>
          <w:iCs/>
        </w:rPr>
      </w:pPr>
    </w:p>
    <w:p w14:paraId="4FF71F6F" w14:textId="77777777" w:rsidR="005F51B7" w:rsidRPr="005F51B7" w:rsidRDefault="005F51B7" w:rsidP="005F51B7">
      <w:pPr>
        <w:rPr>
          <w:i/>
          <w:iCs/>
        </w:rPr>
      </w:pPr>
      <w:r w:rsidRPr="005F51B7">
        <w:rPr>
          <w:i/>
          <w:iCs/>
        </w:rPr>
        <w:t>Foster a Positive Organizational Culture:</w:t>
      </w:r>
    </w:p>
    <w:p w14:paraId="567DB951" w14:textId="59B1A634" w:rsidR="005F51B7" w:rsidRDefault="005F51B7" w:rsidP="005F51B7">
      <w:r>
        <w:t>Fostering a positive organisational culture can enhance nurse job satisfaction and retention rates. The NHS should create a positive work environment that values employee contributions, recognises achievements, and fosters community and belonging among nursing professionals.</w:t>
      </w:r>
    </w:p>
    <w:p w14:paraId="303B4A05" w14:textId="77777777" w:rsidR="005F51B7" w:rsidRDefault="005F51B7" w:rsidP="005F51B7"/>
    <w:p w14:paraId="6D936360" w14:textId="77777777" w:rsidR="005F51B7" w:rsidRPr="005F51B7" w:rsidRDefault="005F51B7" w:rsidP="005F51B7">
      <w:pPr>
        <w:rPr>
          <w:i/>
          <w:iCs/>
        </w:rPr>
      </w:pPr>
      <w:r w:rsidRPr="005F51B7">
        <w:rPr>
          <w:i/>
          <w:iCs/>
        </w:rPr>
        <w:t>Engage Nursing Professionals in Decision-Making Processes:</w:t>
      </w:r>
    </w:p>
    <w:p w14:paraId="4A58579B" w14:textId="77777777" w:rsidR="005F51B7" w:rsidRDefault="005F51B7" w:rsidP="005F51B7">
      <w:r>
        <w:t>Engaging nursing professionals in decision-making processes can enhance their sense of ownership and empowerment in their roles, improving job satisfaction and retention rates. The NHS should provide opportunities for nursing professionals to participate in decision-making processes, including developing policies and procedures that directly impact their roles.</w:t>
      </w:r>
    </w:p>
    <w:p w14:paraId="3A25A75B" w14:textId="77777777" w:rsidR="005F51B7" w:rsidRDefault="005F51B7" w:rsidP="005F51B7"/>
    <w:p w14:paraId="519223ED" w14:textId="77777777" w:rsidR="005F51B7" w:rsidRDefault="005F51B7" w:rsidP="005F51B7">
      <w:r>
        <w:t>Conclusion:</w:t>
      </w:r>
    </w:p>
    <w:p w14:paraId="66FD2CED" w14:textId="6059B67F" w:rsidR="007D320F" w:rsidRDefault="005F51B7" w:rsidP="005F51B7">
      <w:r>
        <w:t>The high attrition rate among nursing professionals in the UK is a complex issue that requires a comprehensive and multi-faceted approach to address effectively. Short-term recommendations can provide immediate relief, such as addressing workload and work-life balance challenges, enhancing access to professional development opportunities, and strengthening mentorship programs. Long-term recommendations can promote sustainable and long-term solutions, such as addressing structural issues, enhancing inter-professional collaboration, developing innovative retention strategies, fostering a positive organisational culture, and engaging nursing professionals in decision-making processes. By implementing these recommendations, the NHS can improve nurse retention and reduce attrition rates, ensuring high-quality healthcare services to the UK population.</w:t>
      </w:r>
    </w:p>
    <w:p w14:paraId="6CBB0944" w14:textId="5E5F5B74" w:rsidR="005F51B7" w:rsidRDefault="005F51B7" w:rsidP="005F51B7"/>
    <w:p w14:paraId="0B4464C2" w14:textId="59DA245E" w:rsidR="005F51B7" w:rsidRDefault="005F51B7">
      <w:r>
        <w:br w:type="page"/>
      </w:r>
    </w:p>
    <w:bookmarkStart w:id="5" w:name="_Toc133598844" w:displacedByCustomXml="next"/>
    <w:sdt>
      <w:sdtPr>
        <w:rPr>
          <w:rFonts w:asciiTheme="minorHAnsi" w:eastAsiaTheme="minorHAnsi" w:hAnsiTheme="minorHAnsi" w:cstheme="minorBidi"/>
          <w:color w:val="auto"/>
          <w:sz w:val="24"/>
          <w:szCs w:val="24"/>
        </w:rPr>
        <w:id w:val="-1028558692"/>
        <w:docPartObj>
          <w:docPartGallery w:val="Bibliographies"/>
          <w:docPartUnique/>
        </w:docPartObj>
      </w:sdtPr>
      <w:sdtEndPr>
        <w:rPr>
          <w:b/>
          <w:bCs/>
        </w:rPr>
      </w:sdtEndPr>
      <w:sdtContent>
        <w:p w14:paraId="621CB723" w14:textId="1AAC5C2F" w:rsidR="005F51B7" w:rsidRDefault="005F51B7">
          <w:pPr>
            <w:pStyle w:val="Heading1"/>
          </w:pPr>
          <w:r>
            <w:t>Works Cited</w:t>
          </w:r>
          <w:bookmarkEnd w:id="5"/>
        </w:p>
        <w:p w14:paraId="48E2E344" w14:textId="77777777" w:rsidR="005F51B7" w:rsidRPr="005F51B7" w:rsidRDefault="005F51B7" w:rsidP="005F51B7">
          <w:pPr>
            <w:numPr>
              <w:ilvl w:val="0"/>
              <w:numId w:val="1"/>
            </w:numPr>
            <w:rPr>
              <w:b/>
              <w:bCs/>
              <w:noProof/>
            </w:rPr>
          </w:pPr>
          <w:r>
            <w:fldChar w:fldCharType="begin"/>
          </w:r>
          <w:r>
            <w:instrText xml:space="preserve"> BIBLIOGRAPHY </w:instrText>
          </w:r>
          <w:r>
            <w:fldChar w:fldCharType="separate"/>
          </w:r>
          <w:r>
            <w:rPr>
              <w:b/>
              <w:bCs/>
              <w:noProof/>
            </w:rPr>
            <w:t xml:space="preserve">There are </w:t>
          </w:r>
          <w:r w:rsidRPr="005F51B7">
            <w:rPr>
              <w:b/>
              <w:bCs/>
              <w:noProof/>
            </w:rPr>
            <w:t>Buchan, J. (2022). A critical time for nursing workforce policy in the UK. Journal of Nursing Management, 30(1), 1-3.</w:t>
          </w:r>
        </w:p>
        <w:p w14:paraId="43357853" w14:textId="77777777" w:rsidR="005F51B7" w:rsidRPr="005F51B7" w:rsidRDefault="005F51B7" w:rsidP="005F51B7">
          <w:pPr>
            <w:numPr>
              <w:ilvl w:val="0"/>
              <w:numId w:val="1"/>
            </w:numPr>
            <w:rPr>
              <w:b/>
              <w:bCs/>
              <w:noProof/>
            </w:rPr>
          </w:pPr>
          <w:r w:rsidRPr="005F51B7">
            <w:rPr>
              <w:b/>
              <w:bCs/>
              <w:noProof/>
            </w:rPr>
            <w:t>Chaudhury, H., Mahmood, A., &amp; Valente, M. (2016). Advancing nurse retention through a nurse residency program. Journal of nursing management, 24(7), 918-927.</w:t>
          </w:r>
        </w:p>
        <w:p w14:paraId="7555F312" w14:textId="77777777" w:rsidR="005F51B7" w:rsidRPr="005F51B7" w:rsidRDefault="005F51B7" w:rsidP="005F51B7">
          <w:pPr>
            <w:numPr>
              <w:ilvl w:val="0"/>
              <w:numId w:val="1"/>
            </w:numPr>
            <w:rPr>
              <w:b/>
              <w:bCs/>
              <w:noProof/>
            </w:rPr>
          </w:pPr>
          <w:r w:rsidRPr="005F51B7">
            <w:rPr>
              <w:b/>
              <w:bCs/>
              <w:noProof/>
            </w:rPr>
            <w:t>Flanagan, J. (2017). Strategies for retaining nurses in the workforce: a systematic review and meta-analysis. International Journal of Nursing Studies, 74, 255-272.</w:t>
          </w:r>
        </w:p>
        <w:p w14:paraId="7D5B0175" w14:textId="77777777" w:rsidR="005F51B7" w:rsidRPr="005F51B7" w:rsidRDefault="005F51B7" w:rsidP="005F51B7">
          <w:pPr>
            <w:numPr>
              <w:ilvl w:val="0"/>
              <w:numId w:val="1"/>
            </w:numPr>
            <w:rPr>
              <w:b/>
              <w:bCs/>
              <w:noProof/>
            </w:rPr>
          </w:pPr>
          <w:r w:rsidRPr="005F51B7">
            <w:rPr>
              <w:b/>
              <w:bCs/>
              <w:noProof/>
            </w:rPr>
            <w:t>Henderson, A., &amp; Cooke, M. (2016). Reducing nurse burnout and improving retention: The potential of nurse coaching. Nurse Education in Practice, 16(1), 228-232.</w:t>
          </w:r>
        </w:p>
        <w:p w14:paraId="2753D287" w14:textId="77777777" w:rsidR="005F51B7" w:rsidRPr="005F51B7" w:rsidRDefault="005F51B7" w:rsidP="005F51B7">
          <w:pPr>
            <w:numPr>
              <w:ilvl w:val="0"/>
              <w:numId w:val="1"/>
            </w:numPr>
            <w:rPr>
              <w:b/>
              <w:bCs/>
              <w:noProof/>
            </w:rPr>
          </w:pPr>
          <w:r w:rsidRPr="005F51B7">
            <w:rPr>
              <w:b/>
              <w:bCs/>
              <w:noProof/>
            </w:rPr>
            <w:t>Laschinger, H. K. S., &amp; Finegan, J. (2021). A Longitudinal Analysis of the Impact of Perceived Organizational Support on Work Attitudes, Turnover Intentions, and Nurse Workforce Outcomes. Journal of Nursing Management, 29(5), 687-697.</w:t>
          </w:r>
        </w:p>
        <w:p w14:paraId="55C0439B" w14:textId="77777777" w:rsidR="005F51B7" w:rsidRPr="005F51B7" w:rsidRDefault="005F51B7" w:rsidP="005F51B7">
          <w:pPr>
            <w:numPr>
              <w:ilvl w:val="0"/>
              <w:numId w:val="1"/>
            </w:numPr>
            <w:rPr>
              <w:b/>
              <w:bCs/>
              <w:noProof/>
            </w:rPr>
          </w:pPr>
          <w:r w:rsidRPr="005F51B7">
            <w:rPr>
              <w:b/>
              <w:bCs/>
              <w:noProof/>
            </w:rPr>
            <w:t>Lee, H., &amp; Cummings, G. (2018). Factors influencing job satisfaction of front line nurse managers: A systematic review. Journal of nursing management, 26(3), 285-295.</w:t>
          </w:r>
        </w:p>
        <w:p w14:paraId="4BEE84D9" w14:textId="77777777" w:rsidR="005F51B7" w:rsidRPr="005F51B7" w:rsidRDefault="005F51B7" w:rsidP="005F51B7">
          <w:pPr>
            <w:numPr>
              <w:ilvl w:val="0"/>
              <w:numId w:val="1"/>
            </w:numPr>
            <w:rPr>
              <w:b/>
              <w:bCs/>
              <w:noProof/>
            </w:rPr>
          </w:pPr>
          <w:r w:rsidRPr="005F51B7">
            <w:rPr>
              <w:b/>
              <w:bCs/>
              <w:noProof/>
            </w:rPr>
            <w:t>Lin, S. C., Tsai, Y. M., Hsu, C. Y., &amp; Wu, C. Y. (2016). The effectiveness of a nurse residency program for newly graduated nurses: A systematic review. Journal of Professional Nursing, 32(5), 327-333.</w:t>
          </w:r>
        </w:p>
        <w:p w14:paraId="186B561F" w14:textId="77777777" w:rsidR="005F51B7" w:rsidRPr="005F51B7" w:rsidRDefault="005F51B7" w:rsidP="005F51B7">
          <w:pPr>
            <w:numPr>
              <w:ilvl w:val="0"/>
              <w:numId w:val="1"/>
            </w:numPr>
            <w:rPr>
              <w:b/>
              <w:bCs/>
              <w:noProof/>
            </w:rPr>
          </w:pPr>
          <w:r w:rsidRPr="005F51B7">
            <w:rPr>
              <w:b/>
              <w:bCs/>
              <w:noProof/>
            </w:rPr>
            <w:t>McDermott-Levy, R., &amp; Cusack, M. C. (2017). Nurse retention: A review of strategies to create and enhance positive practice environments in clinical settings. International Journal of Nursing Sciences, 4(2), 123-132.</w:t>
          </w:r>
        </w:p>
        <w:p w14:paraId="68D39C34" w14:textId="77777777" w:rsidR="005F51B7" w:rsidRPr="005F51B7" w:rsidRDefault="005F51B7" w:rsidP="005F51B7">
          <w:pPr>
            <w:numPr>
              <w:ilvl w:val="0"/>
              <w:numId w:val="1"/>
            </w:numPr>
            <w:rPr>
              <w:b/>
              <w:bCs/>
              <w:noProof/>
            </w:rPr>
          </w:pPr>
          <w:r w:rsidRPr="005F51B7">
            <w:rPr>
              <w:b/>
              <w:bCs/>
              <w:noProof/>
            </w:rPr>
            <w:t xml:space="preserve">NHS England. (2022). NHS Vacancies Survey: April 2015-June 2022. Retrieved from </w:t>
          </w:r>
          <w:hyperlink r:id="rId6" w:tgtFrame="_new" w:history="1">
            <w:r w:rsidRPr="005F51B7">
              <w:rPr>
                <w:rStyle w:val="Hyperlink"/>
                <w:b/>
                <w:bCs/>
                <w:noProof/>
              </w:rPr>
              <w:t>https://digital.nhs.uk/data-and-information/publications/statistical/nhs-vacancies-survey</w:t>
            </w:r>
          </w:hyperlink>
        </w:p>
        <w:p w14:paraId="191C78E5" w14:textId="77777777" w:rsidR="005F51B7" w:rsidRPr="005F51B7" w:rsidRDefault="005F51B7" w:rsidP="005F51B7">
          <w:pPr>
            <w:numPr>
              <w:ilvl w:val="0"/>
              <w:numId w:val="1"/>
            </w:numPr>
            <w:rPr>
              <w:b/>
              <w:bCs/>
              <w:noProof/>
            </w:rPr>
          </w:pPr>
          <w:r w:rsidRPr="005F51B7">
            <w:rPr>
              <w:b/>
              <w:bCs/>
              <w:noProof/>
            </w:rPr>
            <w:t xml:space="preserve">NHS Improvement. (2022). NHS Workforce Statistics, July 2021 to June 2022, Provisional Statistics. Retrieved from </w:t>
          </w:r>
          <w:hyperlink r:id="rId7" w:tgtFrame="_new" w:history="1">
            <w:r w:rsidRPr="005F51B7">
              <w:rPr>
                <w:rStyle w:val="Hyperlink"/>
                <w:b/>
                <w:bCs/>
                <w:noProof/>
              </w:rPr>
              <w:t>https://improvement.nhs.uk/documents/2829/July-2021-to-June-2022-prov-nhs-workforce-stats.pdf</w:t>
            </w:r>
          </w:hyperlink>
        </w:p>
        <w:p w14:paraId="7456A249" w14:textId="77777777" w:rsidR="005F51B7" w:rsidRPr="005F51B7" w:rsidRDefault="005F51B7" w:rsidP="005F51B7">
          <w:pPr>
            <w:numPr>
              <w:ilvl w:val="0"/>
              <w:numId w:val="1"/>
            </w:numPr>
            <w:rPr>
              <w:b/>
              <w:bCs/>
              <w:noProof/>
            </w:rPr>
          </w:pPr>
          <w:r w:rsidRPr="005F51B7">
            <w:rPr>
              <w:b/>
              <w:bCs/>
              <w:noProof/>
            </w:rPr>
            <w:t xml:space="preserve">Nuffield Trust. (2022). A spotlight on nurse leaver rates in the UK. Retrieved from </w:t>
          </w:r>
          <w:hyperlink r:id="rId8" w:tgtFrame="_new" w:history="1">
            <w:r w:rsidRPr="005F51B7">
              <w:rPr>
                <w:rStyle w:val="Hyperlink"/>
                <w:b/>
                <w:bCs/>
                <w:noProof/>
              </w:rPr>
              <w:t>https://www.nuffieldtrust.org.uk/resource/peak-leaving-a-spotlight-on-nurse-leaver-rates-in-the-uk</w:t>
            </w:r>
          </w:hyperlink>
        </w:p>
        <w:p w14:paraId="3A9CB418" w14:textId="77777777" w:rsidR="005F51B7" w:rsidRPr="005F51B7" w:rsidRDefault="005F51B7" w:rsidP="005F51B7">
          <w:pPr>
            <w:numPr>
              <w:ilvl w:val="0"/>
              <w:numId w:val="1"/>
            </w:numPr>
            <w:rPr>
              <w:b/>
              <w:bCs/>
              <w:noProof/>
            </w:rPr>
          </w:pPr>
          <w:r w:rsidRPr="005F51B7">
            <w:rPr>
              <w:b/>
              <w:bCs/>
              <w:noProof/>
            </w:rPr>
            <w:t>Poghosyan, L., Aiken, L. H., &amp; Sloane, D. M. (2017). Factor structure of the Maslach Burnout Inventory: An analysis of data from large scale cross-sectional surveys of nurses from eight countries. International Journal of Nursing Studies, 73, 10-16.</w:t>
          </w:r>
        </w:p>
        <w:p w14:paraId="28B5D403" w14:textId="77777777" w:rsidR="005F51B7" w:rsidRPr="005F51B7" w:rsidRDefault="005F51B7" w:rsidP="005F51B7">
          <w:pPr>
            <w:numPr>
              <w:ilvl w:val="0"/>
              <w:numId w:val="1"/>
            </w:numPr>
            <w:rPr>
              <w:b/>
              <w:bCs/>
              <w:noProof/>
            </w:rPr>
          </w:pPr>
          <w:r w:rsidRPr="005F51B7">
            <w:rPr>
              <w:b/>
              <w:bCs/>
              <w:noProof/>
            </w:rPr>
            <w:t xml:space="preserve">Royal College of Nursing. (2021). RCN Workforce Survey 2021. Retrieved from </w:t>
          </w:r>
          <w:hyperlink r:id="rId9" w:tgtFrame="_new" w:history="1">
            <w:r w:rsidRPr="005F51B7">
              <w:rPr>
                <w:rStyle w:val="Hyperlink"/>
                <w:b/>
                <w:bCs/>
                <w:noProof/>
              </w:rPr>
              <w:t>https://www.rcn.org.uk/professional-development/research-and-innovation/policy-briefings-and-reports/workforce-survey-2021</w:t>
            </w:r>
          </w:hyperlink>
        </w:p>
        <w:p w14:paraId="62934204" w14:textId="77777777" w:rsidR="005F51B7" w:rsidRPr="005F51B7" w:rsidRDefault="005F51B7" w:rsidP="005F51B7">
          <w:pPr>
            <w:numPr>
              <w:ilvl w:val="0"/>
              <w:numId w:val="1"/>
            </w:numPr>
            <w:rPr>
              <w:b/>
              <w:bCs/>
              <w:noProof/>
            </w:rPr>
          </w:pPr>
          <w:r w:rsidRPr="005F51B7">
            <w:rPr>
              <w:b/>
              <w:bCs/>
              <w:noProof/>
            </w:rPr>
            <w:t>Sharma, A., &amp; Gopichandran, L. (2017). Factors influencing nurse retention in a selected private hospital in Karnataka, India. Journal of nursing and health science, 6(4), 35-40.</w:t>
          </w:r>
        </w:p>
        <w:p w14:paraId="465885DE" w14:textId="77777777" w:rsidR="005F51B7" w:rsidRPr="005F51B7" w:rsidRDefault="005F51B7" w:rsidP="005F51B7">
          <w:pPr>
            <w:numPr>
              <w:ilvl w:val="0"/>
              <w:numId w:val="1"/>
            </w:numPr>
            <w:rPr>
              <w:b/>
              <w:bCs/>
              <w:noProof/>
            </w:rPr>
          </w:pPr>
          <w:r w:rsidRPr="005F51B7">
            <w:rPr>
              <w:b/>
              <w:bCs/>
              <w:noProof/>
            </w:rPr>
            <w:t>World Health Organization. (2021). State of the world's nursing 2021: investing in education, jobs and leadership.</w:t>
          </w:r>
        </w:p>
        <w:p w14:paraId="02AA99B4" w14:textId="4D147D80" w:rsidR="005F51B7" w:rsidRDefault="005F51B7">
          <w:r>
            <w:rPr>
              <w:b/>
              <w:bCs/>
            </w:rPr>
            <w:fldChar w:fldCharType="end"/>
          </w:r>
        </w:p>
      </w:sdtContent>
    </w:sdt>
    <w:p w14:paraId="20B20557" w14:textId="77777777" w:rsidR="005F51B7" w:rsidRDefault="005F51B7" w:rsidP="005F51B7"/>
    <w:sectPr w:rsidR="005F51B7" w:rsidSect="0072182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C217CC"/>
    <w:multiLevelType w:val="multilevel"/>
    <w:tmpl w:val="5D5E3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9573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1B7"/>
    <w:rsid w:val="000448EF"/>
    <w:rsid w:val="00061272"/>
    <w:rsid w:val="00061F58"/>
    <w:rsid w:val="000E4F88"/>
    <w:rsid w:val="000E520F"/>
    <w:rsid w:val="000F649C"/>
    <w:rsid w:val="0012705E"/>
    <w:rsid w:val="00161196"/>
    <w:rsid w:val="002239F5"/>
    <w:rsid w:val="00225255"/>
    <w:rsid w:val="00255E20"/>
    <w:rsid w:val="002B45FD"/>
    <w:rsid w:val="002C2915"/>
    <w:rsid w:val="002D671C"/>
    <w:rsid w:val="00357A2C"/>
    <w:rsid w:val="00403CDC"/>
    <w:rsid w:val="00431E21"/>
    <w:rsid w:val="00434E4B"/>
    <w:rsid w:val="00436247"/>
    <w:rsid w:val="004507DE"/>
    <w:rsid w:val="00473E11"/>
    <w:rsid w:val="004A1131"/>
    <w:rsid w:val="004D4C84"/>
    <w:rsid w:val="004E6BB5"/>
    <w:rsid w:val="004F199B"/>
    <w:rsid w:val="004F6077"/>
    <w:rsid w:val="004F7B98"/>
    <w:rsid w:val="0055079E"/>
    <w:rsid w:val="005D51EF"/>
    <w:rsid w:val="005F51B7"/>
    <w:rsid w:val="00611497"/>
    <w:rsid w:val="00660D3F"/>
    <w:rsid w:val="00691CC7"/>
    <w:rsid w:val="006A2A61"/>
    <w:rsid w:val="006E5257"/>
    <w:rsid w:val="006E6E89"/>
    <w:rsid w:val="00721820"/>
    <w:rsid w:val="00734DA3"/>
    <w:rsid w:val="00782DED"/>
    <w:rsid w:val="007B4F9D"/>
    <w:rsid w:val="008031E4"/>
    <w:rsid w:val="00822760"/>
    <w:rsid w:val="00843752"/>
    <w:rsid w:val="00852C95"/>
    <w:rsid w:val="0089057F"/>
    <w:rsid w:val="008E1F75"/>
    <w:rsid w:val="009056D0"/>
    <w:rsid w:val="0091287C"/>
    <w:rsid w:val="00954522"/>
    <w:rsid w:val="009806A0"/>
    <w:rsid w:val="009B086A"/>
    <w:rsid w:val="009C6399"/>
    <w:rsid w:val="009E3009"/>
    <w:rsid w:val="009E3CF6"/>
    <w:rsid w:val="00A06326"/>
    <w:rsid w:val="00A713D5"/>
    <w:rsid w:val="00AA68CC"/>
    <w:rsid w:val="00AC3176"/>
    <w:rsid w:val="00AE217B"/>
    <w:rsid w:val="00B97927"/>
    <w:rsid w:val="00BB257B"/>
    <w:rsid w:val="00BC5AED"/>
    <w:rsid w:val="00BD5E56"/>
    <w:rsid w:val="00BD7B23"/>
    <w:rsid w:val="00C00E2E"/>
    <w:rsid w:val="00C46A34"/>
    <w:rsid w:val="00C72A68"/>
    <w:rsid w:val="00CA15C9"/>
    <w:rsid w:val="00CC2A2B"/>
    <w:rsid w:val="00CD08A9"/>
    <w:rsid w:val="00CF1A48"/>
    <w:rsid w:val="00D23146"/>
    <w:rsid w:val="00D8624B"/>
    <w:rsid w:val="00D87B52"/>
    <w:rsid w:val="00D97E21"/>
    <w:rsid w:val="00DB2712"/>
    <w:rsid w:val="00DD0777"/>
    <w:rsid w:val="00E172A2"/>
    <w:rsid w:val="00EA36EF"/>
    <w:rsid w:val="00EB1ED5"/>
    <w:rsid w:val="00EB7443"/>
    <w:rsid w:val="00EC5990"/>
    <w:rsid w:val="00F16667"/>
    <w:rsid w:val="00F235A9"/>
    <w:rsid w:val="00F53436"/>
    <w:rsid w:val="00FA1F21"/>
    <w:rsid w:val="00FA2263"/>
    <w:rsid w:val="00FC61C3"/>
    <w:rsid w:val="00FE6978"/>
    <w:rsid w:val="00FF5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01DF9"/>
  <w15:chartTrackingRefBased/>
  <w15:docId w15:val="{2D335E3C-F40C-144B-859C-4915D59C0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51B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51B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F51B7"/>
    <w:rPr>
      <w:color w:val="0563C1" w:themeColor="hyperlink"/>
      <w:u w:val="single"/>
    </w:rPr>
  </w:style>
  <w:style w:type="character" w:styleId="UnresolvedMention">
    <w:name w:val="Unresolved Mention"/>
    <w:basedOn w:val="DefaultParagraphFont"/>
    <w:uiPriority w:val="99"/>
    <w:semiHidden/>
    <w:unhideWhenUsed/>
    <w:rsid w:val="005F51B7"/>
    <w:rPr>
      <w:color w:val="605E5C"/>
      <w:shd w:val="clear" w:color="auto" w:fill="E1DFDD"/>
    </w:rPr>
  </w:style>
  <w:style w:type="paragraph" w:styleId="TOCHeading">
    <w:name w:val="TOC Heading"/>
    <w:basedOn w:val="Heading1"/>
    <w:next w:val="Normal"/>
    <w:uiPriority w:val="39"/>
    <w:unhideWhenUsed/>
    <w:qFormat/>
    <w:rsid w:val="005F51B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F51B7"/>
    <w:pPr>
      <w:spacing w:before="120"/>
    </w:pPr>
    <w:rPr>
      <w:rFonts w:cstheme="minorHAnsi"/>
      <w:b/>
      <w:bCs/>
      <w:i/>
      <w:iCs/>
    </w:rPr>
  </w:style>
  <w:style w:type="paragraph" w:styleId="TOC2">
    <w:name w:val="toc 2"/>
    <w:basedOn w:val="Normal"/>
    <w:next w:val="Normal"/>
    <w:autoRedefine/>
    <w:uiPriority w:val="39"/>
    <w:semiHidden/>
    <w:unhideWhenUsed/>
    <w:rsid w:val="005F51B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F51B7"/>
    <w:pPr>
      <w:ind w:left="480"/>
    </w:pPr>
    <w:rPr>
      <w:rFonts w:cstheme="minorHAnsi"/>
      <w:sz w:val="20"/>
      <w:szCs w:val="20"/>
    </w:rPr>
  </w:style>
  <w:style w:type="paragraph" w:styleId="TOC4">
    <w:name w:val="toc 4"/>
    <w:basedOn w:val="Normal"/>
    <w:next w:val="Normal"/>
    <w:autoRedefine/>
    <w:uiPriority w:val="39"/>
    <w:semiHidden/>
    <w:unhideWhenUsed/>
    <w:rsid w:val="005F51B7"/>
    <w:pPr>
      <w:ind w:left="720"/>
    </w:pPr>
    <w:rPr>
      <w:rFonts w:cstheme="minorHAnsi"/>
      <w:sz w:val="20"/>
      <w:szCs w:val="20"/>
    </w:rPr>
  </w:style>
  <w:style w:type="paragraph" w:styleId="TOC5">
    <w:name w:val="toc 5"/>
    <w:basedOn w:val="Normal"/>
    <w:next w:val="Normal"/>
    <w:autoRedefine/>
    <w:uiPriority w:val="39"/>
    <w:semiHidden/>
    <w:unhideWhenUsed/>
    <w:rsid w:val="005F51B7"/>
    <w:pPr>
      <w:ind w:left="960"/>
    </w:pPr>
    <w:rPr>
      <w:rFonts w:cstheme="minorHAnsi"/>
      <w:sz w:val="20"/>
      <w:szCs w:val="20"/>
    </w:rPr>
  </w:style>
  <w:style w:type="paragraph" w:styleId="TOC6">
    <w:name w:val="toc 6"/>
    <w:basedOn w:val="Normal"/>
    <w:next w:val="Normal"/>
    <w:autoRedefine/>
    <w:uiPriority w:val="39"/>
    <w:semiHidden/>
    <w:unhideWhenUsed/>
    <w:rsid w:val="005F51B7"/>
    <w:pPr>
      <w:ind w:left="1200"/>
    </w:pPr>
    <w:rPr>
      <w:rFonts w:cstheme="minorHAnsi"/>
      <w:sz w:val="20"/>
      <w:szCs w:val="20"/>
    </w:rPr>
  </w:style>
  <w:style w:type="paragraph" w:styleId="TOC7">
    <w:name w:val="toc 7"/>
    <w:basedOn w:val="Normal"/>
    <w:next w:val="Normal"/>
    <w:autoRedefine/>
    <w:uiPriority w:val="39"/>
    <w:semiHidden/>
    <w:unhideWhenUsed/>
    <w:rsid w:val="005F51B7"/>
    <w:pPr>
      <w:ind w:left="1440"/>
    </w:pPr>
    <w:rPr>
      <w:rFonts w:cstheme="minorHAnsi"/>
      <w:sz w:val="20"/>
      <w:szCs w:val="20"/>
    </w:rPr>
  </w:style>
  <w:style w:type="paragraph" w:styleId="TOC8">
    <w:name w:val="toc 8"/>
    <w:basedOn w:val="Normal"/>
    <w:next w:val="Normal"/>
    <w:autoRedefine/>
    <w:uiPriority w:val="39"/>
    <w:semiHidden/>
    <w:unhideWhenUsed/>
    <w:rsid w:val="005F51B7"/>
    <w:pPr>
      <w:ind w:left="1680"/>
    </w:pPr>
    <w:rPr>
      <w:rFonts w:cstheme="minorHAnsi"/>
      <w:sz w:val="20"/>
      <w:szCs w:val="20"/>
    </w:rPr>
  </w:style>
  <w:style w:type="paragraph" w:styleId="TOC9">
    <w:name w:val="toc 9"/>
    <w:basedOn w:val="Normal"/>
    <w:next w:val="Normal"/>
    <w:autoRedefine/>
    <w:uiPriority w:val="39"/>
    <w:semiHidden/>
    <w:unhideWhenUsed/>
    <w:rsid w:val="005F51B7"/>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622582">
      <w:bodyDiv w:val="1"/>
      <w:marLeft w:val="0"/>
      <w:marRight w:val="0"/>
      <w:marTop w:val="0"/>
      <w:marBottom w:val="0"/>
      <w:divBdr>
        <w:top w:val="none" w:sz="0" w:space="0" w:color="auto"/>
        <w:left w:val="none" w:sz="0" w:space="0" w:color="auto"/>
        <w:bottom w:val="none" w:sz="0" w:space="0" w:color="auto"/>
        <w:right w:val="none" w:sz="0" w:space="0" w:color="auto"/>
      </w:divBdr>
      <w:divsChild>
        <w:div w:id="1426683456">
          <w:marLeft w:val="0"/>
          <w:marRight w:val="0"/>
          <w:marTop w:val="0"/>
          <w:marBottom w:val="0"/>
          <w:divBdr>
            <w:top w:val="single" w:sz="2" w:space="0" w:color="auto"/>
            <w:left w:val="single" w:sz="2" w:space="0" w:color="auto"/>
            <w:bottom w:val="single" w:sz="6" w:space="0" w:color="auto"/>
            <w:right w:val="single" w:sz="2" w:space="0" w:color="auto"/>
          </w:divBdr>
          <w:divsChild>
            <w:div w:id="941958632">
              <w:marLeft w:val="0"/>
              <w:marRight w:val="0"/>
              <w:marTop w:val="100"/>
              <w:marBottom w:val="100"/>
              <w:divBdr>
                <w:top w:val="single" w:sz="2" w:space="0" w:color="D9D9E3"/>
                <w:left w:val="single" w:sz="2" w:space="0" w:color="D9D9E3"/>
                <w:bottom w:val="single" w:sz="2" w:space="0" w:color="D9D9E3"/>
                <w:right w:val="single" w:sz="2" w:space="0" w:color="D9D9E3"/>
              </w:divBdr>
              <w:divsChild>
                <w:div w:id="1082682560">
                  <w:marLeft w:val="0"/>
                  <w:marRight w:val="0"/>
                  <w:marTop w:val="0"/>
                  <w:marBottom w:val="0"/>
                  <w:divBdr>
                    <w:top w:val="single" w:sz="2" w:space="0" w:color="D9D9E3"/>
                    <w:left w:val="single" w:sz="2" w:space="0" w:color="D9D9E3"/>
                    <w:bottom w:val="single" w:sz="2" w:space="0" w:color="D9D9E3"/>
                    <w:right w:val="single" w:sz="2" w:space="0" w:color="D9D9E3"/>
                  </w:divBdr>
                  <w:divsChild>
                    <w:div w:id="916789241">
                      <w:marLeft w:val="0"/>
                      <w:marRight w:val="0"/>
                      <w:marTop w:val="0"/>
                      <w:marBottom w:val="0"/>
                      <w:divBdr>
                        <w:top w:val="single" w:sz="2" w:space="0" w:color="D9D9E3"/>
                        <w:left w:val="single" w:sz="2" w:space="0" w:color="D9D9E3"/>
                        <w:bottom w:val="single" w:sz="2" w:space="0" w:color="D9D9E3"/>
                        <w:right w:val="single" w:sz="2" w:space="0" w:color="D9D9E3"/>
                      </w:divBdr>
                      <w:divsChild>
                        <w:div w:id="816460041">
                          <w:marLeft w:val="0"/>
                          <w:marRight w:val="0"/>
                          <w:marTop w:val="0"/>
                          <w:marBottom w:val="0"/>
                          <w:divBdr>
                            <w:top w:val="single" w:sz="2" w:space="0" w:color="D9D9E3"/>
                            <w:left w:val="single" w:sz="2" w:space="0" w:color="D9D9E3"/>
                            <w:bottom w:val="single" w:sz="2" w:space="0" w:color="D9D9E3"/>
                            <w:right w:val="single" w:sz="2" w:space="0" w:color="D9D9E3"/>
                          </w:divBdr>
                          <w:divsChild>
                            <w:div w:id="1501889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430483">
          <w:marLeft w:val="0"/>
          <w:marRight w:val="0"/>
          <w:marTop w:val="0"/>
          <w:marBottom w:val="0"/>
          <w:divBdr>
            <w:top w:val="single" w:sz="2" w:space="0" w:color="auto"/>
            <w:left w:val="single" w:sz="2" w:space="0" w:color="auto"/>
            <w:bottom w:val="single" w:sz="6" w:space="0" w:color="auto"/>
            <w:right w:val="single" w:sz="2" w:space="0" w:color="auto"/>
          </w:divBdr>
          <w:divsChild>
            <w:div w:id="975991065">
              <w:marLeft w:val="0"/>
              <w:marRight w:val="0"/>
              <w:marTop w:val="100"/>
              <w:marBottom w:val="100"/>
              <w:divBdr>
                <w:top w:val="single" w:sz="2" w:space="0" w:color="D9D9E3"/>
                <w:left w:val="single" w:sz="2" w:space="0" w:color="D9D9E3"/>
                <w:bottom w:val="single" w:sz="2" w:space="0" w:color="D9D9E3"/>
                <w:right w:val="single" w:sz="2" w:space="0" w:color="D9D9E3"/>
              </w:divBdr>
              <w:divsChild>
                <w:div w:id="913317232">
                  <w:marLeft w:val="0"/>
                  <w:marRight w:val="0"/>
                  <w:marTop w:val="0"/>
                  <w:marBottom w:val="0"/>
                  <w:divBdr>
                    <w:top w:val="single" w:sz="2" w:space="0" w:color="D9D9E3"/>
                    <w:left w:val="single" w:sz="2" w:space="0" w:color="D9D9E3"/>
                    <w:bottom w:val="single" w:sz="2" w:space="0" w:color="D9D9E3"/>
                    <w:right w:val="single" w:sz="2" w:space="0" w:color="D9D9E3"/>
                  </w:divBdr>
                  <w:divsChild>
                    <w:div w:id="5360400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55762538">
                  <w:marLeft w:val="0"/>
                  <w:marRight w:val="0"/>
                  <w:marTop w:val="0"/>
                  <w:marBottom w:val="0"/>
                  <w:divBdr>
                    <w:top w:val="single" w:sz="2" w:space="0" w:color="D9D9E3"/>
                    <w:left w:val="single" w:sz="2" w:space="0" w:color="D9D9E3"/>
                    <w:bottom w:val="single" w:sz="2" w:space="0" w:color="D9D9E3"/>
                    <w:right w:val="single" w:sz="2" w:space="0" w:color="D9D9E3"/>
                  </w:divBdr>
                  <w:divsChild>
                    <w:div w:id="1109810565">
                      <w:marLeft w:val="0"/>
                      <w:marRight w:val="0"/>
                      <w:marTop w:val="0"/>
                      <w:marBottom w:val="0"/>
                      <w:divBdr>
                        <w:top w:val="single" w:sz="2" w:space="0" w:color="D9D9E3"/>
                        <w:left w:val="single" w:sz="2" w:space="0" w:color="D9D9E3"/>
                        <w:bottom w:val="single" w:sz="2" w:space="0" w:color="D9D9E3"/>
                        <w:right w:val="single" w:sz="2" w:space="0" w:color="D9D9E3"/>
                      </w:divBdr>
                      <w:divsChild>
                        <w:div w:id="1436098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2038212">
          <w:marLeft w:val="0"/>
          <w:marRight w:val="0"/>
          <w:marTop w:val="0"/>
          <w:marBottom w:val="0"/>
          <w:divBdr>
            <w:top w:val="single" w:sz="2" w:space="0" w:color="auto"/>
            <w:left w:val="single" w:sz="2" w:space="0" w:color="auto"/>
            <w:bottom w:val="single" w:sz="6" w:space="0" w:color="auto"/>
            <w:right w:val="single" w:sz="2" w:space="0" w:color="auto"/>
          </w:divBdr>
          <w:divsChild>
            <w:div w:id="762990145">
              <w:marLeft w:val="0"/>
              <w:marRight w:val="0"/>
              <w:marTop w:val="100"/>
              <w:marBottom w:val="100"/>
              <w:divBdr>
                <w:top w:val="single" w:sz="2" w:space="0" w:color="D9D9E3"/>
                <w:left w:val="single" w:sz="2" w:space="0" w:color="D9D9E3"/>
                <w:bottom w:val="single" w:sz="2" w:space="0" w:color="D9D9E3"/>
                <w:right w:val="single" w:sz="2" w:space="0" w:color="D9D9E3"/>
              </w:divBdr>
              <w:divsChild>
                <w:div w:id="1305356474">
                  <w:marLeft w:val="0"/>
                  <w:marRight w:val="0"/>
                  <w:marTop w:val="0"/>
                  <w:marBottom w:val="0"/>
                  <w:divBdr>
                    <w:top w:val="single" w:sz="2" w:space="0" w:color="D9D9E3"/>
                    <w:left w:val="single" w:sz="2" w:space="0" w:color="D9D9E3"/>
                    <w:bottom w:val="single" w:sz="2" w:space="0" w:color="D9D9E3"/>
                    <w:right w:val="single" w:sz="2" w:space="0" w:color="D9D9E3"/>
                  </w:divBdr>
                  <w:divsChild>
                    <w:div w:id="1038175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04569712">
                  <w:marLeft w:val="0"/>
                  <w:marRight w:val="0"/>
                  <w:marTop w:val="0"/>
                  <w:marBottom w:val="0"/>
                  <w:divBdr>
                    <w:top w:val="single" w:sz="2" w:space="0" w:color="D9D9E3"/>
                    <w:left w:val="single" w:sz="2" w:space="0" w:color="D9D9E3"/>
                    <w:bottom w:val="single" w:sz="2" w:space="0" w:color="D9D9E3"/>
                    <w:right w:val="single" w:sz="2" w:space="0" w:color="D9D9E3"/>
                  </w:divBdr>
                  <w:divsChild>
                    <w:div w:id="675227599">
                      <w:marLeft w:val="0"/>
                      <w:marRight w:val="0"/>
                      <w:marTop w:val="0"/>
                      <w:marBottom w:val="0"/>
                      <w:divBdr>
                        <w:top w:val="single" w:sz="2" w:space="0" w:color="D9D9E3"/>
                        <w:left w:val="single" w:sz="2" w:space="0" w:color="D9D9E3"/>
                        <w:bottom w:val="single" w:sz="2" w:space="0" w:color="D9D9E3"/>
                        <w:right w:val="single" w:sz="2" w:space="0" w:color="D9D9E3"/>
                      </w:divBdr>
                      <w:divsChild>
                        <w:div w:id="1718236638">
                          <w:marLeft w:val="0"/>
                          <w:marRight w:val="0"/>
                          <w:marTop w:val="0"/>
                          <w:marBottom w:val="0"/>
                          <w:divBdr>
                            <w:top w:val="single" w:sz="2" w:space="0" w:color="D9D9E3"/>
                            <w:left w:val="single" w:sz="2" w:space="0" w:color="D9D9E3"/>
                            <w:bottom w:val="single" w:sz="2" w:space="0" w:color="D9D9E3"/>
                            <w:right w:val="single" w:sz="2" w:space="0" w:color="D9D9E3"/>
                          </w:divBdr>
                          <w:divsChild>
                            <w:div w:id="787505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96226749">
          <w:marLeft w:val="0"/>
          <w:marRight w:val="0"/>
          <w:marTop w:val="0"/>
          <w:marBottom w:val="0"/>
          <w:divBdr>
            <w:top w:val="single" w:sz="2" w:space="0" w:color="auto"/>
            <w:left w:val="single" w:sz="2" w:space="0" w:color="auto"/>
            <w:bottom w:val="single" w:sz="6" w:space="0" w:color="auto"/>
            <w:right w:val="single" w:sz="2" w:space="0" w:color="auto"/>
          </w:divBdr>
          <w:divsChild>
            <w:div w:id="1699701604">
              <w:marLeft w:val="0"/>
              <w:marRight w:val="0"/>
              <w:marTop w:val="100"/>
              <w:marBottom w:val="100"/>
              <w:divBdr>
                <w:top w:val="single" w:sz="2" w:space="0" w:color="D9D9E3"/>
                <w:left w:val="single" w:sz="2" w:space="0" w:color="D9D9E3"/>
                <w:bottom w:val="single" w:sz="2" w:space="0" w:color="D9D9E3"/>
                <w:right w:val="single" w:sz="2" w:space="0" w:color="D9D9E3"/>
              </w:divBdr>
              <w:divsChild>
                <w:div w:id="1392999073">
                  <w:marLeft w:val="0"/>
                  <w:marRight w:val="0"/>
                  <w:marTop w:val="0"/>
                  <w:marBottom w:val="0"/>
                  <w:divBdr>
                    <w:top w:val="single" w:sz="2" w:space="0" w:color="D9D9E3"/>
                    <w:left w:val="single" w:sz="2" w:space="0" w:color="D9D9E3"/>
                    <w:bottom w:val="single" w:sz="2" w:space="0" w:color="D9D9E3"/>
                    <w:right w:val="single" w:sz="2" w:space="0" w:color="D9D9E3"/>
                  </w:divBdr>
                  <w:divsChild>
                    <w:div w:id="335351745">
                      <w:marLeft w:val="0"/>
                      <w:marRight w:val="0"/>
                      <w:marTop w:val="0"/>
                      <w:marBottom w:val="0"/>
                      <w:divBdr>
                        <w:top w:val="single" w:sz="2" w:space="0" w:color="D9D9E3"/>
                        <w:left w:val="single" w:sz="2" w:space="0" w:color="D9D9E3"/>
                        <w:bottom w:val="single" w:sz="2" w:space="0" w:color="D9D9E3"/>
                        <w:right w:val="single" w:sz="2" w:space="0" w:color="D9D9E3"/>
                      </w:divBdr>
                    </w:div>
                    <w:div w:id="19431509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12935738">
                  <w:marLeft w:val="0"/>
                  <w:marRight w:val="0"/>
                  <w:marTop w:val="0"/>
                  <w:marBottom w:val="0"/>
                  <w:divBdr>
                    <w:top w:val="single" w:sz="2" w:space="0" w:color="D9D9E3"/>
                    <w:left w:val="single" w:sz="2" w:space="0" w:color="D9D9E3"/>
                    <w:bottom w:val="single" w:sz="2" w:space="0" w:color="D9D9E3"/>
                    <w:right w:val="single" w:sz="2" w:space="0" w:color="D9D9E3"/>
                  </w:divBdr>
                  <w:divsChild>
                    <w:div w:id="702634319">
                      <w:marLeft w:val="0"/>
                      <w:marRight w:val="0"/>
                      <w:marTop w:val="0"/>
                      <w:marBottom w:val="0"/>
                      <w:divBdr>
                        <w:top w:val="single" w:sz="2" w:space="0" w:color="D9D9E3"/>
                        <w:left w:val="single" w:sz="2" w:space="0" w:color="D9D9E3"/>
                        <w:bottom w:val="single" w:sz="2" w:space="0" w:color="D9D9E3"/>
                        <w:right w:val="single" w:sz="2" w:space="0" w:color="D9D9E3"/>
                      </w:divBdr>
                      <w:divsChild>
                        <w:div w:id="735325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31342753">
          <w:marLeft w:val="0"/>
          <w:marRight w:val="0"/>
          <w:marTop w:val="0"/>
          <w:marBottom w:val="0"/>
          <w:divBdr>
            <w:top w:val="single" w:sz="2" w:space="0" w:color="auto"/>
            <w:left w:val="single" w:sz="2" w:space="0" w:color="auto"/>
            <w:bottom w:val="single" w:sz="6" w:space="0" w:color="auto"/>
            <w:right w:val="single" w:sz="2" w:space="0" w:color="auto"/>
          </w:divBdr>
          <w:divsChild>
            <w:div w:id="1742097820">
              <w:marLeft w:val="0"/>
              <w:marRight w:val="0"/>
              <w:marTop w:val="100"/>
              <w:marBottom w:val="100"/>
              <w:divBdr>
                <w:top w:val="single" w:sz="2" w:space="0" w:color="D9D9E3"/>
                <w:left w:val="single" w:sz="2" w:space="0" w:color="D9D9E3"/>
                <w:bottom w:val="single" w:sz="2" w:space="0" w:color="D9D9E3"/>
                <w:right w:val="single" w:sz="2" w:space="0" w:color="D9D9E3"/>
              </w:divBdr>
              <w:divsChild>
                <w:div w:id="821309054">
                  <w:marLeft w:val="0"/>
                  <w:marRight w:val="0"/>
                  <w:marTop w:val="0"/>
                  <w:marBottom w:val="0"/>
                  <w:divBdr>
                    <w:top w:val="single" w:sz="2" w:space="0" w:color="D9D9E3"/>
                    <w:left w:val="single" w:sz="2" w:space="0" w:color="D9D9E3"/>
                    <w:bottom w:val="single" w:sz="2" w:space="0" w:color="D9D9E3"/>
                    <w:right w:val="single" w:sz="2" w:space="0" w:color="D9D9E3"/>
                  </w:divBdr>
                  <w:divsChild>
                    <w:div w:id="15764749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88124511">
                  <w:marLeft w:val="0"/>
                  <w:marRight w:val="0"/>
                  <w:marTop w:val="0"/>
                  <w:marBottom w:val="0"/>
                  <w:divBdr>
                    <w:top w:val="single" w:sz="2" w:space="0" w:color="D9D9E3"/>
                    <w:left w:val="single" w:sz="2" w:space="0" w:color="D9D9E3"/>
                    <w:bottom w:val="single" w:sz="2" w:space="0" w:color="D9D9E3"/>
                    <w:right w:val="single" w:sz="2" w:space="0" w:color="D9D9E3"/>
                  </w:divBdr>
                  <w:divsChild>
                    <w:div w:id="1386488825">
                      <w:marLeft w:val="0"/>
                      <w:marRight w:val="0"/>
                      <w:marTop w:val="0"/>
                      <w:marBottom w:val="0"/>
                      <w:divBdr>
                        <w:top w:val="single" w:sz="2" w:space="0" w:color="D9D9E3"/>
                        <w:left w:val="single" w:sz="2" w:space="0" w:color="D9D9E3"/>
                        <w:bottom w:val="single" w:sz="2" w:space="0" w:color="D9D9E3"/>
                        <w:right w:val="single" w:sz="2" w:space="0" w:color="D9D9E3"/>
                      </w:divBdr>
                      <w:divsChild>
                        <w:div w:id="1801458918">
                          <w:marLeft w:val="0"/>
                          <w:marRight w:val="0"/>
                          <w:marTop w:val="0"/>
                          <w:marBottom w:val="0"/>
                          <w:divBdr>
                            <w:top w:val="single" w:sz="2" w:space="0" w:color="D9D9E3"/>
                            <w:left w:val="single" w:sz="2" w:space="0" w:color="D9D9E3"/>
                            <w:bottom w:val="single" w:sz="2" w:space="0" w:color="D9D9E3"/>
                            <w:right w:val="single" w:sz="2" w:space="0" w:color="D9D9E3"/>
                          </w:divBdr>
                          <w:divsChild>
                            <w:div w:id="2115900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33155434">
          <w:marLeft w:val="0"/>
          <w:marRight w:val="0"/>
          <w:marTop w:val="0"/>
          <w:marBottom w:val="0"/>
          <w:divBdr>
            <w:top w:val="single" w:sz="2" w:space="0" w:color="auto"/>
            <w:left w:val="single" w:sz="2" w:space="0" w:color="auto"/>
            <w:bottom w:val="single" w:sz="6" w:space="0" w:color="auto"/>
            <w:right w:val="single" w:sz="2" w:space="0" w:color="auto"/>
          </w:divBdr>
          <w:divsChild>
            <w:div w:id="1769501762">
              <w:marLeft w:val="0"/>
              <w:marRight w:val="0"/>
              <w:marTop w:val="100"/>
              <w:marBottom w:val="100"/>
              <w:divBdr>
                <w:top w:val="single" w:sz="2" w:space="0" w:color="D9D9E3"/>
                <w:left w:val="single" w:sz="2" w:space="0" w:color="D9D9E3"/>
                <w:bottom w:val="single" w:sz="2" w:space="0" w:color="D9D9E3"/>
                <w:right w:val="single" w:sz="2" w:space="0" w:color="D9D9E3"/>
              </w:divBdr>
              <w:divsChild>
                <w:div w:id="33311703">
                  <w:marLeft w:val="0"/>
                  <w:marRight w:val="0"/>
                  <w:marTop w:val="0"/>
                  <w:marBottom w:val="0"/>
                  <w:divBdr>
                    <w:top w:val="single" w:sz="2" w:space="0" w:color="D9D9E3"/>
                    <w:left w:val="single" w:sz="2" w:space="0" w:color="D9D9E3"/>
                    <w:bottom w:val="single" w:sz="2" w:space="0" w:color="D9D9E3"/>
                    <w:right w:val="single" w:sz="2" w:space="0" w:color="D9D9E3"/>
                  </w:divBdr>
                  <w:divsChild>
                    <w:div w:id="3469053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75290083">
                  <w:marLeft w:val="0"/>
                  <w:marRight w:val="0"/>
                  <w:marTop w:val="0"/>
                  <w:marBottom w:val="0"/>
                  <w:divBdr>
                    <w:top w:val="single" w:sz="2" w:space="0" w:color="D9D9E3"/>
                    <w:left w:val="single" w:sz="2" w:space="0" w:color="D9D9E3"/>
                    <w:bottom w:val="single" w:sz="2" w:space="0" w:color="D9D9E3"/>
                    <w:right w:val="single" w:sz="2" w:space="0" w:color="D9D9E3"/>
                  </w:divBdr>
                  <w:divsChild>
                    <w:div w:id="1464229313">
                      <w:marLeft w:val="0"/>
                      <w:marRight w:val="0"/>
                      <w:marTop w:val="0"/>
                      <w:marBottom w:val="0"/>
                      <w:divBdr>
                        <w:top w:val="single" w:sz="2" w:space="0" w:color="D9D9E3"/>
                        <w:left w:val="single" w:sz="2" w:space="0" w:color="D9D9E3"/>
                        <w:bottom w:val="single" w:sz="2" w:space="0" w:color="D9D9E3"/>
                        <w:right w:val="single" w:sz="2" w:space="0" w:color="D9D9E3"/>
                      </w:divBdr>
                      <w:divsChild>
                        <w:div w:id="606079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4875423">
          <w:marLeft w:val="0"/>
          <w:marRight w:val="0"/>
          <w:marTop w:val="0"/>
          <w:marBottom w:val="0"/>
          <w:divBdr>
            <w:top w:val="single" w:sz="2" w:space="0" w:color="auto"/>
            <w:left w:val="single" w:sz="2" w:space="0" w:color="auto"/>
            <w:bottom w:val="single" w:sz="6" w:space="0" w:color="auto"/>
            <w:right w:val="single" w:sz="2" w:space="0" w:color="auto"/>
          </w:divBdr>
          <w:divsChild>
            <w:div w:id="1343169467">
              <w:marLeft w:val="0"/>
              <w:marRight w:val="0"/>
              <w:marTop w:val="100"/>
              <w:marBottom w:val="100"/>
              <w:divBdr>
                <w:top w:val="single" w:sz="2" w:space="0" w:color="D9D9E3"/>
                <w:left w:val="single" w:sz="2" w:space="0" w:color="D9D9E3"/>
                <w:bottom w:val="single" w:sz="2" w:space="0" w:color="D9D9E3"/>
                <w:right w:val="single" w:sz="2" w:space="0" w:color="D9D9E3"/>
              </w:divBdr>
              <w:divsChild>
                <w:div w:id="484204643">
                  <w:marLeft w:val="0"/>
                  <w:marRight w:val="0"/>
                  <w:marTop w:val="0"/>
                  <w:marBottom w:val="0"/>
                  <w:divBdr>
                    <w:top w:val="single" w:sz="2" w:space="0" w:color="D9D9E3"/>
                    <w:left w:val="single" w:sz="2" w:space="0" w:color="D9D9E3"/>
                    <w:bottom w:val="single" w:sz="2" w:space="0" w:color="D9D9E3"/>
                    <w:right w:val="single" w:sz="2" w:space="0" w:color="D9D9E3"/>
                  </w:divBdr>
                  <w:divsChild>
                    <w:div w:id="1595286705">
                      <w:marLeft w:val="0"/>
                      <w:marRight w:val="0"/>
                      <w:marTop w:val="0"/>
                      <w:marBottom w:val="0"/>
                      <w:divBdr>
                        <w:top w:val="single" w:sz="2" w:space="0" w:color="D9D9E3"/>
                        <w:left w:val="single" w:sz="2" w:space="0" w:color="D9D9E3"/>
                        <w:bottom w:val="single" w:sz="2" w:space="0" w:color="D9D9E3"/>
                        <w:right w:val="single" w:sz="2" w:space="0" w:color="D9D9E3"/>
                      </w:divBdr>
                      <w:divsChild>
                        <w:div w:id="1620064049">
                          <w:marLeft w:val="0"/>
                          <w:marRight w:val="0"/>
                          <w:marTop w:val="0"/>
                          <w:marBottom w:val="0"/>
                          <w:divBdr>
                            <w:top w:val="single" w:sz="2" w:space="0" w:color="D9D9E3"/>
                            <w:left w:val="single" w:sz="2" w:space="0" w:color="D9D9E3"/>
                            <w:bottom w:val="single" w:sz="2" w:space="0" w:color="D9D9E3"/>
                            <w:right w:val="single" w:sz="2" w:space="0" w:color="D9D9E3"/>
                          </w:divBdr>
                          <w:divsChild>
                            <w:div w:id="150684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96508159">
          <w:marLeft w:val="0"/>
          <w:marRight w:val="0"/>
          <w:marTop w:val="0"/>
          <w:marBottom w:val="0"/>
          <w:divBdr>
            <w:top w:val="single" w:sz="2" w:space="0" w:color="auto"/>
            <w:left w:val="single" w:sz="2" w:space="0" w:color="auto"/>
            <w:bottom w:val="single" w:sz="6" w:space="0" w:color="auto"/>
            <w:right w:val="single" w:sz="2" w:space="0" w:color="auto"/>
          </w:divBdr>
          <w:divsChild>
            <w:div w:id="809857711">
              <w:marLeft w:val="0"/>
              <w:marRight w:val="0"/>
              <w:marTop w:val="100"/>
              <w:marBottom w:val="100"/>
              <w:divBdr>
                <w:top w:val="single" w:sz="2" w:space="0" w:color="D9D9E3"/>
                <w:left w:val="single" w:sz="2" w:space="0" w:color="D9D9E3"/>
                <w:bottom w:val="single" w:sz="2" w:space="0" w:color="D9D9E3"/>
                <w:right w:val="single" w:sz="2" w:space="0" w:color="D9D9E3"/>
              </w:divBdr>
              <w:divsChild>
                <w:div w:id="1813910188">
                  <w:marLeft w:val="0"/>
                  <w:marRight w:val="0"/>
                  <w:marTop w:val="0"/>
                  <w:marBottom w:val="0"/>
                  <w:divBdr>
                    <w:top w:val="single" w:sz="2" w:space="0" w:color="D9D9E3"/>
                    <w:left w:val="single" w:sz="2" w:space="0" w:color="D9D9E3"/>
                    <w:bottom w:val="single" w:sz="2" w:space="0" w:color="D9D9E3"/>
                    <w:right w:val="single" w:sz="2" w:space="0" w:color="D9D9E3"/>
                  </w:divBdr>
                  <w:divsChild>
                    <w:div w:id="636881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8649665">
                  <w:marLeft w:val="0"/>
                  <w:marRight w:val="0"/>
                  <w:marTop w:val="0"/>
                  <w:marBottom w:val="0"/>
                  <w:divBdr>
                    <w:top w:val="single" w:sz="2" w:space="0" w:color="D9D9E3"/>
                    <w:left w:val="single" w:sz="2" w:space="0" w:color="D9D9E3"/>
                    <w:bottom w:val="single" w:sz="2" w:space="0" w:color="D9D9E3"/>
                    <w:right w:val="single" w:sz="2" w:space="0" w:color="D9D9E3"/>
                  </w:divBdr>
                  <w:divsChild>
                    <w:div w:id="1595018505">
                      <w:marLeft w:val="0"/>
                      <w:marRight w:val="0"/>
                      <w:marTop w:val="0"/>
                      <w:marBottom w:val="0"/>
                      <w:divBdr>
                        <w:top w:val="single" w:sz="2" w:space="0" w:color="D9D9E3"/>
                        <w:left w:val="single" w:sz="2" w:space="0" w:color="D9D9E3"/>
                        <w:bottom w:val="single" w:sz="2" w:space="0" w:color="D9D9E3"/>
                        <w:right w:val="single" w:sz="2" w:space="0" w:color="D9D9E3"/>
                      </w:divBdr>
                      <w:divsChild>
                        <w:div w:id="1413429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96528558">
          <w:marLeft w:val="0"/>
          <w:marRight w:val="0"/>
          <w:marTop w:val="0"/>
          <w:marBottom w:val="0"/>
          <w:divBdr>
            <w:top w:val="single" w:sz="2" w:space="0" w:color="auto"/>
            <w:left w:val="single" w:sz="2" w:space="0" w:color="auto"/>
            <w:bottom w:val="single" w:sz="6" w:space="0" w:color="auto"/>
            <w:right w:val="single" w:sz="2" w:space="0" w:color="auto"/>
          </w:divBdr>
          <w:divsChild>
            <w:div w:id="1576742279">
              <w:marLeft w:val="0"/>
              <w:marRight w:val="0"/>
              <w:marTop w:val="100"/>
              <w:marBottom w:val="100"/>
              <w:divBdr>
                <w:top w:val="single" w:sz="2" w:space="0" w:color="D9D9E3"/>
                <w:left w:val="single" w:sz="2" w:space="0" w:color="D9D9E3"/>
                <w:bottom w:val="single" w:sz="2" w:space="0" w:color="D9D9E3"/>
                <w:right w:val="single" w:sz="2" w:space="0" w:color="D9D9E3"/>
              </w:divBdr>
              <w:divsChild>
                <w:div w:id="849292310">
                  <w:marLeft w:val="0"/>
                  <w:marRight w:val="0"/>
                  <w:marTop w:val="0"/>
                  <w:marBottom w:val="0"/>
                  <w:divBdr>
                    <w:top w:val="single" w:sz="2" w:space="0" w:color="D9D9E3"/>
                    <w:left w:val="single" w:sz="2" w:space="0" w:color="D9D9E3"/>
                    <w:bottom w:val="single" w:sz="2" w:space="0" w:color="D9D9E3"/>
                    <w:right w:val="single" w:sz="2" w:space="0" w:color="D9D9E3"/>
                  </w:divBdr>
                  <w:divsChild>
                    <w:div w:id="1817188728">
                      <w:marLeft w:val="0"/>
                      <w:marRight w:val="0"/>
                      <w:marTop w:val="0"/>
                      <w:marBottom w:val="0"/>
                      <w:divBdr>
                        <w:top w:val="single" w:sz="2" w:space="0" w:color="D9D9E3"/>
                        <w:left w:val="single" w:sz="2" w:space="0" w:color="D9D9E3"/>
                        <w:bottom w:val="single" w:sz="2" w:space="0" w:color="D9D9E3"/>
                        <w:right w:val="single" w:sz="2" w:space="0" w:color="D9D9E3"/>
                      </w:divBdr>
                      <w:divsChild>
                        <w:div w:id="1615481097">
                          <w:marLeft w:val="0"/>
                          <w:marRight w:val="0"/>
                          <w:marTop w:val="0"/>
                          <w:marBottom w:val="0"/>
                          <w:divBdr>
                            <w:top w:val="single" w:sz="2" w:space="0" w:color="D9D9E3"/>
                            <w:left w:val="single" w:sz="2" w:space="0" w:color="D9D9E3"/>
                            <w:bottom w:val="single" w:sz="2" w:space="0" w:color="D9D9E3"/>
                            <w:right w:val="single" w:sz="2" w:space="0" w:color="D9D9E3"/>
                          </w:divBdr>
                          <w:divsChild>
                            <w:div w:id="10143022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00868252">
      <w:bodyDiv w:val="1"/>
      <w:marLeft w:val="0"/>
      <w:marRight w:val="0"/>
      <w:marTop w:val="0"/>
      <w:marBottom w:val="0"/>
      <w:divBdr>
        <w:top w:val="none" w:sz="0" w:space="0" w:color="auto"/>
        <w:left w:val="none" w:sz="0" w:space="0" w:color="auto"/>
        <w:bottom w:val="none" w:sz="0" w:space="0" w:color="auto"/>
        <w:right w:val="none" w:sz="0" w:space="0" w:color="auto"/>
      </w:divBdr>
    </w:div>
    <w:div w:id="1827935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trust.org.uk/resource/peak-leaving-a-spotlight-on-nurse-leaver-rates-in-the-uk" TargetMode="External"/><Relationship Id="rId3" Type="http://schemas.openxmlformats.org/officeDocument/2006/relationships/styles" Target="styles.xml"/><Relationship Id="rId7" Type="http://schemas.openxmlformats.org/officeDocument/2006/relationships/hyperlink" Target="https://improvement.nhs.uk/documents/2829/July-2021-to-June-2022-prov-nhs-workforce-stat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igital.nhs.uk/data-and-information/publications/statistical/nhs-vacancies-survey"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cn.org.uk/professional-development/research-and-innovation/policy-briefings-and-reports/workforce-survey-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6947C-21EA-2F45-A0AC-8E7C898E3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2848</TotalTime>
  <Pages>1</Pages>
  <Words>3335</Words>
  <Characters>19011</Characters>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2023-04-28T18:02:00Z</dcterms:created>
  <dcterms:modified xsi:type="dcterms:W3CDTF">2023-04-30T19:45:00Z</dcterms:modified>
</cp:coreProperties>
</file>