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A76459" w14:textId="77777777" w:rsidR="00563B51" w:rsidRDefault="00563B51">
      <w:pPr>
        <w:spacing w:after="2000"/>
      </w:pPr>
    </w:p>
    <w:p w14:paraId="6BC197A6" w14:textId="77777777" w:rsidR="00563B51" w:rsidRDefault="00F27550">
      <w:pPr>
        <w:spacing w:after="400"/>
        <w:jc w:val="center"/>
      </w:pPr>
      <w:r>
        <w:rPr>
          <w:rFonts w:ascii="Arial" w:eastAsia="Arial" w:hAnsi="Arial" w:cs="Arial"/>
          <w:b/>
          <w:bCs/>
          <w:sz w:val="32"/>
          <w:szCs w:val="32"/>
        </w:rPr>
        <w:t>Gender and Health Inequalities; and an Epidemiological Analysis of Hypertension</w:t>
      </w:r>
    </w:p>
    <w:p w14:paraId="7CE3BC1A" w14:textId="5A88AA80" w:rsidR="00563B51" w:rsidRPr="00A12963" w:rsidRDefault="00F27550">
      <w:pPr>
        <w:spacing w:after="800"/>
        <w:jc w:val="center"/>
        <w:rPr>
          <w:b/>
          <w:bCs/>
        </w:rPr>
      </w:pPr>
      <w:r w:rsidRPr="00A12963">
        <w:rPr>
          <w:rFonts w:ascii="Arial" w:eastAsia="Arial" w:hAnsi="Arial" w:cs="Arial"/>
          <w:b/>
          <w:bCs/>
          <w:sz w:val="24"/>
          <w:szCs w:val="24"/>
        </w:rPr>
        <w:t>LCHS700</w:t>
      </w:r>
      <w:r w:rsidR="00A12963">
        <w:rPr>
          <w:rFonts w:ascii="Arial" w:eastAsia="Arial" w:hAnsi="Arial" w:cs="Arial"/>
          <w:b/>
          <w:bCs/>
          <w:sz w:val="24"/>
          <w:szCs w:val="24"/>
        </w:rPr>
        <w:t>0</w:t>
      </w:r>
      <w:r w:rsidRPr="00A12963">
        <w:rPr>
          <w:rFonts w:ascii="Arial" w:eastAsia="Arial" w:hAnsi="Arial" w:cs="Arial"/>
          <w:b/>
          <w:bCs/>
          <w:sz w:val="24"/>
          <w:szCs w:val="24"/>
        </w:rPr>
        <w:t xml:space="preserve">: </w:t>
      </w:r>
      <w:r w:rsidR="00A12963">
        <w:rPr>
          <w:rFonts w:ascii="Arial" w:eastAsia="Arial" w:hAnsi="Arial" w:cs="Arial"/>
          <w:b/>
          <w:bCs/>
          <w:sz w:val="24"/>
          <w:szCs w:val="24"/>
        </w:rPr>
        <w:t xml:space="preserve">social epidemiology and public health development </w:t>
      </w:r>
    </w:p>
    <w:p w14:paraId="47B43AF0" w14:textId="77777777" w:rsidR="00563B51" w:rsidRPr="00A12963" w:rsidRDefault="00F27550">
      <w:pPr>
        <w:spacing w:after="200"/>
        <w:jc w:val="center"/>
        <w:rPr>
          <w:b/>
          <w:bCs/>
        </w:rPr>
      </w:pPr>
      <w:r w:rsidRPr="00A12963">
        <w:rPr>
          <w:rFonts w:ascii="Arial" w:eastAsia="Arial" w:hAnsi="Arial" w:cs="Arial"/>
          <w:b/>
          <w:bCs/>
          <w:sz w:val="24"/>
          <w:szCs w:val="24"/>
        </w:rPr>
        <w:t>Name: Akhila Kancharla</w:t>
      </w:r>
    </w:p>
    <w:p w14:paraId="6845EF03" w14:textId="4D4BC9CB" w:rsidR="00563B51" w:rsidRPr="00A12963" w:rsidRDefault="00F27550">
      <w:pPr>
        <w:spacing w:after="200"/>
        <w:jc w:val="center"/>
        <w:rPr>
          <w:b/>
          <w:bCs/>
        </w:rPr>
      </w:pPr>
      <w:r w:rsidRPr="00A12963">
        <w:rPr>
          <w:rFonts w:ascii="Arial" w:eastAsia="Arial" w:hAnsi="Arial" w:cs="Arial"/>
          <w:b/>
          <w:bCs/>
          <w:sz w:val="24"/>
          <w:szCs w:val="24"/>
        </w:rPr>
        <w:t>Student Number:</w:t>
      </w:r>
      <w:r w:rsidR="00A12963">
        <w:rPr>
          <w:rFonts w:ascii="Arial" w:eastAsia="Arial" w:hAnsi="Arial" w:cs="Arial"/>
          <w:b/>
          <w:bCs/>
          <w:sz w:val="24"/>
          <w:szCs w:val="24"/>
        </w:rPr>
        <w:t>2526734</w:t>
      </w:r>
    </w:p>
    <w:p w14:paraId="5DEF4085" w14:textId="0CB3A113" w:rsidR="00563B51" w:rsidRPr="00A12963" w:rsidRDefault="00F27550">
      <w:pPr>
        <w:spacing w:after="200"/>
        <w:jc w:val="center"/>
        <w:rPr>
          <w:b/>
          <w:bCs/>
        </w:rPr>
      </w:pPr>
      <w:r w:rsidRPr="00A12963">
        <w:rPr>
          <w:rFonts w:ascii="Arial" w:eastAsia="Arial" w:hAnsi="Arial" w:cs="Arial"/>
          <w:b/>
          <w:bCs/>
          <w:sz w:val="24"/>
          <w:szCs w:val="24"/>
        </w:rPr>
        <w:t>Module Code and Title: LCHS700</w:t>
      </w:r>
      <w:r w:rsidR="00A12963">
        <w:rPr>
          <w:rFonts w:ascii="Arial" w:eastAsia="Arial" w:hAnsi="Arial" w:cs="Arial"/>
          <w:b/>
          <w:bCs/>
          <w:sz w:val="24"/>
          <w:szCs w:val="24"/>
        </w:rPr>
        <w:t>0</w:t>
      </w:r>
      <w:r w:rsidRPr="00A12963">
        <w:rPr>
          <w:rFonts w:ascii="Arial" w:eastAsia="Arial" w:hAnsi="Arial" w:cs="Arial"/>
          <w:b/>
          <w:bCs/>
          <w:sz w:val="24"/>
          <w:szCs w:val="24"/>
        </w:rPr>
        <w:t xml:space="preserve"> — </w:t>
      </w:r>
      <w:r w:rsidR="00A12963">
        <w:rPr>
          <w:rFonts w:ascii="Arial" w:eastAsia="Arial" w:hAnsi="Arial" w:cs="Arial"/>
          <w:b/>
          <w:bCs/>
          <w:sz w:val="24"/>
          <w:szCs w:val="24"/>
        </w:rPr>
        <w:t xml:space="preserve">social epidemiology and public health development </w:t>
      </w:r>
    </w:p>
    <w:p w14:paraId="3E8B26E0" w14:textId="5CDB64CD" w:rsidR="00563B51" w:rsidRPr="00A12963" w:rsidRDefault="00F27550">
      <w:pPr>
        <w:spacing w:after="200"/>
        <w:jc w:val="center"/>
        <w:rPr>
          <w:b/>
          <w:bCs/>
        </w:rPr>
      </w:pPr>
      <w:r w:rsidRPr="00A12963">
        <w:rPr>
          <w:rFonts w:ascii="Arial" w:eastAsia="Arial" w:hAnsi="Arial" w:cs="Arial"/>
          <w:b/>
          <w:bCs/>
          <w:sz w:val="24"/>
          <w:szCs w:val="24"/>
        </w:rPr>
        <w:t xml:space="preserve">Lecturer: </w:t>
      </w:r>
      <w:r w:rsidR="00A12963">
        <w:rPr>
          <w:rFonts w:ascii="Arial" w:eastAsia="Arial" w:hAnsi="Arial" w:cs="Arial"/>
          <w:b/>
          <w:bCs/>
          <w:sz w:val="24"/>
          <w:szCs w:val="24"/>
        </w:rPr>
        <w:t xml:space="preserve">Muhammad </w:t>
      </w:r>
      <w:r w:rsidR="005E131C">
        <w:rPr>
          <w:rFonts w:ascii="Arial" w:eastAsia="Arial" w:hAnsi="Arial" w:cs="Arial"/>
          <w:b/>
          <w:bCs/>
          <w:sz w:val="24"/>
          <w:szCs w:val="24"/>
        </w:rPr>
        <w:t>A</w:t>
      </w:r>
      <w:r w:rsidR="00A12963">
        <w:rPr>
          <w:rFonts w:ascii="Arial" w:eastAsia="Arial" w:hAnsi="Arial" w:cs="Arial"/>
          <w:b/>
          <w:bCs/>
          <w:sz w:val="24"/>
          <w:szCs w:val="24"/>
        </w:rPr>
        <w:t>liyu</w:t>
      </w:r>
    </w:p>
    <w:p w14:paraId="7B5F432D" w14:textId="77777777" w:rsidR="00563B51" w:rsidRPr="00A12963" w:rsidRDefault="00F27550">
      <w:pPr>
        <w:spacing w:after="200"/>
        <w:jc w:val="center"/>
        <w:rPr>
          <w:b/>
          <w:bCs/>
        </w:rPr>
      </w:pPr>
      <w:r w:rsidRPr="00A12963">
        <w:rPr>
          <w:rFonts w:ascii="Arial" w:eastAsia="Arial" w:hAnsi="Arial" w:cs="Arial"/>
          <w:b/>
          <w:bCs/>
          <w:sz w:val="24"/>
          <w:szCs w:val="24"/>
        </w:rPr>
        <w:t>Assignment Title: Written Report — Task 1: Social Epidemiological Analysis; Task 2: Epidemiological Analysis</w:t>
      </w:r>
    </w:p>
    <w:p w14:paraId="10A11375" w14:textId="77777777" w:rsidR="00563B51" w:rsidRDefault="00F27550">
      <w:r>
        <w:br w:type="page"/>
      </w:r>
    </w:p>
    <w:p w14:paraId="0E741798" w14:textId="77777777" w:rsidR="00563B51" w:rsidRDefault="00F27550">
      <w:pPr>
        <w:pStyle w:val="Heading1"/>
        <w:spacing w:before="300" w:after="150"/>
      </w:pPr>
      <w:r>
        <w:rPr>
          <w:rFonts w:ascii="Arial" w:eastAsia="Arial" w:hAnsi="Arial" w:cs="Arial"/>
          <w:b/>
          <w:bCs/>
          <w:color w:val="000000"/>
          <w:sz w:val="26"/>
          <w:szCs w:val="26"/>
        </w:rPr>
        <w:lastRenderedPageBreak/>
        <w:t>Task 1: Social Epidemiological Analysis (1000 words)</w:t>
      </w:r>
    </w:p>
    <w:p w14:paraId="16B9DC84" w14:textId="77777777" w:rsidR="00563B51" w:rsidRDefault="00F27550">
      <w:pPr>
        <w:pStyle w:val="Heading2"/>
        <w:spacing w:before="200" w:after="100"/>
      </w:pPr>
      <w:r>
        <w:rPr>
          <w:rFonts w:ascii="Arial" w:eastAsia="Arial" w:hAnsi="Arial" w:cs="Arial"/>
          <w:b/>
          <w:bCs/>
          <w:color w:val="000000"/>
          <w:sz w:val="24"/>
          <w:szCs w:val="24"/>
        </w:rPr>
        <w:t>Gender Inequality in Health: A Social Epidemiological Analysis of Women in the United Kingdom</w:t>
      </w:r>
    </w:p>
    <w:p w14:paraId="734D7390" w14:textId="77777777" w:rsidR="00563B51" w:rsidRDefault="00F27550">
      <w:pPr>
        <w:pStyle w:val="Heading2"/>
        <w:spacing w:before="200" w:after="100"/>
      </w:pPr>
      <w:r>
        <w:rPr>
          <w:rFonts w:ascii="Arial" w:eastAsia="Arial" w:hAnsi="Arial" w:cs="Arial"/>
          <w:b/>
          <w:bCs/>
          <w:color w:val="000000"/>
          <w:sz w:val="24"/>
          <w:szCs w:val="24"/>
        </w:rPr>
        <w:t>Introduction</w:t>
      </w:r>
    </w:p>
    <w:p w14:paraId="7D5763AE" w14:textId="77777777" w:rsidR="00563B51" w:rsidRDefault="00F27550">
      <w:pPr>
        <w:spacing w:after="200" w:line="360" w:lineRule="auto"/>
        <w:jc w:val="both"/>
      </w:pPr>
      <w:r>
        <w:rPr>
          <w:rFonts w:ascii="Arial" w:eastAsia="Arial" w:hAnsi="Arial" w:cs="Arial"/>
          <w:sz w:val="22"/>
          <w:szCs w:val="22"/>
        </w:rPr>
        <w:t>The target group selected for this analysis is adult women in the United Kingdom. Although women in the UK live, on average, longer than men, they spend a greater proportion of their lives in poor health or disability, a pattern often described as the “gender health paradox” — women get sicker, but men die quicker (Bambra, Albani and Franklin, 2020). Despite making up half of the population, the UK currently ranks 104th globally on measures of the gender health gap, reflecting long-standing disparities in a</w:t>
      </w:r>
      <w:r>
        <w:rPr>
          <w:rFonts w:ascii="Arial" w:eastAsia="Arial" w:hAnsi="Arial" w:cs="Arial"/>
          <w:sz w:val="22"/>
          <w:szCs w:val="22"/>
        </w:rPr>
        <w:t>ccess to, and outcomes from, healthcare (LSE Public Policy Review, 2025). Women are at risk of health inequalities because clinical research, service design and diagnostic pathways have historically centred on male physiology, leaving female-specific and female-predominant conditions under-researched, under-funded and frequently dismissed in clinical encounters (House of Lords Library, 2021). This is compounded by social and economic disadvantage, including lower average earnings, caring responsibilities an</w:t>
      </w:r>
      <w:r>
        <w:rPr>
          <w:rFonts w:ascii="Arial" w:eastAsia="Arial" w:hAnsi="Arial" w:cs="Arial"/>
          <w:sz w:val="22"/>
          <w:szCs w:val="22"/>
        </w:rPr>
        <w:t>d exposure to gender-based violence, all of which are recognised social determinants of health.</w:t>
      </w:r>
    </w:p>
    <w:p w14:paraId="1C97FA88" w14:textId="77777777" w:rsidR="00563B51" w:rsidRDefault="00F27550">
      <w:pPr>
        <w:pStyle w:val="Heading2"/>
        <w:spacing w:before="200" w:after="100"/>
      </w:pPr>
      <w:r>
        <w:rPr>
          <w:rFonts w:ascii="Arial" w:eastAsia="Arial" w:hAnsi="Arial" w:cs="Arial"/>
          <w:b/>
          <w:bCs/>
          <w:color w:val="000000"/>
          <w:sz w:val="24"/>
          <w:szCs w:val="24"/>
        </w:rPr>
        <w:t>Contextual Background and Underlying Factors</w:t>
      </w:r>
    </w:p>
    <w:p w14:paraId="0D72F1AD" w14:textId="77777777" w:rsidR="00563B51" w:rsidRDefault="00F27550">
      <w:pPr>
        <w:spacing w:after="200" w:line="360" w:lineRule="auto"/>
        <w:jc w:val="both"/>
      </w:pPr>
      <w:r>
        <w:rPr>
          <w:rFonts w:ascii="Arial" w:eastAsia="Arial" w:hAnsi="Arial" w:cs="Arial"/>
          <w:sz w:val="22"/>
          <w:szCs w:val="22"/>
        </w:rPr>
        <w:t>Three disease/illness issues and three social issues have been identified as the most significant health inequalities facing women in the UK.</w:t>
      </w:r>
    </w:p>
    <w:p w14:paraId="0DAE2B27" w14:textId="77777777" w:rsidR="00563B51" w:rsidRDefault="00F27550">
      <w:pPr>
        <w:spacing w:before="150" w:after="100"/>
      </w:pPr>
      <w:r>
        <w:rPr>
          <w:rFonts w:ascii="Arial" w:eastAsia="Arial" w:hAnsi="Arial" w:cs="Arial"/>
          <w:b/>
          <w:bCs/>
          <w:sz w:val="22"/>
          <w:szCs w:val="22"/>
          <w:u w:val="single"/>
        </w:rPr>
        <w:t>1. Higher rates of common mental health disorders</w:t>
      </w:r>
    </w:p>
    <w:p w14:paraId="6DBA3E92" w14:textId="77777777" w:rsidR="00563B51" w:rsidRDefault="00F27550">
      <w:pPr>
        <w:spacing w:after="200" w:line="360" w:lineRule="auto"/>
        <w:jc w:val="both"/>
      </w:pPr>
      <w:r>
        <w:rPr>
          <w:rFonts w:ascii="Arial" w:eastAsia="Arial" w:hAnsi="Arial" w:cs="Arial"/>
          <w:sz w:val="22"/>
          <w:szCs w:val="22"/>
        </w:rPr>
        <w:t>Women are around twice as likely as men to be diagnosed with anxiety, and more than a quarter of young women report a common mental disorder compared with under one in ten young men (Mental Health Foundation, cited in University of Wolverhampton, 2023). This disparity is linked to lower incomes, caring responsibilities and higher rates of sexual abuse and domestic violence among women (British Medical Association, 2018, cited in University of Wolverhampton, 2023). Solutions include gender-informed mental he</w:t>
      </w:r>
      <w:r>
        <w:rPr>
          <w:rFonts w:ascii="Arial" w:eastAsia="Arial" w:hAnsi="Arial" w:cs="Arial"/>
          <w:sz w:val="22"/>
          <w:szCs w:val="22"/>
        </w:rPr>
        <w:t>alth services and earlier access to talking therapies through NHS Talking Therapies, alongside tackling the financial and caring pressures that drive distress.</w:t>
      </w:r>
    </w:p>
    <w:p w14:paraId="1CFF6B37" w14:textId="77777777" w:rsidR="00563B51" w:rsidRDefault="00F27550">
      <w:pPr>
        <w:spacing w:before="150" w:after="100"/>
      </w:pPr>
      <w:r>
        <w:rPr>
          <w:rFonts w:ascii="Arial" w:eastAsia="Arial" w:hAnsi="Arial" w:cs="Arial"/>
          <w:b/>
          <w:bCs/>
          <w:sz w:val="22"/>
          <w:szCs w:val="22"/>
          <w:u w:val="single"/>
        </w:rPr>
        <w:t>2. Misdiagnosis and undertreatment of cardiovascular disease</w:t>
      </w:r>
    </w:p>
    <w:p w14:paraId="0DC0E058" w14:textId="77777777" w:rsidR="00563B51" w:rsidRDefault="00F27550">
      <w:pPr>
        <w:spacing w:after="200" w:line="360" w:lineRule="auto"/>
        <w:jc w:val="both"/>
      </w:pPr>
      <w:r>
        <w:rPr>
          <w:rFonts w:ascii="Arial" w:eastAsia="Arial" w:hAnsi="Arial" w:cs="Arial"/>
          <w:sz w:val="22"/>
          <w:szCs w:val="22"/>
        </w:rPr>
        <w:t xml:space="preserve">Women are less likely to be admitted to hospital when reporting chest pain and have more than double the rate of death within 30 days of a heart attack compared with men (House of Commons Library, 2025). This reflects a historic evidence base built largely on male patients and clinician bias in symptom interpretation. Addressing this requires sex-disaggregated </w:t>
      </w:r>
      <w:r>
        <w:rPr>
          <w:rFonts w:ascii="Arial" w:eastAsia="Arial" w:hAnsi="Arial" w:cs="Arial"/>
          <w:sz w:val="22"/>
          <w:szCs w:val="22"/>
        </w:rPr>
        <w:lastRenderedPageBreak/>
        <w:t>clinical research and mandatory training on how cardiovascular disease presents differently in women.</w:t>
      </w:r>
    </w:p>
    <w:p w14:paraId="3B6B4EC2" w14:textId="77777777" w:rsidR="00563B51" w:rsidRDefault="00F27550">
      <w:pPr>
        <w:spacing w:before="150" w:after="100"/>
      </w:pPr>
      <w:r>
        <w:rPr>
          <w:rFonts w:ascii="Arial" w:eastAsia="Arial" w:hAnsi="Arial" w:cs="Arial"/>
          <w:b/>
          <w:bCs/>
          <w:sz w:val="22"/>
          <w:szCs w:val="22"/>
          <w:u w:val="single"/>
        </w:rPr>
        <w:t>3. Delayed diagnosis and long waits for gynaecological conditions</w:t>
      </w:r>
    </w:p>
    <w:p w14:paraId="1EB94A8F" w14:textId="77777777" w:rsidR="00563B51" w:rsidRDefault="00F27550">
      <w:pPr>
        <w:spacing w:after="200" w:line="360" w:lineRule="auto"/>
        <w:jc w:val="both"/>
      </w:pPr>
      <w:r>
        <w:rPr>
          <w:rFonts w:ascii="Arial" w:eastAsia="Arial" w:hAnsi="Arial" w:cs="Arial"/>
          <w:sz w:val="22"/>
          <w:szCs w:val="22"/>
        </w:rPr>
        <w:t>As of December 2024, almost 19,000 women had been waiting over 52 weeks for gynaecology care, with conditions such as endometriosis taking close to a decade to diagnose (House of Commons Library, 2025; RCOG, 2025). Waiting-list growth has been most severe in gynaecology of all elective specialities, worsening pain, disability and, in some cases, fertility outcomes (RCOG, 2025). Expansion of women's health hubs and streamlined referral pathways are proposed solutions currently being rolled out nationally.</w:t>
      </w:r>
    </w:p>
    <w:p w14:paraId="456E20DF" w14:textId="77777777" w:rsidR="00563B51" w:rsidRDefault="00F27550">
      <w:pPr>
        <w:spacing w:before="150" w:after="100"/>
      </w:pPr>
      <w:r>
        <w:rPr>
          <w:rFonts w:ascii="Arial" w:eastAsia="Arial" w:hAnsi="Arial" w:cs="Arial"/>
          <w:b/>
          <w:bCs/>
          <w:sz w:val="22"/>
          <w:szCs w:val="22"/>
          <w:u w:val="single"/>
        </w:rPr>
        <w:t>4. Gender pay gap and economic inequality</w:t>
      </w:r>
    </w:p>
    <w:p w14:paraId="2CEFEB72" w14:textId="77777777" w:rsidR="00563B51" w:rsidRDefault="00F27550">
      <w:pPr>
        <w:spacing w:after="200" w:line="360" w:lineRule="auto"/>
        <w:jc w:val="both"/>
      </w:pPr>
      <w:r>
        <w:rPr>
          <w:rFonts w:ascii="Arial" w:eastAsia="Arial" w:hAnsi="Arial" w:cs="Arial"/>
          <w:sz w:val="22"/>
          <w:szCs w:val="22"/>
        </w:rPr>
        <w:t>In April 2025 the full-time gender pay gap stood at 6.9%, with women earning less across every major occupational group, driven by occupational segregation, the “motherhood penalty” and the undervaluing of care work (ONS, 2025a). Lower lifetime income restricts women's access to healthy food, housing and private healthcare, and leaves many with significantly smaller pensions, increasing ill-health risk in later life (Women's Budget Group, 2026).</w:t>
      </w:r>
    </w:p>
    <w:p w14:paraId="0B28457D" w14:textId="77777777" w:rsidR="00563B51" w:rsidRDefault="00F27550">
      <w:pPr>
        <w:spacing w:before="150" w:after="100"/>
      </w:pPr>
      <w:r>
        <w:rPr>
          <w:rFonts w:ascii="Arial" w:eastAsia="Arial" w:hAnsi="Arial" w:cs="Arial"/>
          <w:b/>
          <w:bCs/>
          <w:sz w:val="22"/>
          <w:szCs w:val="22"/>
          <w:u w:val="single"/>
        </w:rPr>
        <w:t>5. Domestic abuse and violence against women and girls</w:t>
      </w:r>
    </w:p>
    <w:p w14:paraId="22FE946B" w14:textId="77777777" w:rsidR="00563B51" w:rsidRDefault="00F27550">
      <w:pPr>
        <w:spacing w:after="200" w:line="360" w:lineRule="auto"/>
        <w:jc w:val="both"/>
      </w:pPr>
      <w:r>
        <w:rPr>
          <w:rFonts w:ascii="Arial" w:eastAsia="Arial" w:hAnsi="Arial" w:cs="Arial"/>
          <w:sz w:val="22"/>
          <w:szCs w:val="22"/>
        </w:rPr>
        <w:t>An estimated 2.2 million women in England and Wales experienced domestic abuse in the year to March 2025, equivalent to 9.1% of the female population, with a violence-against-women-and-girls offence reported to police roughly every two minutes (Women's Budget Group, 2026). Such abuse is strongly associated with chronic physical injury, poor mental health and unsafe housing. National responses include the Domestic Abuse Act 2021 and a dedicated cross-government action plan (Women's Budget Group, 2026).</w:t>
      </w:r>
    </w:p>
    <w:p w14:paraId="1B9095B4" w14:textId="77777777" w:rsidR="00563B51" w:rsidRDefault="00F27550">
      <w:pPr>
        <w:spacing w:before="150" w:after="100"/>
      </w:pPr>
      <w:r>
        <w:rPr>
          <w:rFonts w:ascii="Arial" w:eastAsia="Arial" w:hAnsi="Arial" w:cs="Arial"/>
          <w:b/>
          <w:bCs/>
          <w:sz w:val="22"/>
          <w:szCs w:val="22"/>
          <w:u w:val="single"/>
        </w:rPr>
        <w:t>6. Unpaid caring responsibilities</w:t>
      </w:r>
    </w:p>
    <w:p w14:paraId="14CBE326" w14:textId="77777777" w:rsidR="00563B51" w:rsidRDefault="00F27550">
      <w:pPr>
        <w:spacing w:after="200" w:line="360" w:lineRule="auto"/>
        <w:jc w:val="both"/>
      </w:pPr>
      <w:r>
        <w:rPr>
          <w:rFonts w:ascii="Arial" w:eastAsia="Arial" w:hAnsi="Arial" w:cs="Arial"/>
          <w:sz w:val="22"/>
          <w:szCs w:val="22"/>
        </w:rPr>
        <w:t>Women continue to carry the greater share of unpaid childcare and eldercare, which restricts their working hours, career progression and time available for their own healthcare (Women's Budget Group, 2026). Over 1.5 million women are economically inactive owing to long-term sickness, illustrating a two-way relationship between caring burden and poor health (Women's Budget Group, 2026).</w:t>
      </w:r>
    </w:p>
    <w:p w14:paraId="6CD5EA97" w14:textId="77777777" w:rsidR="00563B51" w:rsidRDefault="00F27550">
      <w:pPr>
        <w:pStyle w:val="Heading2"/>
        <w:spacing w:before="200" w:after="100"/>
      </w:pPr>
      <w:r>
        <w:rPr>
          <w:rFonts w:ascii="Arial" w:eastAsia="Arial" w:hAnsi="Arial" w:cs="Arial"/>
          <w:b/>
          <w:bCs/>
          <w:color w:val="000000"/>
          <w:sz w:val="24"/>
          <w:szCs w:val="24"/>
        </w:rPr>
        <w:t>National Response to Reduce Health Inequalities in Women</w:t>
      </w:r>
    </w:p>
    <w:p w14:paraId="65958F20" w14:textId="77777777" w:rsidR="00563B51" w:rsidRDefault="00F27550">
      <w:pPr>
        <w:spacing w:after="200" w:line="360" w:lineRule="auto"/>
        <w:jc w:val="both"/>
      </w:pPr>
      <w:r>
        <w:rPr>
          <w:rFonts w:ascii="Arial" w:eastAsia="Arial" w:hAnsi="Arial" w:cs="Arial"/>
          <w:sz w:val="22"/>
          <w:szCs w:val="22"/>
        </w:rPr>
        <w:t xml:space="preserve">Two significant national responses illustrate action to reduce these inequalities. First, the Women's Health Strategy for England, published in 2022 and renewed in April 2026, formally recognised that the healthcare system had been “designed by men, for men” (Dorries, 2021, cited in House of Lords Library, 2021) and set out a ten-year plan including a Women's Health Ambassador, £25 million invested in women's health hubs between 2023 and 2025, expanded </w:t>
      </w:r>
      <w:r>
        <w:rPr>
          <w:rFonts w:ascii="Arial" w:eastAsia="Arial" w:hAnsi="Arial" w:cs="Arial"/>
          <w:sz w:val="22"/>
          <w:szCs w:val="22"/>
        </w:rPr>
        <w:lastRenderedPageBreak/>
        <w:t>contraceptive access and a commitment to tackling gynaecology waiting lists (RCOG, 2025; GOV.UK, 2026). Second, the Government's Freedom from Violence and Abuse Action Plan builds on the Domestic Abuse Act 2021 to fund refuge provision, strengthen the National Domestic Abuse Helpline and pursue an Online Safety Commission to address the rise in technology-facilitated abuse of women and girls (Women's Budget Group, 2026).</w:t>
      </w:r>
    </w:p>
    <w:p w14:paraId="35A0AA99" w14:textId="77777777" w:rsidR="00563B51" w:rsidRDefault="00F27550">
      <w:pPr>
        <w:pStyle w:val="Heading2"/>
        <w:spacing w:before="200" w:after="100"/>
      </w:pPr>
      <w:r>
        <w:rPr>
          <w:rFonts w:ascii="Arial" w:eastAsia="Arial" w:hAnsi="Arial" w:cs="Arial"/>
          <w:b/>
          <w:bCs/>
          <w:color w:val="000000"/>
          <w:sz w:val="24"/>
          <w:szCs w:val="24"/>
        </w:rPr>
        <w:t>Organisations That Support the Chosen Group</w:t>
      </w:r>
    </w:p>
    <w:p w14:paraId="6FBD7F9A" w14:textId="77777777" w:rsidR="00563B51" w:rsidRDefault="00F27550">
      <w:pPr>
        <w:spacing w:after="200" w:line="360" w:lineRule="auto"/>
        <w:jc w:val="both"/>
      </w:pPr>
      <w:r>
        <w:rPr>
          <w:rFonts w:ascii="Arial" w:eastAsia="Arial" w:hAnsi="Arial" w:cs="Arial"/>
          <w:sz w:val="22"/>
          <w:szCs w:val="22"/>
        </w:rPr>
        <w:t>Wellbeing of Women is a UK charity dedicated to funding research into the reproductive and gynaecological health of women and girls, including conditions such as endometriosis, miscarriage and menopause, which have historically received disproportionately little research investment. Its wider role includes campaigning for the Women's Health Strategy's implementation, publishing evidence to influence NHS and government policy, and raising public awareness of symptoms that are too often normalised or dismisse</w:t>
      </w:r>
      <w:r>
        <w:rPr>
          <w:rFonts w:ascii="Arial" w:eastAsia="Arial" w:hAnsi="Arial" w:cs="Arial"/>
          <w:sz w:val="22"/>
          <w:szCs w:val="22"/>
        </w:rPr>
        <w:t>d. The charity's stated goal is to ensure that “every woman and girl gets to live a healthy life, free from the limitations of poor reproductive health,” which it pursues by funding clinical research fellowships, producing patient information resources and lobbying for faster, more equitable diagnosis pathways.</w:t>
      </w:r>
    </w:p>
    <w:p w14:paraId="53D536D9" w14:textId="77777777" w:rsidR="00563B51" w:rsidRDefault="00F27550">
      <w:pPr>
        <w:pStyle w:val="Heading2"/>
        <w:spacing w:before="200" w:after="100"/>
      </w:pPr>
      <w:r>
        <w:rPr>
          <w:rFonts w:ascii="Arial" w:eastAsia="Arial" w:hAnsi="Arial" w:cs="Arial"/>
          <w:b/>
          <w:bCs/>
          <w:color w:val="000000"/>
          <w:sz w:val="24"/>
          <w:szCs w:val="24"/>
        </w:rPr>
        <w:t>Conclusion</w:t>
      </w:r>
    </w:p>
    <w:p w14:paraId="35A5FF12" w14:textId="77777777" w:rsidR="00563B51" w:rsidRDefault="00F27550">
      <w:pPr>
        <w:spacing w:after="200" w:line="360" w:lineRule="auto"/>
        <w:jc w:val="both"/>
      </w:pPr>
      <w:r>
        <w:rPr>
          <w:rFonts w:ascii="Arial" w:eastAsia="Arial" w:hAnsi="Arial" w:cs="Arial"/>
          <w:sz w:val="22"/>
          <w:szCs w:val="22"/>
        </w:rPr>
        <w:t xml:space="preserve">Women in the UK face measurable, avoidable health inequalities rooted in both biological under-representation in research and social determinants such as income, unpaid care and gender-based violence. Mental illness, cardiovascular misdiagnosis and gynaecological waiting lists sit alongside the gender pay gap, domestic abuse and caring burdens as the most pressing issues. National strategies and charitable organisations such as Wellbeing of Women are beginning to close these gaps, but sustained investment, </w:t>
      </w:r>
      <w:r>
        <w:rPr>
          <w:rFonts w:ascii="Arial" w:eastAsia="Arial" w:hAnsi="Arial" w:cs="Arial"/>
          <w:sz w:val="22"/>
          <w:szCs w:val="22"/>
        </w:rPr>
        <w:t>better sex-disaggregated data and continued policy commitment remain essential if the gender health gap in the UK is to be meaningfully reduced.</w:t>
      </w:r>
    </w:p>
    <w:p w14:paraId="3C372005" w14:textId="77777777" w:rsidR="00563B51" w:rsidRDefault="00F27550">
      <w:r>
        <w:br w:type="page"/>
      </w:r>
    </w:p>
    <w:p w14:paraId="29D4286C" w14:textId="77777777" w:rsidR="00563B51" w:rsidRDefault="00F27550">
      <w:pPr>
        <w:pStyle w:val="Heading1"/>
        <w:spacing w:before="300" w:after="150"/>
      </w:pPr>
      <w:r>
        <w:rPr>
          <w:rFonts w:ascii="Arial" w:eastAsia="Arial" w:hAnsi="Arial" w:cs="Arial"/>
          <w:b/>
          <w:bCs/>
          <w:color w:val="000000"/>
          <w:sz w:val="26"/>
          <w:szCs w:val="26"/>
        </w:rPr>
        <w:lastRenderedPageBreak/>
        <w:t>Task 2: Epidemiological Analysis (1500 words)</w:t>
      </w:r>
    </w:p>
    <w:p w14:paraId="4B1F9173" w14:textId="77777777" w:rsidR="00563B51" w:rsidRDefault="00F27550">
      <w:pPr>
        <w:pStyle w:val="Heading2"/>
        <w:spacing w:before="200" w:after="100"/>
      </w:pPr>
      <w:r>
        <w:rPr>
          <w:rFonts w:ascii="Arial" w:eastAsia="Arial" w:hAnsi="Arial" w:cs="Arial"/>
          <w:b/>
          <w:bCs/>
          <w:color w:val="000000"/>
          <w:sz w:val="24"/>
          <w:szCs w:val="24"/>
        </w:rPr>
        <w:t>An Epidemiological Analysis of Hypertension in the London Borough of Newham</w:t>
      </w:r>
    </w:p>
    <w:p w14:paraId="151BB6EE" w14:textId="77777777" w:rsidR="00563B51" w:rsidRDefault="00F27550">
      <w:pPr>
        <w:pStyle w:val="Heading2"/>
        <w:spacing w:before="200" w:after="100"/>
      </w:pPr>
      <w:r>
        <w:rPr>
          <w:rFonts w:ascii="Arial" w:eastAsia="Arial" w:hAnsi="Arial" w:cs="Arial"/>
          <w:b/>
          <w:bCs/>
          <w:color w:val="000000"/>
          <w:sz w:val="24"/>
          <w:szCs w:val="24"/>
        </w:rPr>
        <w:t>Introduction</w:t>
      </w:r>
    </w:p>
    <w:p w14:paraId="63458D3E" w14:textId="77777777" w:rsidR="00563B51" w:rsidRDefault="00F27550">
      <w:pPr>
        <w:spacing w:after="200" w:line="360" w:lineRule="auto"/>
        <w:jc w:val="both"/>
      </w:pPr>
      <w:r>
        <w:rPr>
          <w:rFonts w:ascii="Arial" w:eastAsia="Arial" w:hAnsi="Arial" w:cs="Arial"/>
          <w:sz w:val="22"/>
          <w:szCs w:val="22"/>
        </w:rPr>
        <w:t>Hypertension, or persistently raised blood pressure (systolic ≥140mmHg and/or diastolic ≥90mmHg), is one of the most important modifiable risk factors for cardiovascular disease (CVD), stroke and chronic kidney disease, and is among the most preventable causes of premature death worldwide (NHS England Digital, 2026; WHO, 2025a). It is frequently termed a “silent killer” because it is usually asymptomatic, meaning the social and health consequences — stroke, heart attack, heart failure, cognitive decline and</w:t>
      </w:r>
      <w:r>
        <w:rPr>
          <w:rFonts w:ascii="Arial" w:eastAsia="Arial" w:hAnsi="Arial" w:cs="Arial"/>
          <w:sz w:val="22"/>
          <w:szCs w:val="22"/>
        </w:rPr>
        <w:t xml:space="preserve"> premature death — often emerge only after considerable, avoidable vascular damage has occurred (WHO, 2025a). In England alone, hypertension is estimated to cost the NHS approximately £2.1 billion annually, underlining its significance as a public health priority (Young, Bibi and Rasheed, 2022).</w:t>
      </w:r>
    </w:p>
    <w:p w14:paraId="7E4879FB" w14:textId="77777777" w:rsidR="00563B51" w:rsidRDefault="00F27550">
      <w:pPr>
        <w:spacing w:after="200" w:line="360" w:lineRule="auto"/>
        <w:jc w:val="both"/>
      </w:pPr>
      <w:r>
        <w:rPr>
          <w:rFonts w:ascii="Arial" w:eastAsia="Arial" w:hAnsi="Arial" w:cs="Arial"/>
          <w:sz w:val="22"/>
          <w:szCs w:val="22"/>
        </w:rPr>
        <w:t>Worldwide, the number of adults aged 30–79 with hypertension has more than doubled since 1990, from 650 million to approximately 1.4 billion in 2024, representing 33% of that age group; two-thirds live in low- and middle-income countries, and 44% remain unaware they have the condition (WHO, 2025a; WHO, 2025b). In the UK, the Health Survey for England found hypertension prevalence among adults was 31% in 2003 and has remained between 29% and 30% since, with a clear social gradient: age-standardised prevalenc</w:t>
      </w:r>
      <w:r>
        <w:rPr>
          <w:rFonts w:ascii="Arial" w:eastAsia="Arial" w:hAnsi="Arial" w:cs="Arial"/>
          <w:sz w:val="22"/>
          <w:szCs w:val="22"/>
        </w:rPr>
        <w:t>e ranges from 23% in the least deprived areas to 40% in the most deprived (NHS Digital, 2021). Regional variation is also marked, with prevalence among men highest in the North West (44%) and lowest in the South East (33%) (ONS, 2022).</w:t>
      </w:r>
    </w:p>
    <w:p w14:paraId="3D7C990E" w14:textId="77777777" w:rsidR="00563B51" w:rsidRDefault="00F27550">
      <w:pPr>
        <w:pStyle w:val="Heading2"/>
        <w:spacing w:before="200" w:after="100"/>
      </w:pPr>
      <w:r>
        <w:rPr>
          <w:rFonts w:ascii="Arial" w:eastAsia="Arial" w:hAnsi="Arial" w:cs="Arial"/>
          <w:b/>
          <w:bCs/>
          <w:color w:val="000000"/>
          <w:sz w:val="24"/>
          <w:szCs w:val="24"/>
        </w:rPr>
        <w:t>Public Health Measures Drawing on the Three P's (Primary, Secondary and Tertiary Prevention)</w:t>
      </w:r>
    </w:p>
    <w:p w14:paraId="70088620" w14:textId="77777777" w:rsidR="00563B51" w:rsidRDefault="00F27550">
      <w:pPr>
        <w:spacing w:after="200" w:line="360" w:lineRule="auto"/>
        <w:jc w:val="both"/>
      </w:pPr>
      <w:r>
        <w:rPr>
          <w:rFonts w:ascii="Arial" w:eastAsia="Arial" w:hAnsi="Arial" w:cs="Arial"/>
          <w:sz w:val="22"/>
          <w:szCs w:val="22"/>
        </w:rPr>
        <w:t>Public health responses to hypertension in England operate across all three levels of prevention. Primary prevention aims to reduce population-level risk before hypertension develops, through measures such as the national salt reduction programme, the soft drinks industry levy, smoking cessation services and the Better Health physical activity campaign, all designed to address the modifiable determinants of raised blood pressure. Secondary prevention focuses on early detection of existing but undiagnosed hy</w:t>
      </w:r>
      <w:r>
        <w:rPr>
          <w:rFonts w:ascii="Arial" w:eastAsia="Arial" w:hAnsi="Arial" w:cs="Arial"/>
          <w:sz w:val="22"/>
          <w:szCs w:val="22"/>
        </w:rPr>
        <w:t xml:space="preserve">pertension, principally through the NHS Health Check programme, which offers a free cardiovascular risk assessment, including blood pressure measurement, to all adults aged 40–74 every five years, supplemented by opportunistic blood pressure checks in community pharmacies and workplaces. Tertiary prevention concerns the management of diagnosed hypertension to prevent complications, delivered mainly in primary care through antihypertensive medication, </w:t>
      </w:r>
      <w:r>
        <w:rPr>
          <w:rFonts w:ascii="Arial" w:eastAsia="Arial" w:hAnsi="Arial" w:cs="Arial"/>
          <w:sz w:val="22"/>
          <w:szCs w:val="22"/>
        </w:rPr>
        <w:lastRenderedPageBreak/>
        <w:t>lifestyle advice and structured reviews incentivised by t</w:t>
      </w:r>
      <w:r>
        <w:rPr>
          <w:rFonts w:ascii="Arial" w:eastAsia="Arial" w:hAnsi="Arial" w:cs="Arial"/>
          <w:sz w:val="22"/>
          <w:szCs w:val="22"/>
        </w:rPr>
        <w:t>he Quality and Outcomes Framework (QOF), alongside cardiac rehabilitation for those who go on to develop CVD.</w:t>
      </w:r>
    </w:p>
    <w:p w14:paraId="120E63E0" w14:textId="77777777" w:rsidR="00563B51" w:rsidRDefault="00F27550">
      <w:pPr>
        <w:pStyle w:val="Heading2"/>
        <w:spacing w:before="200" w:after="100"/>
      </w:pPr>
      <w:r>
        <w:rPr>
          <w:rFonts w:ascii="Arial" w:eastAsia="Arial" w:hAnsi="Arial" w:cs="Arial"/>
          <w:b/>
          <w:bCs/>
          <w:color w:val="000000"/>
          <w:sz w:val="24"/>
          <w:szCs w:val="24"/>
        </w:rPr>
        <w:t>Key Determinants and Risk Factors</w:t>
      </w:r>
    </w:p>
    <w:p w14:paraId="4D1A51BB" w14:textId="77777777" w:rsidR="00563B51" w:rsidRDefault="00F27550">
      <w:pPr>
        <w:spacing w:after="200" w:line="360" w:lineRule="auto"/>
        <w:jc w:val="both"/>
      </w:pPr>
      <w:r>
        <w:rPr>
          <w:rFonts w:ascii="Arial" w:eastAsia="Arial" w:hAnsi="Arial" w:cs="Arial"/>
          <w:sz w:val="22"/>
          <w:szCs w:val="22"/>
        </w:rPr>
        <w:t>Hypertension risk factors are commonly divided into non-modifiable and modifiable categories. Non-modifiable determinants include increasing age, family history and ethnicity, with Black African and Black Caribbean populations in the UK experiencing disproportionately higher prevalence and earlier onset. Modifiable determinants include excess dietary salt, obesity, physical inactivity, high alcohol consumption, smoking and chronic stress. Around 70% of the overall UK cardiovascular disease burden is attribu</w:t>
      </w:r>
      <w:r>
        <w:rPr>
          <w:rFonts w:ascii="Arial" w:eastAsia="Arial" w:hAnsi="Arial" w:cs="Arial"/>
          <w:sz w:val="22"/>
          <w:szCs w:val="22"/>
        </w:rPr>
        <w:t>table to such modifiable risk factors (British Heart Foundation, 2024). Importantly, these risk factors are not evenly distributed: hypertension prevalence is strongly and consistently associated with area-level deprivation, reflecting the influence of the wider social determinants of health — income, housing, food environment and access to green space — on individual behaviour and biology (British Heart Foundation, 2025).</w:t>
      </w:r>
    </w:p>
    <w:p w14:paraId="05BE461C" w14:textId="77777777" w:rsidR="00563B51" w:rsidRDefault="00F27550">
      <w:pPr>
        <w:pStyle w:val="Heading2"/>
        <w:spacing w:before="200" w:after="100"/>
      </w:pPr>
      <w:r>
        <w:rPr>
          <w:rFonts w:ascii="Arial" w:eastAsia="Arial" w:hAnsi="Arial" w:cs="Arial"/>
          <w:b/>
          <w:bCs/>
          <w:color w:val="000000"/>
          <w:sz w:val="24"/>
          <w:szCs w:val="24"/>
        </w:rPr>
        <w:t>Identifying Those Affected Using Epidemiological Studies and a Health Needs Assessment</w:t>
      </w:r>
    </w:p>
    <w:p w14:paraId="6F94451C" w14:textId="77777777" w:rsidR="00563B51" w:rsidRDefault="00F27550">
      <w:pPr>
        <w:spacing w:after="200" w:line="360" w:lineRule="auto"/>
        <w:jc w:val="both"/>
      </w:pPr>
      <w:r>
        <w:rPr>
          <w:rFonts w:ascii="Arial" w:eastAsia="Arial" w:hAnsi="Arial" w:cs="Arial"/>
          <w:sz w:val="22"/>
          <w:szCs w:val="22"/>
        </w:rPr>
        <w:t xml:space="preserve">For this report, the London Borough of Newham has been selected as the specific defined population: large enough for meaningful surveillance data, but small enough to allow a targeted health needs assessment. Newham is among the most ethnically diverse and deprived boroughs in England, with a high proportion of residents from Black African, Black Caribbean and South Asian backgrounds — groups epidemiologically associated with higher hypertension prevalence and earlier cardiovascular complications. A health </w:t>
      </w:r>
      <w:r>
        <w:rPr>
          <w:rFonts w:ascii="Arial" w:eastAsia="Arial" w:hAnsi="Arial" w:cs="Arial"/>
          <w:sz w:val="22"/>
          <w:szCs w:val="22"/>
        </w:rPr>
        <w:t>needs assessment drawing on Health Survey for England deprivation data (NHS Digital, 2021) and the borough's Joint Strategic Needs Assessment would combine population demographics, GP register data (via QOF) and local CVDPREVENT audit findings to identify wards and population subgroups with the highest concentration of undiagnosed or poorly controlled hypertension, allowing resources to be targeted rather than spread uniformly across the borough.</w:t>
      </w:r>
    </w:p>
    <w:p w14:paraId="262C3211" w14:textId="77777777" w:rsidR="00563B51" w:rsidRDefault="00F27550">
      <w:pPr>
        <w:pStyle w:val="Heading2"/>
        <w:spacing w:before="200" w:after="100"/>
      </w:pPr>
      <w:r>
        <w:rPr>
          <w:rFonts w:ascii="Arial" w:eastAsia="Arial" w:hAnsi="Arial" w:cs="Arial"/>
          <w:b/>
          <w:bCs/>
          <w:color w:val="000000"/>
          <w:sz w:val="24"/>
          <w:szCs w:val="24"/>
        </w:rPr>
        <w:t>Monitoring and Surveillance Systems</w:t>
      </w:r>
    </w:p>
    <w:p w14:paraId="0889896D" w14:textId="77777777" w:rsidR="00563B51" w:rsidRDefault="00F27550">
      <w:pPr>
        <w:spacing w:after="200" w:line="360" w:lineRule="auto"/>
        <w:jc w:val="both"/>
      </w:pPr>
      <w:r>
        <w:rPr>
          <w:rFonts w:ascii="Arial" w:eastAsia="Arial" w:hAnsi="Arial" w:cs="Arial"/>
          <w:sz w:val="22"/>
          <w:szCs w:val="22"/>
        </w:rPr>
        <w:t>Several complementary monitoring approaches are used to track hypertension incidence and control in England. The Health Survey for England is a repeated, population-based cross-sectional survey that measures blood pressure directly using validated devices, providing nationally representative prevalence trends, though each participant is measured on only one occasion, which can misclassify some individuals (NHS England Digital, 2026). The Quality and Outcomes Framework functions as a disease-register-based s</w:t>
      </w:r>
      <w:r>
        <w:rPr>
          <w:rFonts w:ascii="Arial" w:eastAsia="Arial" w:hAnsi="Arial" w:cs="Arial"/>
          <w:sz w:val="22"/>
          <w:szCs w:val="22"/>
        </w:rPr>
        <w:t xml:space="preserve">urveillance system, </w:t>
      </w:r>
      <w:r>
        <w:rPr>
          <w:rFonts w:ascii="Arial" w:eastAsia="Arial" w:hAnsi="Arial" w:cs="Arial"/>
          <w:sz w:val="22"/>
          <w:szCs w:val="22"/>
        </w:rPr>
        <w:lastRenderedPageBreak/>
        <w:t>capturing all patients formally diagnosed and coded with hypertension in general practice, and incentivising regular review. The CVDPREVENT audit is a national primary-care audit that monitors detection, treatment and control of cardiovascular risk factors, including hypertension, at practice, borough and national level, enabling comparison against NHS targets. ONS mortality statistics provide longer-term outcome surveillance by tracking deaths attributable to hypertensive disease, strok</w:t>
      </w:r>
      <w:r>
        <w:rPr>
          <w:rFonts w:ascii="Arial" w:eastAsia="Arial" w:hAnsi="Arial" w:cs="Arial"/>
          <w:sz w:val="22"/>
          <w:szCs w:val="22"/>
        </w:rPr>
        <w:t>e and ischaemic heart disease. Together these represent a mix of survey-based, register-based and outcome-based surveillance, each with different strengths for monitoring a largely asymptomatic condition.</w:t>
      </w:r>
    </w:p>
    <w:p w14:paraId="1F69C682" w14:textId="77777777" w:rsidR="00563B51" w:rsidRDefault="00F27550">
      <w:pPr>
        <w:pStyle w:val="Heading2"/>
        <w:spacing w:before="200" w:after="100"/>
      </w:pPr>
      <w:r>
        <w:rPr>
          <w:rFonts w:ascii="Arial" w:eastAsia="Arial" w:hAnsi="Arial" w:cs="Arial"/>
          <w:b/>
          <w:bCs/>
          <w:color w:val="000000"/>
          <w:sz w:val="24"/>
          <w:szCs w:val="24"/>
        </w:rPr>
        <w:t>Public Health Impact: Short- and Long-Term Consequences</w:t>
      </w:r>
    </w:p>
    <w:p w14:paraId="37F12DA3" w14:textId="77777777" w:rsidR="00563B51" w:rsidRDefault="00F27550">
      <w:pPr>
        <w:spacing w:after="200" w:line="360" w:lineRule="auto"/>
        <w:jc w:val="both"/>
      </w:pPr>
      <w:r>
        <w:rPr>
          <w:rFonts w:ascii="Arial" w:eastAsia="Arial" w:hAnsi="Arial" w:cs="Arial"/>
          <w:sz w:val="22"/>
          <w:szCs w:val="22"/>
        </w:rPr>
        <w:t>In the short term, undetected or poorly controlled hypertension can precipitate hypertensive emergencies requiring urgent hospital admission. In the longer term, sustained raised blood pressure is a leading cause of stroke, myocardial infarction, heart failure, chronic kidney disease and vascular dementia, and is responsible for a substantial proportion of premature deaths globally (WHO, 2025a). Nearly half of people with hypertension worldwide are unaware they have the condition, and even among those treat</w:t>
      </w:r>
      <w:r>
        <w:rPr>
          <w:rFonts w:ascii="Arial" w:eastAsia="Arial" w:hAnsi="Arial" w:cs="Arial"/>
          <w:sz w:val="22"/>
          <w:szCs w:val="22"/>
        </w:rPr>
        <w:t>ed in the UK, only around 40% achieve adequate control, meaning the true public health burden — in terms of avoidable CVD events, lost productivity and NHS cost — is likely to be significantly understated by diagnosed-prevalence figures alone (Young, Bibi and Rasheed, 2022).</w:t>
      </w:r>
    </w:p>
    <w:p w14:paraId="3A7099D6" w14:textId="77777777" w:rsidR="00563B51" w:rsidRDefault="00F27550">
      <w:pPr>
        <w:pStyle w:val="Heading2"/>
        <w:spacing w:before="200" w:after="100"/>
      </w:pPr>
      <w:r>
        <w:rPr>
          <w:rFonts w:ascii="Arial" w:eastAsia="Arial" w:hAnsi="Arial" w:cs="Arial"/>
          <w:b/>
          <w:bCs/>
          <w:color w:val="000000"/>
          <w:sz w:val="24"/>
          <w:szCs w:val="24"/>
        </w:rPr>
        <w:t>Designing and Evaluating a Health Intervention Programme</w:t>
      </w:r>
    </w:p>
    <w:p w14:paraId="0CCA757F" w14:textId="77777777" w:rsidR="00563B51" w:rsidRDefault="00F27550">
      <w:pPr>
        <w:spacing w:after="200" w:line="360" w:lineRule="auto"/>
        <w:jc w:val="both"/>
      </w:pPr>
      <w:r>
        <w:rPr>
          <w:rFonts w:ascii="Arial" w:eastAsia="Arial" w:hAnsi="Arial" w:cs="Arial"/>
          <w:sz w:val="22"/>
          <w:szCs w:val="22"/>
        </w:rPr>
        <w:t>A proposed intervention for Newham would extend the NHS Health Check programme through community-based, culturally tailored blood pressure screening delivered in settings with high trust and footfall among under-screened groups — pharmacies, places of worship and community centres — paired with same-day case management for anyone found to have raised readings, rather than relying solely on GP-initiated invitations. Community health workers recruited from local communities would support health literacy and f</w:t>
      </w:r>
      <w:r>
        <w:rPr>
          <w:rFonts w:ascii="Arial" w:eastAsia="Arial" w:hAnsi="Arial" w:cs="Arial"/>
          <w:sz w:val="22"/>
          <w:szCs w:val="22"/>
        </w:rPr>
        <w:t>ollow-up, addressing known barriers to engagement among ethnic minority and deprived populations. Evaluation would combine process measures (uptake rates, proportion referred and successfully linked to primary care) with outcome measures drawn from CVDPREVENT and QOF data (change in borough-level detection and control rates) over a 12–24 month period, alongside qualitative feedback to assess acceptability and identify remaining barriers to sustained engagement.</w:t>
      </w:r>
    </w:p>
    <w:p w14:paraId="4E0A38F1" w14:textId="77777777" w:rsidR="00563B51" w:rsidRDefault="00F27550">
      <w:pPr>
        <w:pStyle w:val="Heading2"/>
        <w:spacing w:before="200" w:after="100"/>
      </w:pPr>
      <w:r>
        <w:rPr>
          <w:rFonts w:ascii="Arial" w:eastAsia="Arial" w:hAnsi="Arial" w:cs="Arial"/>
          <w:b/>
          <w:bCs/>
          <w:color w:val="000000"/>
          <w:sz w:val="24"/>
          <w:szCs w:val="24"/>
        </w:rPr>
        <w:t>Strengths and Weaknesses of the Epidemiological Approach</w:t>
      </w:r>
    </w:p>
    <w:p w14:paraId="79374B0A" w14:textId="77777777" w:rsidR="00563B51" w:rsidRDefault="00F27550">
      <w:pPr>
        <w:spacing w:after="200" w:line="360" w:lineRule="auto"/>
        <w:jc w:val="both"/>
      </w:pPr>
      <w:r>
        <w:rPr>
          <w:rFonts w:ascii="Arial" w:eastAsia="Arial" w:hAnsi="Arial" w:cs="Arial"/>
          <w:sz w:val="22"/>
          <w:szCs w:val="22"/>
        </w:rPr>
        <w:t xml:space="preserve">This approach has clear strengths: the Health Survey for England offers large, nationally representative samples and long-run trend data, while QOF and CVDPREVENT provide near-complete coverage of the registered GP population, enabling fine-grained local targeting. </w:t>
      </w:r>
      <w:r>
        <w:rPr>
          <w:rFonts w:ascii="Arial" w:eastAsia="Arial" w:hAnsi="Arial" w:cs="Arial"/>
          <w:sz w:val="22"/>
          <w:szCs w:val="22"/>
        </w:rPr>
        <w:lastRenderedPageBreak/>
        <w:t>However, important weaknesses remain. Blood pressure measured on a single occasion in survey settings may not reflect a person's true underlying status (NHS Digital, 2021). Register-based surveillance only captures individuals who have already been diagnosed, systematically missing the substantial undiagnosed population — younger adults, those in good general health, and those not overweight were found to be least likely to be diagnosed if hypertensive (ONS, 2022). Cross-sectional survey data also cannot es</w:t>
      </w:r>
      <w:r>
        <w:rPr>
          <w:rFonts w:ascii="Arial" w:eastAsia="Arial" w:hAnsi="Arial" w:cs="Arial"/>
          <w:sz w:val="22"/>
          <w:szCs w:val="22"/>
        </w:rPr>
        <w:t>tablish causal pathways between deprivation and hypertension, only association, and hard-to-reach groups, including some recent migrants and those not registered with a GP, remain underrepresented across nearly all of these systems. Recognising these limitations is essential to avoid overstating the precision of local hypertension estimates when planning services.</w:t>
      </w:r>
    </w:p>
    <w:p w14:paraId="5946C880" w14:textId="77777777" w:rsidR="00563B51" w:rsidRDefault="00F27550">
      <w:pPr>
        <w:pStyle w:val="Heading2"/>
        <w:spacing w:before="200" w:after="100"/>
      </w:pPr>
      <w:r>
        <w:rPr>
          <w:rFonts w:ascii="Arial" w:eastAsia="Arial" w:hAnsi="Arial" w:cs="Arial"/>
          <w:b/>
          <w:bCs/>
          <w:color w:val="000000"/>
          <w:sz w:val="24"/>
          <w:szCs w:val="24"/>
        </w:rPr>
        <w:t>Conclusion</w:t>
      </w:r>
    </w:p>
    <w:p w14:paraId="0B86B8BC" w14:textId="77777777" w:rsidR="00563B51" w:rsidRDefault="00F27550">
      <w:pPr>
        <w:spacing w:after="200" w:line="360" w:lineRule="auto"/>
        <w:jc w:val="both"/>
      </w:pPr>
      <w:r>
        <w:rPr>
          <w:rFonts w:ascii="Arial" w:eastAsia="Arial" w:hAnsi="Arial" w:cs="Arial"/>
          <w:sz w:val="22"/>
          <w:szCs w:val="22"/>
        </w:rPr>
        <w:t>Hypertension remains a major, largely preventable public health problem, with a well-established social gradient that concentrates risk in deprived and ethnically diverse populations such as those in Newham. A layered approach combining primary, secondary and tertiary prevention, informed by a mix of survey-, register- and audit-based surveillance, offers a realistic route to earlier detection and better control, provided its inherent measurement and coverage limitations are explicitly accounted for in serv</w:t>
      </w:r>
      <w:r>
        <w:rPr>
          <w:rFonts w:ascii="Arial" w:eastAsia="Arial" w:hAnsi="Arial" w:cs="Arial"/>
          <w:sz w:val="22"/>
          <w:szCs w:val="22"/>
        </w:rPr>
        <w:t>ice design and evaluation.</w:t>
      </w:r>
    </w:p>
    <w:p w14:paraId="4A69BCCB" w14:textId="77777777" w:rsidR="00563B51" w:rsidRDefault="00F27550">
      <w:r>
        <w:br w:type="page"/>
      </w:r>
    </w:p>
    <w:p w14:paraId="557C8FF0" w14:textId="77777777" w:rsidR="00563B51" w:rsidRDefault="00F27550">
      <w:pPr>
        <w:pStyle w:val="Heading1"/>
        <w:spacing w:before="300" w:after="150"/>
      </w:pPr>
      <w:r>
        <w:rPr>
          <w:rFonts w:ascii="Arial" w:eastAsia="Arial" w:hAnsi="Arial" w:cs="Arial"/>
          <w:b/>
          <w:bCs/>
          <w:color w:val="000000"/>
          <w:sz w:val="26"/>
          <w:szCs w:val="26"/>
        </w:rPr>
        <w:lastRenderedPageBreak/>
        <w:t>Reference List</w:t>
      </w:r>
    </w:p>
    <w:p w14:paraId="26AABC03" w14:textId="77777777" w:rsidR="00563B51" w:rsidRDefault="00F27550">
      <w:pPr>
        <w:spacing w:after="160" w:line="276" w:lineRule="auto"/>
        <w:ind w:left="720" w:hanging="720"/>
      </w:pPr>
      <w:r>
        <w:rPr>
          <w:rFonts w:ascii="Arial" w:eastAsia="Arial" w:hAnsi="Arial" w:cs="Arial"/>
          <w:sz w:val="22"/>
          <w:szCs w:val="22"/>
        </w:rPr>
        <w:t>Bambra, C., Albani, V. and Franklin, P. (2020) 'COVID-19 and the gender health paradox', Scandinavian Journal of Public Health. Available at: https://www.ncbi.nlm.nih.gov/pmc/articles/PMC7859577/ (Accessed: 18 August 2026).</w:t>
      </w:r>
    </w:p>
    <w:p w14:paraId="7EFB800D" w14:textId="77777777" w:rsidR="00563B51" w:rsidRDefault="00F27550">
      <w:pPr>
        <w:spacing w:after="160" w:line="276" w:lineRule="auto"/>
        <w:ind w:left="720" w:hanging="720"/>
      </w:pPr>
      <w:r>
        <w:rPr>
          <w:rFonts w:ascii="Arial" w:eastAsia="Arial" w:hAnsi="Arial" w:cs="Arial"/>
          <w:sz w:val="22"/>
          <w:szCs w:val="22"/>
        </w:rPr>
        <w:t>Aggarwal, N.R., Patel, H.N., Mehta, L.S. et al. (2018) 'Sex differences in ischemic heart disease: advances, obstacles, and next steps', Circulation: Cardiovascular Quality and Outcomes, 11(2), e004437. Available at: https://doi.org/10.1161/CIRCOUTCOMES.117.004437 (Accessed: 19 August 2026).</w:t>
      </w:r>
    </w:p>
    <w:p w14:paraId="116C5F12" w14:textId="77777777" w:rsidR="00563B51" w:rsidRDefault="00F27550">
      <w:pPr>
        <w:spacing w:after="160" w:line="276" w:lineRule="auto"/>
        <w:ind w:left="720" w:hanging="720"/>
      </w:pPr>
      <w:r>
        <w:rPr>
          <w:rFonts w:ascii="Arial" w:eastAsia="Arial" w:hAnsi="Arial" w:cs="Arial"/>
          <w:sz w:val="22"/>
          <w:szCs w:val="22"/>
        </w:rPr>
        <w:t>Ashworth, M., Medina, J. and Morgan, M. (2008) 'Effect of social deprivation on blood pressure monitoring and control in England: a survey of data from the quality and outcomes framework', BMJ, 337, a2030. Available at: https://www.ncbi.nlm.nih.gov/pmc/articles/PMC2590907/ (Accessed: 19 August 2026).</w:t>
      </w:r>
    </w:p>
    <w:p w14:paraId="05880232" w14:textId="77777777" w:rsidR="00563B51" w:rsidRDefault="00F27550">
      <w:pPr>
        <w:spacing w:after="160" w:line="276" w:lineRule="auto"/>
        <w:ind w:left="720" w:hanging="720"/>
      </w:pPr>
      <w:r>
        <w:rPr>
          <w:rFonts w:ascii="Arial" w:eastAsia="Arial" w:hAnsi="Arial" w:cs="Arial"/>
          <w:sz w:val="22"/>
          <w:szCs w:val="22"/>
        </w:rPr>
        <w:t>British Heart Foundation (2024) Socioeconomic inequalities in heart and circulatory diseases in England. Available at: https://www.bhf.org.uk/-/media/files/what-we-do/our-research/heart-statistics/health-inequalities/socioeconomic-inequalities-in-heart-and-circulatory-diseases-in-england.pdf (Accessed: 18 August 2026).</w:t>
      </w:r>
    </w:p>
    <w:p w14:paraId="4DC8E4AC" w14:textId="77777777" w:rsidR="00563B51" w:rsidRDefault="00F27550">
      <w:pPr>
        <w:spacing w:after="160" w:line="276" w:lineRule="auto"/>
        <w:ind w:left="720" w:hanging="720"/>
      </w:pPr>
      <w:r>
        <w:rPr>
          <w:rFonts w:ascii="Arial" w:eastAsia="Arial" w:hAnsi="Arial" w:cs="Arial"/>
          <w:sz w:val="22"/>
          <w:szCs w:val="22"/>
        </w:rPr>
        <w:t>British Heart Foundation (2025) Cardiovascular inequalities in England: an analysis. Available at: https://www.bhf.org.uk/what-we-do/our-research/heart-statistics/health-inequalities-research/cardiovascular-inequalities-in-england-an-analysis (Accessed: 18 August 2026).</w:t>
      </w:r>
    </w:p>
    <w:p w14:paraId="2EF97047" w14:textId="77777777" w:rsidR="00563B51" w:rsidRDefault="00F27550">
      <w:pPr>
        <w:spacing w:after="160" w:line="276" w:lineRule="auto"/>
        <w:ind w:left="720" w:hanging="720"/>
      </w:pPr>
      <w:r>
        <w:rPr>
          <w:rFonts w:ascii="Arial" w:eastAsia="Arial" w:hAnsi="Arial" w:cs="Arial"/>
          <w:sz w:val="22"/>
          <w:szCs w:val="22"/>
        </w:rPr>
        <w:t>Campbell, E., Macey, E., Shine, C., Nafilyan, V., Cadogan Clark, N., Pawelek, P., Ward, I., Hughes, A., Raleigh, V., Banerjee, A. and Finning, K. (2023) 'Sociodemographic and health-related differences in undiagnosed hypertension in the Health Survey for England 2015-2019: a cross-sectional cohort study', eClinicalMedicine, 65, 102275. Available at: https://www.sciencedirect.com/science/article/pii/S2589537023004522 (Accessed: 19 August 2026).</w:t>
      </w:r>
    </w:p>
    <w:p w14:paraId="32552CCF" w14:textId="77777777" w:rsidR="00563B51" w:rsidRDefault="00F27550">
      <w:pPr>
        <w:spacing w:after="160" w:line="276" w:lineRule="auto"/>
        <w:ind w:left="720" w:hanging="720"/>
      </w:pPr>
      <w:r>
        <w:rPr>
          <w:rFonts w:ascii="Arial" w:eastAsia="Arial" w:hAnsi="Arial" w:cs="Arial"/>
          <w:sz w:val="22"/>
          <w:szCs w:val="22"/>
        </w:rPr>
        <w:t>De Corte, W. et al. (2025) 'Time to diagnose endometriosis: current status, challenges and regional characteristics — a systematic literature review', BJOG: An International Journal of Obstetrics &amp; Gynaecology. Available at: https://obgyn.onlinelibrary.wiley.com/doi/full/10.1111/1471-0528.17973 (Accessed: 19 August 2026).</w:t>
      </w:r>
    </w:p>
    <w:p w14:paraId="08A4D2F3" w14:textId="77777777" w:rsidR="00563B51" w:rsidRDefault="00F27550">
      <w:pPr>
        <w:spacing w:after="160" w:line="276" w:lineRule="auto"/>
        <w:ind w:left="720" w:hanging="720"/>
      </w:pPr>
      <w:r>
        <w:rPr>
          <w:rFonts w:ascii="Arial" w:eastAsia="Arial" w:hAnsi="Arial" w:cs="Arial"/>
          <w:sz w:val="22"/>
          <w:szCs w:val="22"/>
        </w:rPr>
        <w:t>El Bassiri, Y., Azeem, A., Sharma, A.C., Hassan, M., Hassan, M. and Omari, I. (2025) 'Gender disparities in ischemic heart disease management: underdiagnosis in women and differences in treatment', Cureus, 17(8), e89912. Available at: https://www.ncbi.nlm.nih.gov/pmc/articles/PMC12425171/ (Accessed: 19 August 2026).</w:t>
      </w:r>
    </w:p>
    <w:p w14:paraId="363D6E46" w14:textId="77777777" w:rsidR="00563B51" w:rsidRDefault="00F27550">
      <w:pPr>
        <w:spacing w:after="160" w:line="276" w:lineRule="auto"/>
        <w:ind w:left="720" w:hanging="720"/>
      </w:pPr>
      <w:r>
        <w:rPr>
          <w:rFonts w:ascii="Arial" w:eastAsia="Arial" w:hAnsi="Arial" w:cs="Arial"/>
          <w:sz w:val="22"/>
          <w:szCs w:val="22"/>
        </w:rPr>
        <w:t>GOV.UK (2026) Women's voices to be at the heart of renewed health strategy. Available at: https://www.gov.uk/government/news/womens-voices-to-be-at-the-heart-of-renewed-health-strategy (Accessed: 18 August 2026).</w:t>
      </w:r>
    </w:p>
    <w:p w14:paraId="6DBC3D88" w14:textId="77777777" w:rsidR="00563B51" w:rsidRDefault="00F27550">
      <w:pPr>
        <w:spacing w:after="160" w:line="276" w:lineRule="auto"/>
        <w:ind w:left="720" w:hanging="720"/>
      </w:pPr>
      <w:r>
        <w:rPr>
          <w:rFonts w:ascii="Arial" w:eastAsia="Arial" w:hAnsi="Arial" w:cs="Arial"/>
          <w:sz w:val="22"/>
          <w:szCs w:val="22"/>
        </w:rPr>
        <w:lastRenderedPageBreak/>
        <w:t>Hansard (2025) Women's Health Strategy, UK Parliament, 16 December. Available at: https://hansard.parliament.uk/Lords/2025-12-16/debates/7292706A-A623-45EC-BD38-977C4CAA81A7/Women%E2%80%99SHealthStrategy (Accessed: 18 August 2026).</w:t>
      </w:r>
    </w:p>
    <w:p w14:paraId="69917CE5" w14:textId="77777777" w:rsidR="00563B51" w:rsidRDefault="00F27550">
      <w:pPr>
        <w:spacing w:after="160" w:line="276" w:lineRule="auto"/>
        <w:ind w:left="720" w:hanging="720"/>
      </w:pPr>
      <w:r>
        <w:rPr>
          <w:rFonts w:ascii="Arial" w:eastAsia="Arial" w:hAnsi="Arial" w:cs="Arial"/>
          <w:sz w:val="22"/>
          <w:szCs w:val="22"/>
        </w:rPr>
        <w:t>House of Commons Library (2025) Women's health. Available at: https://commonslibrary.parliament.uk/research-briefings/cdp-2025-0038/ (Accessed: 18 August 2026).</w:t>
      </w:r>
    </w:p>
    <w:p w14:paraId="0D714C04" w14:textId="77777777" w:rsidR="00563B51" w:rsidRDefault="00F27550">
      <w:pPr>
        <w:spacing w:after="160" w:line="276" w:lineRule="auto"/>
        <w:ind w:left="720" w:hanging="720"/>
      </w:pPr>
      <w:r>
        <w:rPr>
          <w:rFonts w:ascii="Arial" w:eastAsia="Arial" w:hAnsi="Arial" w:cs="Arial"/>
          <w:sz w:val="22"/>
          <w:szCs w:val="22"/>
        </w:rPr>
        <w:t>House of Lords Library (2021) Women's health outcomes: Is there a gender gap? Available at: https://lordslibrary.parliament.uk/womens-health-outcomes-is-there-a-gender-gap/ (Accessed: 18 August 2026).</w:t>
      </w:r>
    </w:p>
    <w:p w14:paraId="4E7DDB5E" w14:textId="77777777" w:rsidR="00563B51" w:rsidRDefault="00F27550">
      <w:pPr>
        <w:spacing w:after="160" w:line="276" w:lineRule="auto"/>
        <w:ind w:left="720" w:hanging="720"/>
      </w:pPr>
      <w:r>
        <w:rPr>
          <w:rFonts w:ascii="Arial" w:eastAsia="Arial" w:hAnsi="Arial" w:cs="Arial"/>
          <w:sz w:val="22"/>
          <w:szCs w:val="22"/>
        </w:rPr>
        <w:t>LSE Public Policy Review (2025) Barriers to Women in Accessing Healthcare in the UK – A Review. Available at: https://ppr.lse.ac.uk/articles/10.31389/lseppr.122 (Accessed: 18 August 2026).</w:t>
      </w:r>
    </w:p>
    <w:p w14:paraId="4D557B8A" w14:textId="77777777" w:rsidR="00563B51" w:rsidRDefault="00F27550">
      <w:pPr>
        <w:spacing w:after="160" w:line="276" w:lineRule="auto"/>
        <w:ind w:left="720" w:hanging="720"/>
      </w:pPr>
      <w:r>
        <w:rPr>
          <w:rFonts w:ascii="Arial" w:eastAsia="Arial" w:hAnsi="Arial" w:cs="Arial"/>
          <w:sz w:val="22"/>
          <w:szCs w:val="22"/>
        </w:rPr>
        <w:t>NHS Digital (2021) Health Survey for England 2021 Part 2: Adult health – Hypertension. Available at: https://digital.nhs.uk/data-and-information/publications/statistical/health-survey-for-england/2021-part-2/adult-health-hypertension (Accessed: 18 August 2026).</w:t>
      </w:r>
    </w:p>
    <w:p w14:paraId="63714787" w14:textId="77777777" w:rsidR="00563B51" w:rsidRDefault="00F27550">
      <w:pPr>
        <w:spacing w:after="160" w:line="276" w:lineRule="auto"/>
        <w:ind w:left="720" w:hanging="720"/>
      </w:pPr>
      <w:r>
        <w:rPr>
          <w:rFonts w:ascii="Arial" w:eastAsia="Arial" w:hAnsi="Arial" w:cs="Arial"/>
          <w:sz w:val="22"/>
          <w:szCs w:val="22"/>
        </w:rPr>
        <w:t>NHS England Digital (2026) Health Survey for England, 2024: Adults' health. Available at: https://digital.nhs.uk/data-and-information/publications/statistical/health-survey-for-england/2024/adults-health (Accessed: 18 August 2026).</w:t>
      </w:r>
    </w:p>
    <w:p w14:paraId="0BD2038D" w14:textId="77777777" w:rsidR="00563B51" w:rsidRDefault="00F27550">
      <w:pPr>
        <w:spacing w:after="160" w:line="276" w:lineRule="auto"/>
        <w:ind w:left="720" w:hanging="720"/>
      </w:pPr>
      <w:r>
        <w:rPr>
          <w:rFonts w:ascii="Arial" w:eastAsia="Arial" w:hAnsi="Arial" w:cs="Arial"/>
          <w:sz w:val="22"/>
          <w:szCs w:val="22"/>
        </w:rPr>
        <w:t>Merone, L., Tsey, K., Russell, D. and Nagle, C. (2022) 'Sex inequalities in medical research: a systematic scoping review of the literature', Women's Health Reports, 3(1), pp.49–59. Available at: https://www.ncbi.nlm.nih.gov/pmc/articles/PMC8812498/ (Accessed: 19 August 2026).</w:t>
      </w:r>
    </w:p>
    <w:p w14:paraId="12DEF538" w14:textId="77777777" w:rsidR="00563B51" w:rsidRDefault="00F27550">
      <w:pPr>
        <w:spacing w:after="160" w:line="276" w:lineRule="auto"/>
        <w:ind w:left="720" w:hanging="720"/>
      </w:pPr>
      <w:r>
        <w:rPr>
          <w:rFonts w:ascii="Arial" w:eastAsia="Arial" w:hAnsi="Arial" w:cs="Arial"/>
          <w:sz w:val="22"/>
          <w:szCs w:val="22"/>
        </w:rPr>
        <w:t>Office for National Statistics (2022) Risk factors for undiagnosed high blood pressure in England, 2015 to 2019. Available at: https://cy.ons.gov.uk/peoplepopulationandcommunity/healthandsocialcare/healthandwellbeing/articles/riskfactorsforundiagnosedhighbloodpressureinengland/2015to2019/pdf (Accessed: 18 August 2026).</w:t>
      </w:r>
    </w:p>
    <w:p w14:paraId="0E721347" w14:textId="77777777" w:rsidR="00563B51" w:rsidRDefault="00F27550">
      <w:pPr>
        <w:spacing w:after="160" w:line="276" w:lineRule="auto"/>
        <w:ind w:left="720" w:hanging="720"/>
      </w:pPr>
      <w:r>
        <w:rPr>
          <w:rFonts w:ascii="Arial" w:eastAsia="Arial" w:hAnsi="Arial" w:cs="Arial"/>
          <w:sz w:val="22"/>
          <w:szCs w:val="22"/>
        </w:rPr>
        <w:t>Office for National Statistics (2025a) Gender pay gap in the UK: 2025. Available at: https://www.ons.gov.uk/employmentandlabourmarket/peopleinwork/earningsandworkinghours/bulletins/genderpaygapintheuk/2025 (Accessed: 18 August 2026).</w:t>
      </w:r>
    </w:p>
    <w:p w14:paraId="495A4B88" w14:textId="77777777" w:rsidR="00563B51" w:rsidRDefault="00F27550">
      <w:pPr>
        <w:spacing w:after="160" w:line="276" w:lineRule="auto"/>
        <w:ind w:left="720" w:hanging="720"/>
      </w:pPr>
      <w:r>
        <w:rPr>
          <w:rFonts w:ascii="Arial" w:eastAsia="Arial" w:hAnsi="Arial" w:cs="Arial"/>
          <w:sz w:val="22"/>
          <w:szCs w:val="22"/>
        </w:rPr>
        <w:t>Office for National Statistics (2025b) Domestic abuse victim characteristics, England and Wales: year ending March 2025. Available at: https://www.ons.gov.uk/peoplepopulationandcommunity/crimeandjustice/articles/domesticabusevictimcharacteristicsenglandandwales/yearendingmarch2025 (Accessed: 19 August 2026).</w:t>
      </w:r>
    </w:p>
    <w:p w14:paraId="281077D9" w14:textId="77777777" w:rsidR="00563B51" w:rsidRDefault="00F27550">
      <w:pPr>
        <w:spacing w:after="160" w:line="276" w:lineRule="auto"/>
        <w:ind w:left="720" w:hanging="720"/>
      </w:pPr>
      <w:r>
        <w:rPr>
          <w:rFonts w:ascii="Arial" w:eastAsia="Arial" w:hAnsi="Arial" w:cs="Arial"/>
          <w:sz w:val="22"/>
          <w:szCs w:val="22"/>
        </w:rPr>
        <w:t>Policy Connect (2026) The renewed Women's Health Strategy: progress on paper, pressure on delivery. Available at: https://policyconnect.org.uk/blog/the-renewed-womens-health-strategy-progress-on-paper-pressure-on-delivery/ (Accessed: 18 August 2026).</w:t>
      </w:r>
    </w:p>
    <w:p w14:paraId="1AD298B3" w14:textId="77777777" w:rsidR="00563B51" w:rsidRDefault="00F27550">
      <w:pPr>
        <w:spacing w:after="160" w:line="276" w:lineRule="auto"/>
        <w:ind w:left="720" w:hanging="720"/>
      </w:pPr>
      <w:r>
        <w:rPr>
          <w:rFonts w:ascii="Arial" w:eastAsia="Arial" w:hAnsi="Arial" w:cs="Arial"/>
          <w:sz w:val="22"/>
          <w:szCs w:val="22"/>
        </w:rPr>
        <w:lastRenderedPageBreak/>
        <w:t>Robson, J., Dostal, I., Sheikh, A., Eldridge, S., Madurasinghe</w:t>
      </w:r>
      <w:r>
        <w:rPr>
          <w:rFonts w:ascii="Arial" w:eastAsia="Arial" w:hAnsi="Arial" w:cs="Arial"/>
          <w:sz w:val="22"/>
          <w:szCs w:val="22"/>
        </w:rPr>
        <w:t>, V., Griffiths, C. et al. (2016) 'The NHS Health Check in England: an evaluation of the first 4 years', BMJ Open, 6(1), e008840. Available at: https://doi.org/10.1136/bmjopen-2015-008840 (Accessed: 19 August 2026).</w:t>
      </w:r>
    </w:p>
    <w:p w14:paraId="1C38CED7" w14:textId="77777777" w:rsidR="00563B51" w:rsidRDefault="00F27550">
      <w:pPr>
        <w:spacing w:after="160" w:line="276" w:lineRule="auto"/>
        <w:ind w:left="720" w:hanging="720"/>
      </w:pPr>
      <w:r>
        <w:rPr>
          <w:rFonts w:ascii="Arial" w:eastAsia="Arial" w:hAnsi="Arial" w:cs="Arial"/>
          <w:sz w:val="22"/>
          <w:szCs w:val="22"/>
        </w:rPr>
        <w:t>Ruane-McAteer, E., Amin, A., Hanratty, J., Lynn, F., Corbijn van Willenswaard</w:t>
      </w:r>
      <w:r>
        <w:rPr>
          <w:rFonts w:ascii="Arial" w:eastAsia="Arial" w:hAnsi="Arial" w:cs="Arial"/>
          <w:sz w:val="22"/>
          <w:szCs w:val="22"/>
        </w:rPr>
        <w:t>, K., Reid, E., Khosla, R. and Lohan, M. (2019) 'Interventions addressing men, masculinities and gender equality in sexual and reproductive health and rights: an evidence and gap map and systematic review of reviews', BMJ Global Health, 4(5), e001634. Available at: https://www.ncbi.nlm.nih.gov/pmc/articles/PMC6747894/ (Accessed: 19 August 2026).</w:t>
      </w:r>
    </w:p>
    <w:p w14:paraId="4A63D057" w14:textId="77777777" w:rsidR="00563B51" w:rsidRDefault="00F27550">
      <w:pPr>
        <w:spacing w:after="160" w:line="276" w:lineRule="auto"/>
        <w:ind w:left="720" w:hanging="720"/>
      </w:pPr>
      <w:r>
        <w:rPr>
          <w:rFonts w:ascii="Arial" w:eastAsia="Arial" w:hAnsi="Arial" w:cs="Arial"/>
          <w:sz w:val="22"/>
          <w:szCs w:val="22"/>
        </w:rPr>
        <w:t>Royal College of Obstetricians and Gynaecologists (2025) A Work in Progress: Evaluating the Women's Health Strategy. Available at: https://www.rcog.org.uk/about-us/campaigning-and-opinions/a-work-in-progress-evaluating-the-women-s-health-strategy/ (Accessed: 18 August 2026).</w:t>
      </w:r>
    </w:p>
    <w:p w14:paraId="723C8952" w14:textId="77777777" w:rsidR="00563B51" w:rsidRDefault="00F27550">
      <w:pPr>
        <w:spacing w:after="160" w:line="276" w:lineRule="auto"/>
        <w:ind w:left="720" w:hanging="720"/>
      </w:pPr>
      <w:r>
        <w:rPr>
          <w:rFonts w:ascii="Arial" w:eastAsia="Arial" w:hAnsi="Arial" w:cs="Arial"/>
          <w:sz w:val="22"/>
          <w:szCs w:val="22"/>
        </w:rPr>
        <w:t>Tanner, L., Kenny, R., Still, M., Ling, J., Pearson, F., Thompson, K. et al. (2022) 'NHS Health Check programme: a rapid review update', BMJ Open, 12(2), e052832. Available at: https://pmc.ncbi.nlm.nih.gov/articles/PMC8852663/ (Accessed: 19 August 2026).</w:t>
      </w:r>
    </w:p>
    <w:p w14:paraId="176D0853" w14:textId="77777777" w:rsidR="00563B51" w:rsidRDefault="00F27550">
      <w:pPr>
        <w:spacing w:after="160" w:line="276" w:lineRule="auto"/>
        <w:ind w:left="720" w:hanging="720"/>
      </w:pPr>
      <w:r>
        <w:rPr>
          <w:rFonts w:ascii="Arial" w:eastAsia="Arial" w:hAnsi="Arial" w:cs="Arial"/>
          <w:sz w:val="22"/>
          <w:szCs w:val="22"/>
        </w:rPr>
        <w:t>The Lancet Public Health (2024) 'Gender-related self-reported mental health inequalities in primary care in England: a cross-sectional analysis using the GP Patient Survey'. Available at: https://www.thelancet.com/journals/lanpub/article/PIIS2468-2667(23)00301-8/fulltext (Accessed: 18 August 2026).</w:t>
      </w:r>
    </w:p>
    <w:p w14:paraId="4CE5239B" w14:textId="77777777" w:rsidR="00563B51" w:rsidRDefault="00F27550">
      <w:pPr>
        <w:spacing w:after="160" w:line="276" w:lineRule="auto"/>
        <w:ind w:left="720" w:hanging="720"/>
      </w:pPr>
      <w:r>
        <w:rPr>
          <w:rFonts w:ascii="Arial" w:eastAsia="Arial" w:hAnsi="Arial" w:cs="Arial"/>
          <w:sz w:val="22"/>
          <w:szCs w:val="22"/>
        </w:rPr>
        <w:t>University of Wolverhampton (2023) Mental health in women and mental health in men: Understanding the differences. Available at: https://online.wlv.ac.uk/mental-health-in-women-and-mental-health-in-men-understanding-the-differences/ (Accessed: 18 August 2026).</w:t>
      </w:r>
    </w:p>
    <w:p w14:paraId="0D93C7C7" w14:textId="77777777" w:rsidR="00563B51" w:rsidRDefault="00F27550">
      <w:pPr>
        <w:spacing w:after="160" w:line="276" w:lineRule="auto"/>
        <w:ind w:left="720" w:hanging="720"/>
      </w:pPr>
      <w:r>
        <w:rPr>
          <w:rFonts w:ascii="Arial" w:eastAsia="Arial" w:hAnsi="Arial" w:cs="Arial"/>
          <w:sz w:val="22"/>
          <w:szCs w:val="22"/>
        </w:rPr>
        <w:t>Women's Budget Group (2026) Health Inequalities and Gender briefing 2026. Available at: https://www.wbg.org.uk/publication/health-inequalities-and-gender-briefing-2026/ (Accessed: 18 August 2026).</w:t>
      </w:r>
    </w:p>
    <w:p w14:paraId="7963E84B" w14:textId="77777777" w:rsidR="00563B51" w:rsidRDefault="00F27550">
      <w:pPr>
        <w:spacing w:after="160" w:line="276" w:lineRule="auto"/>
        <w:ind w:left="720" w:hanging="720"/>
      </w:pPr>
      <w:r>
        <w:rPr>
          <w:rFonts w:ascii="Arial" w:eastAsia="Arial" w:hAnsi="Arial" w:cs="Arial"/>
          <w:sz w:val="22"/>
          <w:szCs w:val="22"/>
        </w:rPr>
        <w:t>World Health Organization (2025a) Hypertension. Available at: https://www.who.int/news-room/fact-sheets/detail/hypertension (Accessed: 18 August 2026).</w:t>
      </w:r>
    </w:p>
    <w:p w14:paraId="08D37EA2" w14:textId="77777777" w:rsidR="00563B51" w:rsidRDefault="00F27550">
      <w:pPr>
        <w:spacing w:after="160" w:line="276" w:lineRule="auto"/>
        <w:ind w:left="720" w:hanging="720"/>
      </w:pPr>
      <w:r>
        <w:rPr>
          <w:rFonts w:ascii="Arial" w:eastAsia="Arial" w:hAnsi="Arial" w:cs="Arial"/>
          <w:sz w:val="22"/>
          <w:szCs w:val="22"/>
        </w:rPr>
        <w:t>World Health Organization (2025b) Uncontrolled high blood pressure puts over a billion people at risk. Available at: https://www.who.int/news/item/23-09-2025-uncontrolled-high-blood-pressure-puts-over-a-billion-people-at-risk (Accessed: 18 August 2026).</w:t>
      </w:r>
    </w:p>
    <w:p w14:paraId="34ADCA38" w14:textId="77777777" w:rsidR="00563B51" w:rsidRDefault="00F27550">
      <w:pPr>
        <w:spacing w:after="160" w:line="276" w:lineRule="auto"/>
        <w:ind w:left="720" w:hanging="720"/>
      </w:pPr>
      <w:r>
        <w:rPr>
          <w:rFonts w:ascii="Arial" w:eastAsia="Arial" w:hAnsi="Arial" w:cs="Arial"/>
          <w:sz w:val="22"/>
          <w:szCs w:val="22"/>
        </w:rPr>
        <w:t>Young, L., Bibi, H. and Rasheed, R. (2022) 'Undetected hypertension in primary care – a public health iceberg?', European Journal of Public Health, 32(Suppl 3). Available at: https://www.ncbi.nlm.nih.gov/pmc/articles/PMC9594719/ (Accessed: 18 August 2026).</w:t>
      </w:r>
    </w:p>
    <w:p w14:paraId="0A33971F" w14:textId="77777777" w:rsidR="00563B51" w:rsidRDefault="00F27550">
      <w:pPr>
        <w:spacing w:after="160" w:line="276" w:lineRule="auto"/>
        <w:ind w:left="720" w:hanging="720"/>
      </w:pPr>
      <w:r>
        <w:rPr>
          <w:rFonts w:ascii="Arial" w:eastAsia="Arial" w:hAnsi="Arial" w:cs="Arial"/>
          <w:sz w:val="22"/>
          <w:szCs w:val="22"/>
        </w:rPr>
        <w:t>Zhou, B. et al. (2021) 'Worldwide trends in hypertension prevalence and progress in treatment and control from 1990 to 2019: a pooled analysis of 1201 population-representative studies with 104 million participants', The Lancet. Available at: https://www.ncbi.nlm.nih.gov/pmc/articles/PMC8446938/ (Accessed: 18 August 2026).</w:t>
      </w:r>
    </w:p>
    <w:sectPr w:rsidR="00563B51">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autami">
    <w:panose1 w:val="020B0502040204020203"/>
    <w:charset w:val="00"/>
    <w:family w:val="swiss"/>
    <w:pitch w:val="variable"/>
    <w:sig w:usb0="002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8545C"/>
    <w:multiLevelType w:val="hybridMultilevel"/>
    <w:tmpl w:val="EC58799A"/>
    <w:lvl w:ilvl="0" w:tplc="8A7A12BA">
      <w:start w:val="1"/>
      <w:numFmt w:val="bullet"/>
      <w:lvlText w:val="●"/>
      <w:lvlJc w:val="left"/>
      <w:pPr>
        <w:ind w:left="720" w:hanging="360"/>
      </w:pPr>
    </w:lvl>
    <w:lvl w:ilvl="1" w:tplc="F0BAD5A8">
      <w:start w:val="1"/>
      <w:numFmt w:val="bullet"/>
      <w:lvlText w:val="○"/>
      <w:lvlJc w:val="left"/>
      <w:pPr>
        <w:ind w:left="1440" w:hanging="360"/>
      </w:pPr>
    </w:lvl>
    <w:lvl w:ilvl="2" w:tplc="3140E26C">
      <w:start w:val="1"/>
      <w:numFmt w:val="bullet"/>
      <w:lvlText w:val="■"/>
      <w:lvlJc w:val="left"/>
      <w:pPr>
        <w:ind w:left="2160" w:hanging="360"/>
      </w:pPr>
    </w:lvl>
    <w:lvl w:ilvl="3" w:tplc="CD38644E">
      <w:start w:val="1"/>
      <w:numFmt w:val="bullet"/>
      <w:lvlText w:val="●"/>
      <w:lvlJc w:val="left"/>
      <w:pPr>
        <w:ind w:left="2880" w:hanging="360"/>
      </w:pPr>
    </w:lvl>
    <w:lvl w:ilvl="4" w:tplc="5EA8C266">
      <w:start w:val="1"/>
      <w:numFmt w:val="bullet"/>
      <w:lvlText w:val="○"/>
      <w:lvlJc w:val="left"/>
      <w:pPr>
        <w:ind w:left="3600" w:hanging="360"/>
      </w:pPr>
    </w:lvl>
    <w:lvl w:ilvl="5" w:tplc="57EC636A">
      <w:start w:val="1"/>
      <w:numFmt w:val="bullet"/>
      <w:lvlText w:val="■"/>
      <w:lvlJc w:val="left"/>
      <w:pPr>
        <w:ind w:left="4320" w:hanging="360"/>
      </w:pPr>
    </w:lvl>
    <w:lvl w:ilvl="6" w:tplc="34946164">
      <w:start w:val="1"/>
      <w:numFmt w:val="bullet"/>
      <w:lvlText w:val="●"/>
      <w:lvlJc w:val="left"/>
      <w:pPr>
        <w:ind w:left="5040" w:hanging="360"/>
      </w:pPr>
    </w:lvl>
    <w:lvl w:ilvl="7" w:tplc="A942B77A">
      <w:start w:val="1"/>
      <w:numFmt w:val="bullet"/>
      <w:lvlText w:val="●"/>
      <w:lvlJc w:val="left"/>
      <w:pPr>
        <w:ind w:left="5760" w:hanging="360"/>
      </w:pPr>
    </w:lvl>
    <w:lvl w:ilvl="8" w:tplc="64F47962">
      <w:start w:val="1"/>
      <w:numFmt w:val="bullet"/>
      <w:lvlText w:val="●"/>
      <w:lvlJc w:val="left"/>
      <w:pPr>
        <w:ind w:left="6480" w:hanging="360"/>
      </w:pPr>
    </w:lvl>
  </w:abstractNum>
  <w:num w:numId="1" w16cid:durableId="41328687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3B51"/>
    <w:rsid w:val="00563B51"/>
    <w:rsid w:val="005E131C"/>
    <w:rsid w:val="006B1260"/>
    <w:rsid w:val="009011B1"/>
    <w:rsid w:val="009D35BA"/>
    <w:rsid w:val="00A12963"/>
  </w:rsids>
  <m:mathPr>
    <m:mathFont m:val="Cambria Math"/>
    <m:brkBin m:val="before"/>
    <m:brkBinSub m:val="--"/>
    <m:smallFrac m:val="0"/>
    <m:dispDef/>
    <m:lMargin m:val="0"/>
    <m:rMargin m:val="0"/>
    <m:defJc m:val="centerGroup"/>
    <m:wrapIndent m:val="1440"/>
    <m:intLim m:val="subSup"/>
    <m:naryLim m:val="undOvr"/>
  </m:mathPr>
  <w:themeFontLang w:val="en-IN"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7326C"/>
  <w15:docId w15:val="{4181B9DA-C620-478B-9B68-078CD2A7F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te-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3861</Words>
  <Characters>22014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ravi marepogu</cp:lastModifiedBy>
  <cp:revision>3</cp:revision>
  <dcterms:created xsi:type="dcterms:W3CDTF">2026-08-19T10:49:00Z</dcterms:created>
  <dcterms:modified xsi:type="dcterms:W3CDTF">2026-08-19T10:52:00Z</dcterms:modified>
</cp:coreProperties>
</file>