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23283" w14:textId="77777777" w:rsidR="00D02C3B" w:rsidRDefault="00D02C3B" w:rsidP="00D02C3B"/>
    <w:p w14:paraId="36764DFE" w14:textId="77777777" w:rsidR="00D02C3B" w:rsidRDefault="00D02C3B" w:rsidP="00D02C3B">
      <w:pPr>
        <w:jc w:val="center"/>
      </w:pPr>
    </w:p>
    <w:p w14:paraId="160DB7F9" w14:textId="77777777" w:rsidR="00D02C3B" w:rsidRDefault="00D02C3B" w:rsidP="00D02C3B">
      <w:pPr>
        <w:jc w:val="center"/>
      </w:pPr>
    </w:p>
    <w:p w14:paraId="6D14BA27" w14:textId="77777777" w:rsidR="00D02C3B" w:rsidRDefault="00D02C3B" w:rsidP="00D02C3B"/>
    <w:p w14:paraId="4E7BCD93" w14:textId="77777777" w:rsidR="007272A8" w:rsidRPr="00C56009" w:rsidRDefault="007272A8" w:rsidP="007272A8">
      <w:pPr>
        <w:jc w:val="center"/>
        <w:rPr>
          <w:b/>
          <w:bCs/>
          <w:sz w:val="36"/>
          <w:szCs w:val="36"/>
        </w:rPr>
      </w:pPr>
      <w:r w:rsidRPr="00C56009">
        <w:rPr>
          <w:b/>
          <w:bCs/>
          <w:sz w:val="36"/>
          <w:szCs w:val="36"/>
        </w:rPr>
        <w:t>Topic: The Role of Residential Care Homes: Do They Provide Quality Care or Restrict Freedom</w:t>
      </w:r>
    </w:p>
    <w:p w14:paraId="15BAA55B" w14:textId="77777777" w:rsidR="00D02C3B" w:rsidRDefault="00D02C3B" w:rsidP="00D02C3B"/>
    <w:p w14:paraId="5348FF23" w14:textId="77777777" w:rsidR="00D02C3B" w:rsidRDefault="00D02C3B" w:rsidP="00D02C3B"/>
    <w:p w14:paraId="5B1E1A5D" w14:textId="1E639340" w:rsidR="00D02C3B" w:rsidRDefault="00D02C3B" w:rsidP="00D02C3B">
      <w:pPr>
        <w:jc w:val="center"/>
      </w:pPr>
      <w:r w:rsidRPr="00D02C3B">
        <w:t>Programme</w:t>
      </w:r>
      <w:r>
        <w:t xml:space="preserve">: </w:t>
      </w:r>
      <w:r w:rsidRPr="00D02C3B">
        <w:t>BSc (Hons) Health and Social Care</w:t>
      </w:r>
    </w:p>
    <w:p w14:paraId="3F2D7819" w14:textId="59073AA3" w:rsidR="00D02C3B" w:rsidRDefault="00D02C3B" w:rsidP="00D02C3B">
      <w:pPr>
        <w:jc w:val="center"/>
      </w:pPr>
      <w:r w:rsidRPr="00D02C3B">
        <w:t>Module:</w:t>
      </w:r>
      <w:r>
        <w:t xml:space="preserve"> </w:t>
      </w:r>
      <w:r w:rsidRPr="00D02C3B">
        <w:t>Empowering the Older Person</w:t>
      </w:r>
    </w:p>
    <w:p w14:paraId="027721B4" w14:textId="3965D0ED" w:rsidR="00D02C3B" w:rsidRDefault="00D02C3B" w:rsidP="00D02C3B">
      <w:pPr>
        <w:jc w:val="center"/>
      </w:pPr>
      <w:r w:rsidRPr="00D02C3B">
        <w:t>Module code:</w:t>
      </w:r>
      <w:r w:rsidRPr="00D02C3B">
        <w:tab/>
        <w:t>BMHP6027</w:t>
      </w:r>
    </w:p>
    <w:p w14:paraId="135BF585" w14:textId="14A0F250" w:rsidR="00D02C3B" w:rsidRDefault="00D02C3B" w:rsidP="00D02C3B">
      <w:pPr>
        <w:jc w:val="center"/>
      </w:pPr>
      <w:r>
        <w:t>Student Name:</w:t>
      </w:r>
      <w:r w:rsidR="00D445FD">
        <w:t xml:space="preserve"> Nabila Nazam</w:t>
      </w:r>
    </w:p>
    <w:p w14:paraId="5707F6BE" w14:textId="0BE7C807" w:rsidR="00D02C3B" w:rsidRDefault="00D02C3B" w:rsidP="00D02C3B">
      <w:pPr>
        <w:jc w:val="center"/>
      </w:pPr>
      <w:r>
        <w:t>Student ID:</w:t>
      </w:r>
      <w:r w:rsidR="00D445FD">
        <w:t xml:space="preserve"> 2324644</w:t>
      </w:r>
    </w:p>
    <w:p w14:paraId="1B128F25" w14:textId="77777777" w:rsidR="00D02C3B" w:rsidRDefault="00D02C3B" w:rsidP="00D02C3B">
      <w:pPr>
        <w:jc w:val="center"/>
      </w:pPr>
    </w:p>
    <w:p w14:paraId="4DFE60F6" w14:textId="710084BE" w:rsidR="00D02C3B" w:rsidRDefault="00D02C3B" w:rsidP="00D02C3B">
      <w:pPr>
        <w:jc w:val="center"/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DA8E525" wp14:editId="2F043BF2">
            <wp:simplePos x="0" y="0"/>
            <wp:positionH relativeFrom="column">
              <wp:posOffset>1674108</wp:posOffset>
            </wp:positionH>
            <wp:positionV relativeFrom="paragraph">
              <wp:posOffset>79111</wp:posOffset>
            </wp:positionV>
            <wp:extent cx="2743200" cy="143637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A7DE3F" w14:textId="19050794" w:rsidR="00D02C3B" w:rsidRDefault="00D02C3B" w:rsidP="00D02C3B">
      <w:pPr>
        <w:jc w:val="center"/>
      </w:pPr>
    </w:p>
    <w:p w14:paraId="5F4B5950" w14:textId="28F81946" w:rsidR="00D02C3B" w:rsidRDefault="00D02C3B" w:rsidP="00D02C3B">
      <w:pPr>
        <w:jc w:val="center"/>
      </w:pPr>
    </w:p>
    <w:p w14:paraId="1A16BD71" w14:textId="77777777" w:rsidR="00D02C3B" w:rsidRDefault="00D02C3B" w:rsidP="00D02C3B"/>
    <w:p w14:paraId="6B076D7C" w14:textId="77777777" w:rsidR="00D02C3B" w:rsidRDefault="00D02C3B" w:rsidP="00D02C3B"/>
    <w:p w14:paraId="783855D4" w14:textId="77777777" w:rsidR="00D02C3B" w:rsidRDefault="00D02C3B" w:rsidP="00D02C3B"/>
    <w:p w14:paraId="03F1B6EC" w14:textId="77777777" w:rsidR="00D02C3B" w:rsidRDefault="00D02C3B" w:rsidP="00D02C3B"/>
    <w:p w14:paraId="73CCA112" w14:textId="77777777" w:rsidR="00D02C3B" w:rsidRDefault="00D02C3B" w:rsidP="00D02C3B"/>
    <w:p w14:paraId="5F2FF71D" w14:textId="702CB289" w:rsidR="00D02C3B" w:rsidRDefault="00D02C3B" w:rsidP="00D02C3B">
      <w:pPr>
        <w:pStyle w:val="Heading1"/>
      </w:pPr>
      <w:r w:rsidRPr="00D02C3B">
        <w:lastRenderedPageBreak/>
        <w:t>Reference list</w:t>
      </w:r>
    </w:p>
    <w:p w14:paraId="4E27FD8F" w14:textId="77777777" w:rsidR="00D02C3B" w:rsidRPr="00D02C3B" w:rsidRDefault="00D02C3B" w:rsidP="00D02C3B">
      <w:pPr>
        <w:spacing w:line="278" w:lineRule="auto"/>
      </w:pPr>
      <w:r w:rsidRPr="00D02C3B">
        <w:t xml:space="preserve">Bowes, A., Dawson, A., Greasley-Adams, C., Jepson, R. and McCabe, L. (2022) ‘Care home residents on the move: The significance of cultural context for physical activity’, </w:t>
      </w:r>
      <w:r w:rsidRPr="00D02C3B">
        <w:rPr>
          <w:i/>
          <w:iCs/>
        </w:rPr>
        <w:t>Ageing &amp; Society</w:t>
      </w:r>
      <w:r w:rsidRPr="00D02C3B">
        <w:t xml:space="preserve">, 42(8), pp. 1899–1920. Available at: </w:t>
      </w:r>
      <w:hyperlink r:id="rId6" w:history="1">
        <w:r w:rsidRPr="00D02C3B">
          <w:rPr>
            <w:rStyle w:val="Hyperlink"/>
          </w:rPr>
          <w:t>https://doi.org/10.1017/S0144686X20001920</w:t>
        </w:r>
      </w:hyperlink>
      <w:r w:rsidRPr="00D02C3B">
        <w:t>.</w:t>
      </w:r>
    </w:p>
    <w:p w14:paraId="6F37319C" w14:textId="77777777" w:rsidR="00D02C3B" w:rsidRPr="00D02C3B" w:rsidRDefault="00D02C3B" w:rsidP="00D02C3B">
      <w:pPr>
        <w:spacing w:line="278" w:lineRule="auto"/>
      </w:pPr>
      <w:r w:rsidRPr="00D02C3B">
        <w:t xml:space="preserve">Bradshaw, A., Ostler, S., Goodman, C. </w:t>
      </w:r>
      <w:r w:rsidRPr="00D02C3B">
        <w:rPr>
          <w:i/>
          <w:iCs/>
        </w:rPr>
        <w:t>et al.</w:t>
      </w:r>
      <w:r w:rsidRPr="00D02C3B">
        <w:t xml:space="preserve"> (2023) ‘Provision of palliative and end-of-life care in UK care homes during the COVID-19 pandemic: A mixed methods observational study with implications for policy’, </w:t>
      </w:r>
      <w:r w:rsidRPr="00D02C3B">
        <w:rPr>
          <w:i/>
          <w:iCs/>
        </w:rPr>
        <w:t>Frontiers in Public Health</w:t>
      </w:r>
      <w:r w:rsidRPr="00D02C3B">
        <w:t xml:space="preserve">, 11, 1058736. Available at: </w:t>
      </w:r>
      <w:hyperlink r:id="rId7" w:history="1">
        <w:r w:rsidRPr="00D02C3B">
          <w:rPr>
            <w:rStyle w:val="Hyperlink"/>
          </w:rPr>
          <w:t>https://doi.org/10.3389/fpubh.2023.1058736</w:t>
        </w:r>
      </w:hyperlink>
      <w:r w:rsidRPr="00D02C3B">
        <w:t>.</w:t>
      </w:r>
    </w:p>
    <w:p w14:paraId="337725A2" w14:textId="77777777" w:rsidR="00D02C3B" w:rsidRPr="00D02C3B" w:rsidRDefault="00D02C3B" w:rsidP="00D02C3B">
      <w:pPr>
        <w:spacing w:line="278" w:lineRule="auto"/>
      </w:pPr>
      <w:r w:rsidRPr="00D02C3B">
        <w:t xml:space="preserve">Cook, G., Thompson, J. and Reed, J. (2015) ‘Re-conceptualising the status of residents in a care home: Older people wanting to “live with care”’, </w:t>
      </w:r>
      <w:r w:rsidRPr="00D02C3B">
        <w:rPr>
          <w:i/>
          <w:iCs/>
        </w:rPr>
        <w:t>Ageing &amp; Society</w:t>
      </w:r>
      <w:r w:rsidRPr="00D02C3B">
        <w:t xml:space="preserve">, 35(8), pp. 1587–1613. Available at: </w:t>
      </w:r>
      <w:hyperlink r:id="rId8" w:history="1">
        <w:r w:rsidRPr="00D02C3B">
          <w:rPr>
            <w:rStyle w:val="Hyperlink"/>
          </w:rPr>
          <w:t>https://doi.org/10.1017/S0144686X14000397</w:t>
        </w:r>
      </w:hyperlink>
      <w:r w:rsidRPr="00D02C3B">
        <w:t>.</w:t>
      </w:r>
    </w:p>
    <w:p w14:paraId="7CEB8A58" w14:textId="77777777" w:rsidR="00D02C3B" w:rsidRPr="00D02C3B" w:rsidRDefault="00D02C3B" w:rsidP="00D02C3B">
      <w:pPr>
        <w:spacing w:line="278" w:lineRule="auto"/>
      </w:pPr>
      <w:r w:rsidRPr="00D02C3B">
        <w:t xml:space="preserve">Department of Health and Social Care (DHSC) (2026a) </w:t>
      </w:r>
      <w:r w:rsidRPr="00D02C3B">
        <w:rPr>
          <w:i/>
          <w:iCs/>
        </w:rPr>
        <w:t>Deprivation of Liberty Safeguards, England, 2024 to 2025: Statistical commentary</w:t>
      </w:r>
      <w:r w:rsidRPr="00D02C3B">
        <w:t xml:space="preserve">. London: Department of Health and Social Care. Available at: </w:t>
      </w:r>
      <w:hyperlink r:id="rId9" w:history="1">
        <w:r w:rsidRPr="00D02C3B">
          <w:rPr>
            <w:rStyle w:val="Hyperlink"/>
          </w:rPr>
          <w:t>https://www.gov.uk/government/statistics/deprivation-of-liberty-safeguards-england-2024-to-2025/deprivation-of-liberty-safeguards-england-2024-to-2025-statistical-commentary</w:t>
        </w:r>
      </w:hyperlink>
      <w:r w:rsidRPr="00D02C3B">
        <w:t xml:space="preserve"> (Accessed: 20 October 2026).</w:t>
      </w:r>
    </w:p>
    <w:p w14:paraId="732751A5" w14:textId="77777777" w:rsidR="00D02C3B" w:rsidRPr="00D02C3B" w:rsidRDefault="00D02C3B" w:rsidP="00D02C3B">
      <w:pPr>
        <w:spacing w:line="278" w:lineRule="auto"/>
      </w:pPr>
      <w:r w:rsidRPr="00D02C3B">
        <w:t xml:space="preserve">Department of Health and Social Care (DHSC) (2026b) </w:t>
      </w:r>
      <w:r w:rsidRPr="00D02C3B">
        <w:rPr>
          <w:i/>
          <w:iCs/>
        </w:rPr>
        <w:t>Review of Regulation 9A: Visiting and accompanying in care homes, hospitals and hospices</w:t>
      </w:r>
      <w:r w:rsidRPr="00D02C3B">
        <w:t xml:space="preserve">. London: Department of Health and Social Care. Available at: </w:t>
      </w:r>
      <w:hyperlink r:id="rId10" w:history="1">
        <w:r w:rsidRPr="00D02C3B">
          <w:rPr>
            <w:rStyle w:val="Hyperlink"/>
          </w:rPr>
          <w:t>https://www.gov.uk/government/calls-for-evidence/review-of-cqc-regulation-9a-visiting-and-accompanying-in-care-homes-hospitals-and-hospices/outcome/review-of-regulation-9a-visiting-and-accompanying-in-care-homes-hospitals-and-hospices</w:t>
        </w:r>
      </w:hyperlink>
      <w:r w:rsidRPr="00D02C3B">
        <w:t xml:space="preserve"> (Accessed: 20 October 2026).</w:t>
      </w:r>
    </w:p>
    <w:p w14:paraId="46741490" w14:textId="77777777" w:rsidR="00D02C3B" w:rsidRPr="00D02C3B" w:rsidRDefault="00D02C3B" w:rsidP="00D02C3B">
      <w:pPr>
        <w:spacing w:line="278" w:lineRule="auto"/>
      </w:pPr>
      <w:r w:rsidRPr="00D02C3B">
        <w:t xml:space="preserve">Dixon, J. and Stubbs, E. (2025) ‘Family carers’ experiences of care home visiting restrictions during the COVID-19 pandemic: A relational autonomy perspective’, </w:t>
      </w:r>
      <w:r w:rsidRPr="00D02C3B">
        <w:rPr>
          <w:i/>
          <w:iCs/>
        </w:rPr>
        <w:t>Ageing &amp; Society</w:t>
      </w:r>
      <w:r w:rsidRPr="00D02C3B">
        <w:t xml:space="preserve">, 45(5), pp. 987–1015. Available at: </w:t>
      </w:r>
      <w:hyperlink r:id="rId11" w:history="1">
        <w:r w:rsidRPr="00D02C3B">
          <w:rPr>
            <w:rStyle w:val="Hyperlink"/>
          </w:rPr>
          <w:t>https://doi.org/10.1017/S0144686X24000059</w:t>
        </w:r>
      </w:hyperlink>
      <w:r w:rsidRPr="00D02C3B">
        <w:t>.</w:t>
      </w:r>
    </w:p>
    <w:p w14:paraId="6E45A842" w14:textId="77777777" w:rsidR="00D02C3B" w:rsidRPr="00D02C3B" w:rsidRDefault="00D02C3B" w:rsidP="00D02C3B">
      <w:pPr>
        <w:spacing w:line="278" w:lineRule="auto"/>
      </w:pPr>
      <w:r w:rsidRPr="00D02C3B">
        <w:t xml:space="preserve">Giebel, C., Hanna, K., Cannon, J. </w:t>
      </w:r>
      <w:r w:rsidRPr="00D02C3B">
        <w:rPr>
          <w:i/>
          <w:iCs/>
        </w:rPr>
        <w:t>et al.</w:t>
      </w:r>
      <w:r w:rsidRPr="00D02C3B">
        <w:t xml:space="preserve"> (2022a) ‘Are we allowed to visit now? Concerns and issues surrounding vaccination and infection risks in UK care homes during COVID-19’, </w:t>
      </w:r>
      <w:r w:rsidRPr="00D02C3B">
        <w:rPr>
          <w:i/>
          <w:iCs/>
        </w:rPr>
        <w:t>Age and Ageing</w:t>
      </w:r>
      <w:r w:rsidRPr="00D02C3B">
        <w:t xml:space="preserve">, 51(1), afab229. Available at: </w:t>
      </w:r>
      <w:hyperlink r:id="rId12" w:history="1">
        <w:r w:rsidRPr="00D02C3B">
          <w:rPr>
            <w:rStyle w:val="Hyperlink"/>
          </w:rPr>
          <w:t>https://doi.org/10.1093/ageing/afab229</w:t>
        </w:r>
      </w:hyperlink>
      <w:r w:rsidRPr="00D02C3B">
        <w:t>.</w:t>
      </w:r>
    </w:p>
    <w:p w14:paraId="0154E4EA" w14:textId="77777777" w:rsidR="00D02C3B" w:rsidRPr="00D02C3B" w:rsidRDefault="00D02C3B" w:rsidP="00D02C3B">
      <w:pPr>
        <w:spacing w:line="278" w:lineRule="auto"/>
      </w:pPr>
      <w:r w:rsidRPr="00D02C3B">
        <w:t xml:space="preserve">Giebel, C., Hanna, K., Marlow, P. </w:t>
      </w:r>
      <w:r w:rsidRPr="00D02C3B">
        <w:rPr>
          <w:i/>
          <w:iCs/>
        </w:rPr>
        <w:t>et al.</w:t>
      </w:r>
      <w:r w:rsidRPr="00D02C3B">
        <w:t xml:space="preserve"> (2022b) ‘Guilt, tears and burnout: Impact of UK care home restrictions on the mental well-being of staff, families and residents’, </w:t>
      </w:r>
      <w:r w:rsidRPr="00D02C3B">
        <w:rPr>
          <w:i/>
          <w:iCs/>
        </w:rPr>
        <w:t>Journal of Advanced Nursing</w:t>
      </w:r>
      <w:r w:rsidRPr="00D02C3B">
        <w:t xml:space="preserve">, 78(7), pp. 2191–2202. Available at: </w:t>
      </w:r>
      <w:hyperlink r:id="rId13" w:history="1">
        <w:r w:rsidRPr="00D02C3B">
          <w:rPr>
            <w:rStyle w:val="Hyperlink"/>
          </w:rPr>
          <w:t>https://doi.org/10.1111/jan.15181</w:t>
        </w:r>
      </w:hyperlink>
      <w:r w:rsidRPr="00D02C3B">
        <w:t>.</w:t>
      </w:r>
    </w:p>
    <w:p w14:paraId="30DE9F14" w14:textId="77777777" w:rsidR="00D02C3B" w:rsidRPr="00D02C3B" w:rsidRDefault="00D02C3B" w:rsidP="00D02C3B">
      <w:pPr>
        <w:spacing w:line="278" w:lineRule="auto"/>
      </w:pPr>
      <w:r w:rsidRPr="00D02C3B">
        <w:t xml:space="preserve">Halamová, L., Locock, L., Maclaren, A., Makin, S. and Phillips, L. (2025) ‘Involvement of older adults in shared decision-making on care transitions in the UK: An interpretative qualitative systematic review’, </w:t>
      </w:r>
      <w:r w:rsidRPr="00D02C3B">
        <w:rPr>
          <w:i/>
          <w:iCs/>
        </w:rPr>
        <w:t>Ageing &amp; Society</w:t>
      </w:r>
      <w:r w:rsidRPr="00D02C3B">
        <w:t xml:space="preserve">, 45(11), pp. 2500–2525. Available at: </w:t>
      </w:r>
      <w:hyperlink r:id="rId14" w:history="1">
        <w:r w:rsidRPr="00D02C3B">
          <w:rPr>
            <w:rStyle w:val="Hyperlink"/>
          </w:rPr>
          <w:t>https://doi.org/10.1017/S0144686X25100123</w:t>
        </w:r>
      </w:hyperlink>
      <w:r w:rsidRPr="00D02C3B">
        <w:t>.</w:t>
      </w:r>
    </w:p>
    <w:p w14:paraId="67899356" w14:textId="77777777" w:rsidR="00D02C3B" w:rsidRPr="00D02C3B" w:rsidRDefault="00D02C3B" w:rsidP="00D02C3B">
      <w:pPr>
        <w:spacing w:line="278" w:lineRule="auto"/>
      </w:pPr>
      <w:r w:rsidRPr="00D02C3B">
        <w:lastRenderedPageBreak/>
        <w:t xml:space="preserve">Hawkins, R.J., Prashar, A., Lusambili, A., Ellard, D.R. and Godfrey, M. (2018) ‘If they don’t use it, they lose it: How organisational structures and practices shape residents’ physical movement in care home settings’, </w:t>
      </w:r>
      <w:r w:rsidRPr="00D02C3B">
        <w:rPr>
          <w:i/>
          <w:iCs/>
        </w:rPr>
        <w:t>Ageing &amp; Society</w:t>
      </w:r>
      <w:r w:rsidRPr="00D02C3B">
        <w:t xml:space="preserve">, 38(9), pp. 1817–1842. Available at: </w:t>
      </w:r>
      <w:hyperlink r:id="rId15" w:history="1">
        <w:r w:rsidRPr="00D02C3B">
          <w:rPr>
            <w:rStyle w:val="Hyperlink"/>
          </w:rPr>
          <w:t>https://doi.org/10.1017/S0144686X17000290</w:t>
        </w:r>
      </w:hyperlink>
      <w:r w:rsidRPr="00D02C3B">
        <w:t>.</w:t>
      </w:r>
    </w:p>
    <w:p w14:paraId="23E6441D" w14:textId="77777777" w:rsidR="00D02C3B" w:rsidRPr="00D02C3B" w:rsidRDefault="00D02C3B" w:rsidP="00D02C3B">
      <w:pPr>
        <w:spacing w:line="278" w:lineRule="auto"/>
      </w:pPr>
      <w:r w:rsidRPr="00D02C3B">
        <w:t xml:space="preserve">Joint Committee on Human Rights (2022) </w:t>
      </w:r>
      <w:r w:rsidRPr="00D02C3B">
        <w:rPr>
          <w:i/>
          <w:iCs/>
        </w:rPr>
        <w:t>Protecting human rights in care settings</w:t>
      </w:r>
      <w:r w:rsidRPr="00D02C3B">
        <w:t xml:space="preserve">. Fourth Report of Session 2022–23. London: UK Parliament. Available at: </w:t>
      </w:r>
      <w:hyperlink r:id="rId16" w:history="1">
        <w:r w:rsidRPr="00D02C3B">
          <w:rPr>
            <w:rStyle w:val="Hyperlink"/>
          </w:rPr>
          <w:t>https://publications.parliament.uk/pa/jt5803/jtselect/jtrights/216/report.html</w:t>
        </w:r>
      </w:hyperlink>
      <w:r w:rsidRPr="00D02C3B">
        <w:t xml:space="preserve"> (Accessed: 20 October 2026).</w:t>
      </w:r>
    </w:p>
    <w:p w14:paraId="53CFE40D" w14:textId="77777777" w:rsidR="00D02C3B" w:rsidRPr="00D02C3B" w:rsidRDefault="00D02C3B" w:rsidP="00D02C3B">
      <w:pPr>
        <w:spacing w:line="278" w:lineRule="auto"/>
      </w:pPr>
      <w:r w:rsidRPr="00D02C3B">
        <w:t xml:space="preserve">Local Government and Social Care Ombudsman (LGSCO) (2026) </w:t>
      </w:r>
      <w:r w:rsidRPr="00D02C3B">
        <w:rPr>
          <w:i/>
          <w:iCs/>
        </w:rPr>
        <w:t>Complaints about adult social care rise 22% annually as Ombudsman urges councils and care providers to act now on lessons learned</w:t>
      </w:r>
      <w:r w:rsidRPr="00D02C3B">
        <w:t xml:space="preserve">. Available at: </w:t>
      </w:r>
      <w:hyperlink r:id="rId17" w:history="1">
        <w:r w:rsidRPr="00D02C3B">
          <w:rPr>
            <w:rStyle w:val="Hyperlink"/>
          </w:rPr>
          <w:t>https://www.lgo.org.uk/information-centre/news/2026/sep/complaints-about-adult-social-care-rise-22-annually-as-ombudsman-urges-councils-and-care-providers-to-act-now-on-lessons-learned</w:t>
        </w:r>
      </w:hyperlink>
      <w:r w:rsidRPr="00D02C3B">
        <w:t xml:space="preserve"> (Accessed: 20 October 2026).</w:t>
      </w:r>
    </w:p>
    <w:p w14:paraId="696CA68E" w14:textId="77777777" w:rsidR="00D02C3B" w:rsidRPr="00D02C3B" w:rsidRDefault="00D02C3B" w:rsidP="00D02C3B">
      <w:pPr>
        <w:spacing w:line="278" w:lineRule="auto"/>
      </w:pPr>
      <w:r w:rsidRPr="00D02C3B">
        <w:t xml:space="preserve">Maluf, A., Cheater, F., Poland, F. and Arthur, A. (2020) ‘Structure and agency attributes of residents’ use of dining space during mealtimes in care homes for older people’, </w:t>
      </w:r>
      <w:r w:rsidRPr="00D02C3B">
        <w:rPr>
          <w:i/>
          <w:iCs/>
        </w:rPr>
        <w:t>Health &amp; Social Care in the Community</w:t>
      </w:r>
      <w:r w:rsidRPr="00D02C3B">
        <w:t xml:space="preserve">, 28(6), pp. 2125–2133. Available at: </w:t>
      </w:r>
      <w:hyperlink r:id="rId18" w:history="1">
        <w:r w:rsidRPr="00D02C3B">
          <w:rPr>
            <w:rStyle w:val="Hyperlink"/>
          </w:rPr>
          <w:t>https://doi.org/10.1111/hsc.13023</w:t>
        </w:r>
      </w:hyperlink>
      <w:r w:rsidRPr="00D02C3B">
        <w:t>.</w:t>
      </w:r>
    </w:p>
    <w:p w14:paraId="083E7BA4" w14:textId="77777777" w:rsidR="00D02C3B" w:rsidRPr="00D02C3B" w:rsidRDefault="00D02C3B" w:rsidP="00D02C3B">
      <w:pPr>
        <w:spacing w:line="278" w:lineRule="auto"/>
      </w:pPr>
      <w:r w:rsidRPr="00D02C3B">
        <w:t xml:space="preserve">Moilanen, T., Kangasniemi, M., Papinaho, O., Mynttinen, M., Siipi, H., Suominen, S. and Suhonen, R. (2021) ‘Older people’s perceived autonomy in residential care: An integrative review’, </w:t>
      </w:r>
      <w:r w:rsidRPr="00D02C3B">
        <w:rPr>
          <w:i/>
          <w:iCs/>
        </w:rPr>
        <w:t>Nursing Ethics</w:t>
      </w:r>
      <w:r w:rsidRPr="00D02C3B">
        <w:t xml:space="preserve">, 28(3), pp. 414–434. Available at: </w:t>
      </w:r>
      <w:hyperlink r:id="rId19" w:history="1">
        <w:r w:rsidRPr="00D02C3B">
          <w:rPr>
            <w:rStyle w:val="Hyperlink"/>
          </w:rPr>
          <w:t>https://doi.org/10.1177/0969733020948115</w:t>
        </w:r>
      </w:hyperlink>
      <w:r w:rsidRPr="00D02C3B">
        <w:t>.</w:t>
      </w:r>
    </w:p>
    <w:p w14:paraId="601A0530" w14:textId="77777777" w:rsidR="00D02C3B" w:rsidRPr="00D02C3B" w:rsidRDefault="00D02C3B" w:rsidP="00D02C3B">
      <w:pPr>
        <w:spacing w:line="278" w:lineRule="auto"/>
      </w:pPr>
      <w:r w:rsidRPr="00D02C3B">
        <w:t xml:space="preserve">Ó Néill, C. (2023) ‘This is no country for old (wo)men? An examination of the approach taken to care home residents during the COVID-19 pandemic’, </w:t>
      </w:r>
      <w:r w:rsidRPr="00D02C3B">
        <w:rPr>
          <w:i/>
          <w:iCs/>
        </w:rPr>
        <w:t>Medical Law Review</w:t>
      </w:r>
      <w:r w:rsidRPr="00D02C3B">
        <w:t xml:space="preserve">, 31(1), pp. 25–46. Available at: </w:t>
      </w:r>
      <w:hyperlink r:id="rId20" w:history="1">
        <w:r w:rsidRPr="00D02C3B">
          <w:rPr>
            <w:rStyle w:val="Hyperlink"/>
          </w:rPr>
          <w:t>https://doi.org/10.1093/medlaw/fwac023</w:t>
        </w:r>
      </w:hyperlink>
      <w:r w:rsidRPr="00D02C3B">
        <w:t>.</w:t>
      </w:r>
    </w:p>
    <w:p w14:paraId="6145EEA2" w14:textId="77777777" w:rsidR="00D02C3B" w:rsidRPr="00D02C3B" w:rsidRDefault="00D02C3B" w:rsidP="00D02C3B">
      <w:pPr>
        <w:spacing w:line="278" w:lineRule="auto"/>
      </w:pPr>
      <w:r w:rsidRPr="00D02C3B">
        <w:t xml:space="preserve">O’Neill, M., Ryan, A., Tracey, A. and Laird, L. (2022) ‘Waiting and Wanting: Older peoples’ initial experiences of adapting to life in a care home: A grounded theory study’, </w:t>
      </w:r>
      <w:r w:rsidRPr="00D02C3B">
        <w:rPr>
          <w:i/>
          <w:iCs/>
        </w:rPr>
        <w:t>Ageing &amp; Society</w:t>
      </w:r>
      <w:r w:rsidRPr="00D02C3B">
        <w:t xml:space="preserve">, 42(2), pp. 351–375. Available at: </w:t>
      </w:r>
      <w:hyperlink r:id="rId21" w:history="1">
        <w:r w:rsidRPr="00D02C3B">
          <w:rPr>
            <w:rStyle w:val="Hyperlink"/>
          </w:rPr>
          <w:t>https://doi.org/10.1017/S0144686X20000872</w:t>
        </w:r>
      </w:hyperlink>
      <w:r w:rsidRPr="00D02C3B">
        <w:t>.</w:t>
      </w:r>
    </w:p>
    <w:p w14:paraId="52E0A1C7" w14:textId="77777777" w:rsidR="00D02C3B" w:rsidRPr="00D02C3B" w:rsidRDefault="00D02C3B" w:rsidP="00D02C3B">
      <w:pPr>
        <w:spacing w:line="278" w:lineRule="auto"/>
      </w:pPr>
      <w:r w:rsidRPr="00D02C3B">
        <w:t xml:space="preserve">Paddock, K., Brown Wilson, C., Walshe, C. and Todd, C. (2019) ‘Care home life and identity: A qualitative case study’, </w:t>
      </w:r>
      <w:r w:rsidRPr="00D02C3B">
        <w:rPr>
          <w:i/>
          <w:iCs/>
        </w:rPr>
        <w:t>The Gerontologist</w:t>
      </w:r>
      <w:r w:rsidRPr="00D02C3B">
        <w:t xml:space="preserve">, 59(4), pp. 655–664. Available at: </w:t>
      </w:r>
      <w:hyperlink r:id="rId22" w:history="1">
        <w:r w:rsidRPr="00D02C3B">
          <w:rPr>
            <w:rStyle w:val="Hyperlink"/>
          </w:rPr>
          <w:t>https://doi.org/10.1093/geront/gny090</w:t>
        </w:r>
      </w:hyperlink>
      <w:r w:rsidRPr="00D02C3B">
        <w:t>.</w:t>
      </w:r>
    </w:p>
    <w:p w14:paraId="0EAB42D6" w14:textId="77777777" w:rsidR="00D02C3B" w:rsidRPr="00D02C3B" w:rsidRDefault="00D02C3B" w:rsidP="00D02C3B">
      <w:pPr>
        <w:spacing w:line="278" w:lineRule="auto"/>
      </w:pPr>
      <w:r w:rsidRPr="00D02C3B">
        <w:t xml:space="preserve">Philpin, S., Merrell, J., Warring, J., Hobby, D. and Gregory, V. (2014) ‘Memories, identity and homeliness: The social construction of mealtimes in residential care homes in South Wales’, </w:t>
      </w:r>
      <w:r w:rsidRPr="00D02C3B">
        <w:rPr>
          <w:i/>
          <w:iCs/>
        </w:rPr>
        <w:t>Ageing &amp; Society</w:t>
      </w:r>
      <w:r w:rsidRPr="00D02C3B">
        <w:t xml:space="preserve">, 34(5), pp. 753–789. Available at: </w:t>
      </w:r>
      <w:hyperlink r:id="rId23" w:history="1">
        <w:r w:rsidRPr="00D02C3B">
          <w:rPr>
            <w:rStyle w:val="Hyperlink"/>
          </w:rPr>
          <w:t>https://doi.org/10.1017/S0144686X12001274</w:t>
        </w:r>
      </w:hyperlink>
      <w:r w:rsidRPr="00D02C3B">
        <w:t>.</w:t>
      </w:r>
    </w:p>
    <w:p w14:paraId="5B2FC2AA" w14:textId="77777777" w:rsidR="00D02C3B" w:rsidRPr="00D02C3B" w:rsidRDefault="00D02C3B" w:rsidP="00D02C3B">
      <w:pPr>
        <w:spacing w:line="278" w:lineRule="auto"/>
      </w:pPr>
      <w:r w:rsidRPr="00D02C3B">
        <w:t xml:space="preserve">Ryan, A.A. and Moore, K. (2023) ‘Knowing me, knowing you: An exploration of the views and experiences of nursing home residents and staff on their nursing home as “home”’, </w:t>
      </w:r>
      <w:r w:rsidRPr="00D02C3B">
        <w:rPr>
          <w:i/>
          <w:iCs/>
        </w:rPr>
        <w:t>Ageing &amp; Society</w:t>
      </w:r>
      <w:r w:rsidRPr="00D02C3B">
        <w:t xml:space="preserve">, 43(4), pp. 768–789. Available at: </w:t>
      </w:r>
      <w:hyperlink r:id="rId24" w:history="1">
        <w:r w:rsidRPr="00D02C3B">
          <w:rPr>
            <w:rStyle w:val="Hyperlink"/>
          </w:rPr>
          <w:t>https://doi.org/10.1017/S0144686X21000787</w:t>
        </w:r>
      </w:hyperlink>
      <w:r w:rsidRPr="00D02C3B">
        <w:t>.</w:t>
      </w:r>
    </w:p>
    <w:p w14:paraId="524BD311" w14:textId="77777777" w:rsidR="00D02C3B" w:rsidRPr="00D02C3B" w:rsidRDefault="00D02C3B" w:rsidP="00D02C3B">
      <w:pPr>
        <w:spacing w:line="278" w:lineRule="auto"/>
      </w:pPr>
      <w:r w:rsidRPr="00D02C3B">
        <w:lastRenderedPageBreak/>
        <w:t xml:space="preserve">Sims, S., Desai, A., Harris, R. </w:t>
      </w:r>
      <w:r w:rsidRPr="00D02C3B">
        <w:rPr>
          <w:i/>
          <w:iCs/>
        </w:rPr>
        <w:t>et al.</w:t>
      </w:r>
      <w:r w:rsidRPr="00D02C3B">
        <w:t xml:space="preserve"> (2024) ‘Living restricted lives: Understanding the impact of isolation, social distancing and other restriction measures on older care home residents and their relatives in England during the COVID-19 pandemic: A qualitative study’, </w:t>
      </w:r>
      <w:r w:rsidRPr="00D02C3B">
        <w:rPr>
          <w:i/>
          <w:iCs/>
        </w:rPr>
        <w:t>PLOS ONE</w:t>
      </w:r>
      <w:r w:rsidRPr="00D02C3B">
        <w:t xml:space="preserve">, 19(12), e0312509. Available at: </w:t>
      </w:r>
      <w:hyperlink r:id="rId25" w:history="1">
        <w:r w:rsidRPr="00D02C3B">
          <w:rPr>
            <w:rStyle w:val="Hyperlink"/>
          </w:rPr>
          <w:t>https://doi.org/10.1371/journal.pone.0312509</w:t>
        </w:r>
      </w:hyperlink>
      <w:r w:rsidRPr="00D02C3B">
        <w:t>.</w:t>
      </w:r>
    </w:p>
    <w:p w14:paraId="41ED0ED0" w14:textId="77777777" w:rsidR="00D02C3B" w:rsidRPr="00D02C3B" w:rsidRDefault="00D02C3B" w:rsidP="00D02C3B">
      <w:pPr>
        <w:spacing w:line="278" w:lineRule="auto"/>
      </w:pPr>
      <w:r w:rsidRPr="00D02C3B">
        <w:t xml:space="preserve">Smith, L., Carr, C., Chesher, I. and Phillipson, L. (2025) ‘The meaning of home when you don’t live there anymore: Using body mapping with people with dementia in care homes’, </w:t>
      </w:r>
      <w:r w:rsidRPr="00D02C3B">
        <w:rPr>
          <w:i/>
          <w:iCs/>
        </w:rPr>
        <w:t>Ageing &amp; Society</w:t>
      </w:r>
      <w:r w:rsidRPr="00D02C3B">
        <w:t xml:space="preserve">, 45(2), pp. 207–232. Available at: </w:t>
      </w:r>
      <w:hyperlink r:id="rId26" w:history="1">
        <w:r w:rsidRPr="00D02C3B">
          <w:rPr>
            <w:rStyle w:val="Hyperlink"/>
          </w:rPr>
          <w:t>https://doi.org/10.1017/S0144686X23000259</w:t>
        </w:r>
      </w:hyperlink>
      <w:r w:rsidRPr="00D02C3B">
        <w:t>.</w:t>
      </w:r>
    </w:p>
    <w:p w14:paraId="3E5E2106" w14:textId="77777777" w:rsidR="00D02C3B" w:rsidRPr="00D02C3B" w:rsidRDefault="00D02C3B" w:rsidP="00D02C3B">
      <w:pPr>
        <w:spacing w:line="278" w:lineRule="auto"/>
      </w:pPr>
      <w:r w:rsidRPr="00D02C3B">
        <w:t xml:space="preserve">Tan, J.D.L., Maneze, D., Montayre, J., Ramjan, L.M., Wang, D. and Salamonson, Y. (2023) ‘Family visits and depression among residential aged care residents: An integrative review’, </w:t>
      </w:r>
      <w:r w:rsidRPr="00D02C3B">
        <w:rPr>
          <w:i/>
          <w:iCs/>
        </w:rPr>
        <w:t>International Journal of Nursing Studies</w:t>
      </w:r>
      <w:r w:rsidRPr="00D02C3B">
        <w:t xml:space="preserve">, 146, 104568. Available at: </w:t>
      </w:r>
      <w:hyperlink r:id="rId27" w:history="1">
        <w:r w:rsidRPr="00D02C3B">
          <w:rPr>
            <w:rStyle w:val="Hyperlink"/>
          </w:rPr>
          <w:t>https://doi.org/10.1016/j.ijnurstu.2023.104568</w:t>
        </w:r>
      </w:hyperlink>
      <w:r w:rsidRPr="00D02C3B">
        <w:t>.</w:t>
      </w:r>
    </w:p>
    <w:p w14:paraId="3C25A664" w14:textId="77777777" w:rsidR="00D02C3B" w:rsidRPr="00D02C3B" w:rsidRDefault="00D02C3B" w:rsidP="00D02C3B">
      <w:pPr>
        <w:spacing w:line="278" w:lineRule="auto"/>
      </w:pPr>
      <w:r w:rsidRPr="00D02C3B">
        <w:t xml:space="preserve">UK Covid-19 Inquiry (2026) </w:t>
      </w:r>
      <w:r w:rsidRPr="00D02C3B">
        <w:rPr>
          <w:i/>
          <w:iCs/>
        </w:rPr>
        <w:t>Module 6 report: Care sector</w:t>
      </w:r>
      <w:r w:rsidRPr="00D02C3B">
        <w:t xml:space="preserve">. London: UK Covid-19 Inquiry. Available at: </w:t>
      </w:r>
      <w:hyperlink r:id="rId28" w:history="1">
        <w:r w:rsidRPr="00D02C3B">
          <w:rPr>
            <w:rStyle w:val="Hyperlink"/>
          </w:rPr>
          <w:t>https://www.gov.uk/government/publications/uk-covid-19-inquiry-care-sector-module-6-report</w:t>
        </w:r>
      </w:hyperlink>
      <w:r w:rsidRPr="00D02C3B">
        <w:t xml:space="preserve"> (Accessed: 20 October 2026).</w:t>
      </w:r>
    </w:p>
    <w:p w14:paraId="0B6D218C" w14:textId="77777777" w:rsidR="00D02C3B" w:rsidRPr="00D02C3B" w:rsidRDefault="00D02C3B" w:rsidP="00D02C3B">
      <w:pPr>
        <w:spacing w:line="278" w:lineRule="auto"/>
      </w:pPr>
      <w:r w:rsidRPr="00D02C3B">
        <w:t xml:space="preserve">Werkander Harstäde, C., Andersson, S., Lagerbielke, E., Sandgren, A. and Heikkilä, K. (2025) ‘Mealtime situations in nursing homes from the residents’ perspective: An integrative review’, </w:t>
      </w:r>
      <w:r w:rsidRPr="00D02C3B">
        <w:rPr>
          <w:i/>
          <w:iCs/>
        </w:rPr>
        <w:t>BMC Geriatrics</w:t>
      </w:r>
      <w:r w:rsidRPr="00D02C3B">
        <w:t xml:space="preserve">, 25, 103. Available at: </w:t>
      </w:r>
      <w:hyperlink r:id="rId29" w:history="1">
        <w:r w:rsidRPr="00D02C3B">
          <w:rPr>
            <w:rStyle w:val="Hyperlink"/>
          </w:rPr>
          <w:t>https://doi.org/10.1186/s12877-025-05753-8</w:t>
        </w:r>
      </w:hyperlink>
      <w:r w:rsidRPr="00D02C3B">
        <w:t>.</w:t>
      </w:r>
    </w:p>
    <w:p w14:paraId="74ACBBD1" w14:textId="77777777" w:rsidR="00D02C3B" w:rsidRPr="00D02C3B" w:rsidRDefault="00D02C3B" w:rsidP="00D02C3B">
      <w:pPr>
        <w:spacing w:line="278" w:lineRule="auto"/>
      </w:pPr>
      <w:r w:rsidRPr="00D02C3B">
        <w:t xml:space="preserve">Xue, D.-M., Wang, D.-N. and Bian, Y. (2025) ‘Dignity of older adults in long-term care facilities: A systematic review of qualitative evidence from residents, staff, and relatives’, </w:t>
      </w:r>
      <w:r w:rsidRPr="00D02C3B">
        <w:rPr>
          <w:i/>
          <w:iCs/>
        </w:rPr>
        <w:t>Healthcare</w:t>
      </w:r>
      <w:r w:rsidRPr="00D02C3B">
        <w:t xml:space="preserve">, 13(22), 2839. Available at: </w:t>
      </w:r>
      <w:hyperlink r:id="rId30" w:history="1">
        <w:r w:rsidRPr="00D02C3B">
          <w:rPr>
            <w:rStyle w:val="Hyperlink"/>
          </w:rPr>
          <w:t>https://doi.org/10.3390/healthcare13222839</w:t>
        </w:r>
      </w:hyperlink>
      <w:r w:rsidRPr="00D02C3B">
        <w:t>.</w:t>
      </w:r>
    </w:p>
    <w:sectPr w:rsidR="00D02C3B" w:rsidRPr="00D02C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3B"/>
    <w:rsid w:val="001E6443"/>
    <w:rsid w:val="007272A8"/>
    <w:rsid w:val="00920078"/>
    <w:rsid w:val="00BA74FA"/>
    <w:rsid w:val="00D02C3B"/>
    <w:rsid w:val="00D445FD"/>
    <w:rsid w:val="00F4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2F360"/>
  <w15:chartTrackingRefBased/>
  <w15:docId w15:val="{B672E446-C24B-4A49-88B3-F99DC4F98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3B"/>
    <w:pPr>
      <w:spacing w:line="360" w:lineRule="auto"/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2C3B"/>
    <w:pPr>
      <w:keepNext/>
      <w:keepLines/>
      <w:spacing w:before="360" w:after="80"/>
      <w:outlineLvl w:val="0"/>
    </w:pPr>
    <w:rPr>
      <w:rFonts w:eastAsiaTheme="majorEastAsia" w:cstheme="majorBidi"/>
      <w:b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2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2C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2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2C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2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2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2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2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2C3B"/>
    <w:rPr>
      <w:rFonts w:ascii="Times New Roman" w:eastAsiaTheme="majorEastAsia" w:hAnsi="Times New Roman" w:cstheme="majorBidi"/>
      <w:b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2C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2C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2C3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2C3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2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2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2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2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2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2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2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2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2C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2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2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2C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2C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2C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2C3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02C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2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7/S0144686X14000397" TargetMode="External"/><Relationship Id="rId13" Type="http://schemas.openxmlformats.org/officeDocument/2006/relationships/hyperlink" Target="https://doi.org/10.1111/jan.15181" TargetMode="External"/><Relationship Id="rId18" Type="http://schemas.openxmlformats.org/officeDocument/2006/relationships/hyperlink" Target="https://doi.org/10.1111/hsc.13023" TargetMode="External"/><Relationship Id="rId26" Type="http://schemas.openxmlformats.org/officeDocument/2006/relationships/hyperlink" Target="https://doi.org/10.1017/S0144686X2300025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1017/S0144686X20000872" TargetMode="External"/><Relationship Id="rId7" Type="http://schemas.openxmlformats.org/officeDocument/2006/relationships/hyperlink" Target="https://doi.org/10.3389/fpubh.2023.1058736" TargetMode="External"/><Relationship Id="rId12" Type="http://schemas.openxmlformats.org/officeDocument/2006/relationships/hyperlink" Target="https://doi.org/10.1093/ageing/afab229" TargetMode="External"/><Relationship Id="rId17" Type="http://schemas.openxmlformats.org/officeDocument/2006/relationships/hyperlink" Target="https://www.lgo.org.uk/information-centre/news/2026/sep/complaints-about-adult-social-care-rise-22-annually-as-ombudsman-urges-councils-and-care-providers-to-act-now-on-lessons-learned" TargetMode="External"/><Relationship Id="rId25" Type="http://schemas.openxmlformats.org/officeDocument/2006/relationships/hyperlink" Target="https://doi.org/10.1371/journal.pone.031250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ublications.parliament.uk/pa/jt5803/jtselect/jtrights/216/report.html" TargetMode="External"/><Relationship Id="rId20" Type="http://schemas.openxmlformats.org/officeDocument/2006/relationships/hyperlink" Target="https://doi.org/10.1093/medlaw/fwac023" TargetMode="External"/><Relationship Id="rId29" Type="http://schemas.openxmlformats.org/officeDocument/2006/relationships/hyperlink" Target="https://doi.org/10.1186/s12877-025-05753-8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17/S0144686X20001920" TargetMode="External"/><Relationship Id="rId11" Type="http://schemas.openxmlformats.org/officeDocument/2006/relationships/hyperlink" Target="https://doi.org/10.1017/S0144686X24000059" TargetMode="External"/><Relationship Id="rId24" Type="http://schemas.openxmlformats.org/officeDocument/2006/relationships/hyperlink" Target="https://doi.org/10.1017/S0144686X21000787" TargetMode="External"/><Relationship Id="rId32" Type="http://schemas.openxmlformats.org/officeDocument/2006/relationships/theme" Target="theme/theme1.xml"/><Relationship Id="rId5" Type="http://schemas.openxmlformats.org/officeDocument/2006/relationships/image" Target="cid:image001.png@01D0EA4A.2BD679A0" TargetMode="External"/><Relationship Id="rId15" Type="http://schemas.openxmlformats.org/officeDocument/2006/relationships/hyperlink" Target="https://doi.org/10.1017/S0144686X17000290" TargetMode="External"/><Relationship Id="rId23" Type="http://schemas.openxmlformats.org/officeDocument/2006/relationships/hyperlink" Target="https://doi.org/10.1017/S0144686X12001274" TargetMode="External"/><Relationship Id="rId28" Type="http://schemas.openxmlformats.org/officeDocument/2006/relationships/hyperlink" Target="https://www.gov.uk/government/publications/uk-covid-19-inquiry-care-sector-module-6-report" TargetMode="External"/><Relationship Id="rId10" Type="http://schemas.openxmlformats.org/officeDocument/2006/relationships/hyperlink" Target="https://www.gov.uk/government/calls-for-evidence/review-of-cqc-regulation-9a-visiting-and-accompanying-in-care-homes-hospitals-and-hospices/outcome/review-of-regulation-9a-visiting-and-accompanying-in-care-homes-hospitals-and-hospices" TargetMode="External"/><Relationship Id="rId19" Type="http://schemas.openxmlformats.org/officeDocument/2006/relationships/hyperlink" Target="https://doi.org/10.1177/0969733020948115" TargetMode="External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gov.uk/government/statistics/deprivation-of-liberty-safeguards-england-2024-to-2025/deprivation-of-liberty-safeguards-england-2024-to-2025-statistical-commentary" TargetMode="External"/><Relationship Id="rId14" Type="http://schemas.openxmlformats.org/officeDocument/2006/relationships/hyperlink" Target="https://doi.org/10.1017/S0144686X25100123" TargetMode="External"/><Relationship Id="rId22" Type="http://schemas.openxmlformats.org/officeDocument/2006/relationships/hyperlink" Target="https://doi.org/10.1093/geront/gny090" TargetMode="External"/><Relationship Id="rId27" Type="http://schemas.openxmlformats.org/officeDocument/2006/relationships/hyperlink" Target="https://doi.org/10.1016/j.ijnurstu.2023.104568" TargetMode="External"/><Relationship Id="rId30" Type="http://schemas.openxmlformats.org/officeDocument/2006/relationships/hyperlink" Target="https://doi.org/10.3390/healthcare132228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1422</Words>
  <Characters>8111</Characters>
  <Application>Microsoft Office Word</Application>
  <DocSecurity>0</DocSecurity>
  <Lines>67</Lines>
  <Paragraphs>19</Paragraphs>
  <ScaleCrop>false</ScaleCrop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Nabila Nazam</cp:lastModifiedBy>
  <cp:revision>3</cp:revision>
  <dcterms:created xsi:type="dcterms:W3CDTF">2026-10-20T14:04:00Z</dcterms:created>
  <dcterms:modified xsi:type="dcterms:W3CDTF">2026-10-24T12:56:00Z</dcterms:modified>
</cp:coreProperties>
</file>