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EB48AA" w14:textId="1F665C59" w:rsidR="00DC3CC4" w:rsidRDefault="00510383">
      <w:pPr>
        <w:rPr>
          <w:lang w:val="en-GB"/>
        </w:rPr>
      </w:pPr>
      <w:r>
        <w:rPr>
          <w:b/>
          <w:bCs/>
          <w:lang w:val="en-GB"/>
        </w:rPr>
        <w:t xml:space="preserve">Student Name: </w:t>
      </w:r>
      <w:r>
        <w:rPr>
          <w:lang w:val="en-GB"/>
        </w:rPr>
        <w:t xml:space="preserve">Dafydd T Williams Beck </w:t>
      </w:r>
    </w:p>
    <w:p w14:paraId="317D32A0" w14:textId="69394522" w:rsidR="00510383" w:rsidRDefault="00510383">
      <w:pPr>
        <w:rPr>
          <w:lang w:val="en-GB"/>
        </w:rPr>
      </w:pPr>
      <w:r>
        <w:rPr>
          <w:b/>
          <w:bCs/>
          <w:lang w:val="en-GB"/>
        </w:rPr>
        <w:t xml:space="preserve">Student Number: </w:t>
      </w:r>
      <w:r>
        <w:rPr>
          <w:lang w:val="en-GB"/>
        </w:rPr>
        <w:t>2117609</w:t>
      </w:r>
    </w:p>
    <w:p w14:paraId="7C533620" w14:textId="77777777" w:rsidR="00510383" w:rsidRDefault="00510383">
      <w:pPr>
        <w:rPr>
          <w:lang w:val="en-GB"/>
        </w:rPr>
      </w:pPr>
    </w:p>
    <w:p w14:paraId="391330F9" w14:textId="77777777" w:rsidR="00510383" w:rsidRPr="00693B87" w:rsidRDefault="00510383" w:rsidP="00BA6DB8">
      <w:pPr>
        <w:ind w:right="531"/>
        <w:jc w:val="both"/>
        <w:rPr>
          <w:rFonts w:ascii="Arial" w:eastAsia="Calibri" w:hAnsi="Arial" w:cs="Arial"/>
          <w:b/>
          <w:bCs/>
        </w:rPr>
      </w:pPr>
      <w:r w:rsidRPr="00693B87">
        <w:rPr>
          <w:rFonts w:ascii="Arial" w:eastAsia="Calibri" w:hAnsi="Arial" w:cs="Arial"/>
          <w:b/>
          <w:bCs/>
        </w:rPr>
        <w:t>Essay one:</w:t>
      </w:r>
    </w:p>
    <w:p w14:paraId="304AA1CA" w14:textId="77777777" w:rsidR="00510383" w:rsidRPr="0019506F" w:rsidRDefault="00510383" w:rsidP="00BA6DB8">
      <w:pPr>
        <w:spacing w:line="257" w:lineRule="auto"/>
        <w:ind w:right="531"/>
        <w:rPr>
          <w:rFonts w:ascii="Arial" w:eastAsia="Calibri" w:hAnsi="Arial" w:cs="Arial"/>
        </w:rPr>
      </w:pPr>
      <w:r w:rsidRPr="005C569E">
        <w:rPr>
          <w:rFonts w:ascii="Arial" w:eastAsia="Calibri" w:hAnsi="Arial" w:cs="Arial"/>
          <w:u w:val="single"/>
        </w:rPr>
        <w:t>Evaluate</w:t>
      </w:r>
      <w:r w:rsidRPr="005C569E">
        <w:rPr>
          <w:rFonts w:ascii="Arial" w:eastAsia="Calibri" w:hAnsi="Arial" w:cs="Arial"/>
        </w:rPr>
        <w:t xml:space="preserve"> the </w:t>
      </w:r>
      <w:r>
        <w:rPr>
          <w:rFonts w:ascii="Arial" w:eastAsia="Calibri" w:hAnsi="Arial" w:cs="Arial"/>
        </w:rPr>
        <w:t>effectiveness</w:t>
      </w:r>
      <w:r w:rsidRPr="005C569E">
        <w:rPr>
          <w:rFonts w:ascii="Arial" w:eastAsia="Calibri" w:hAnsi="Arial" w:cs="Arial"/>
        </w:rPr>
        <w:t xml:space="preserve"> of </w:t>
      </w:r>
      <w:r>
        <w:rPr>
          <w:rFonts w:ascii="Arial" w:eastAsia="Calibri" w:hAnsi="Arial" w:cs="Arial"/>
        </w:rPr>
        <w:t xml:space="preserve">crime prevention strategies </w:t>
      </w:r>
      <w:r w:rsidRPr="005C569E">
        <w:rPr>
          <w:rFonts w:ascii="Arial" w:eastAsia="Calibri" w:hAnsi="Arial" w:cs="Arial"/>
        </w:rPr>
        <w:t>(</w:t>
      </w:r>
      <w:proofErr w:type="gramStart"/>
      <w:r w:rsidRPr="005C569E">
        <w:rPr>
          <w:rFonts w:ascii="Arial" w:eastAsia="Calibri" w:hAnsi="Arial" w:cs="Arial"/>
        </w:rPr>
        <w:t>e.g.</w:t>
      </w:r>
      <w:proofErr w:type="gramEnd"/>
      <w:r w:rsidRPr="005C569E">
        <w:rPr>
          <w:rFonts w:ascii="Arial" w:eastAsia="Calibri" w:hAnsi="Arial" w:cs="Arial"/>
        </w:rPr>
        <w:t xml:space="preserve"> problem-oriented policing, predictive policing, intelligence-led policing, reactive policing)</w:t>
      </w:r>
      <w:r>
        <w:rPr>
          <w:rFonts w:ascii="Arial" w:eastAsia="Calibri" w:hAnsi="Arial" w:cs="Arial"/>
        </w:rPr>
        <w:t xml:space="preserve"> in relation to a specific type of crime of your own choosing</w:t>
      </w:r>
      <w:r w:rsidRPr="005C569E">
        <w:rPr>
          <w:rFonts w:ascii="Arial" w:eastAsia="Calibri" w:hAnsi="Arial" w:cs="Arial"/>
        </w:rPr>
        <w:t xml:space="preserve">. </w:t>
      </w:r>
      <w:r>
        <w:rPr>
          <w:rFonts w:ascii="Arial" w:eastAsia="Calibri" w:hAnsi="Arial" w:cs="Arial"/>
        </w:rPr>
        <w:t>Your answer must be based on academic research, not personal experience.</w:t>
      </w:r>
    </w:p>
    <w:p w14:paraId="677DA3DA" w14:textId="77777777" w:rsidR="00510383" w:rsidRDefault="00510383">
      <w:pPr>
        <w:rPr>
          <w:lang w:val="en-GB"/>
        </w:rPr>
      </w:pPr>
    </w:p>
    <w:p w14:paraId="12EB7979" w14:textId="2650793C"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Crime Prevention can be simply defined as any activity carried out by an individual or group, which attempts to eliminate crime prior to it occurring or before any additional activity results (UNODC,2019). Whereas police will mostly respond to criminal offences in a reactive manner after a crime is reported to them, it cannot be emphasized enough the importance of utilising a crime prevention type of approach that seeks to stop a specific type of crime from occurring in the first place. Within this essay I will seek to evaluate the effectiveness of crime prevention in relation to prolific and repeat offenders, more specifically in relation to Juvenile offending. A Repeat Offender is simply defined as a person who commits the same offence on more than one occasion (Merrian Webster, 2023).  Repeat Offending needs to be addressed at an early stage, especially within the juvenile population, who statistically are more predisposed to re-offending after committing a criminal offence.   Official Government Statistics published by the Ministry of Justice in 2020 stated that juvenile offenders had a proven re-offending rate of 32.6% (GOV.UK, 2022).</w:t>
      </w:r>
    </w:p>
    <w:p w14:paraId="6E9FD020" w14:textId="77777777"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04004C2C" w14:textId="043E9FBE"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To prevent juvenile offender from re-offending there are several crime prevention strategies that can be implemented. Predictive policing is a method that can be used and is a statistical analysis of certain crime types which is also known as criminal forecasting. Perry, 2013 describes predictive methods of policing as a method of predicting a crime via analytical techniques that will enable a police intervention and prevent crime or solve past crimes by making a statistical prediction.  Methods such as this can be utilised by analysing statistics as mentioned above in relation to the percentage of how many juvenile offenders re-offend, and then attempt to forecast certain individuals that may be likely to re-offend upon release. Analysing a pattern of offending in juvenile offenders such as a predisposition for anti-social behaviour, will allow police to make the relevant agencies aware of their situation who can intervene at an early stage and potentially stop that individual from committing further crime. Although it can be a useful method of spotting a potential case of re offending in juveniles, utilising simply statistics to predict crime may have its drawbacks in preventing crime</w:t>
      </w:r>
      <w:r w:rsidRPr="00510383">
        <w:rPr>
          <w:rFonts w:ascii="Calibri" w:hAnsi="Calibri" w:cs="Calibri"/>
          <w:sz w:val="22"/>
          <w:szCs w:val="22"/>
          <w:lang w:val="en-GB"/>
        </w:rPr>
        <w:t>. Liberties (2021)</w:t>
      </w:r>
      <w:r>
        <w:rPr>
          <w:rFonts w:ascii="Calibri" w:hAnsi="Calibri" w:cs="Calibri"/>
          <w:sz w:val="22"/>
          <w:szCs w:val="22"/>
          <w:lang w:val="en-GB"/>
        </w:rPr>
        <w:t xml:space="preserve"> elaborate that although it can be an effective tool to predict crime it has the potential that law enforcement agencies may have a reduced level of accountability and may discriminate persons who will not commit further crime by identifying them as a number that is susceptible to committing further crimes.  </w:t>
      </w:r>
    </w:p>
    <w:p w14:paraId="1A76E0DE" w14:textId="77777777"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5D9D76EB" w14:textId="47B1ED18"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After conducting research into several crime prevention strategies that are available to police, I believe that the most effective method is Problem- orientated policing. College of Policing (2020) define this strategy as an approach to tackling crime involving mainly the identification of a specific problem, analysis of the problem, developing a tailored response and thereby assessing the effectiveness of said response. If a juvenile offender is predisposed to repeatedly committing a crime it is vital that the exact </w:t>
      </w:r>
      <w:r>
        <w:rPr>
          <w:rFonts w:ascii="Calibri" w:hAnsi="Calibri" w:cs="Calibri"/>
          <w:sz w:val="22"/>
          <w:szCs w:val="22"/>
          <w:lang w:val="en-GB"/>
        </w:rPr>
        <w:lastRenderedPageBreak/>
        <w:t xml:space="preserve">problem is effectively analysed so a specific response can then be implemented.  Problem Orientated policing should be utilised in conjunction with an Evidence Based Approach, so that the approach can be implemented alongside credible evidence that the approach effectively works. If a juvenile is released from custody and there are factors that indicate, they will re-offend it may be more effective to use a different approach rather than simply acting in a reactionary manner when it does occur. Bullock, Erol &amp; Tilley, 2013 emphasize this, stating that standard police responses to problems have been largely ineffective; whereby a more community focused approach can be a more attractive means of preventing crime from re-occurring. More specifically if a juvenile is committing theft related crimes to fund a drug habit, it may not be effective to simply prosecute them for the crimes that they are committing and instead tackle the root cause of the criminal offence. In this case it would be that of the drug habit, therefore a different approach should be utilised and thereby analysed for its effectiveness, if this succeeds in preventing a crime from re-occurring then it should be used by police as a method of best practice when dealing with similar individuals. </w:t>
      </w:r>
    </w:p>
    <w:p w14:paraId="7CE80024" w14:textId="77777777"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6B5A5F0F" w14:textId="61DD5532"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Targeted and Pro-Active policing is another crime prevention strategy that is effective at preventing the likelihood of a specific type of crime from occurring. This method of policing focuses on policing in a pro-active manner where police will focus their efforts and resources on individual victims and offenders (College of Policing, 2021)</w:t>
      </w:r>
      <w:r>
        <w:rPr>
          <w:rFonts w:ascii="Calibri" w:hAnsi="Calibri" w:cs="Calibri"/>
          <w:b/>
          <w:bCs/>
          <w:sz w:val="22"/>
          <w:szCs w:val="22"/>
          <w:lang w:val="en-GB"/>
        </w:rPr>
        <w:t xml:space="preserve">. </w:t>
      </w:r>
      <w:r>
        <w:rPr>
          <w:rFonts w:ascii="Calibri" w:hAnsi="Calibri" w:cs="Calibri"/>
          <w:sz w:val="22"/>
          <w:szCs w:val="22"/>
          <w:lang w:val="en-GB"/>
        </w:rPr>
        <w:t xml:space="preserve">Used in conjunction with all the previous crime prevention strategies discussed within this essay, using a focused approach that seeks to target the repeat juvenile offenders within a chosen area may lead to a decrease in repeat offending within said area. This method of policing is also known as Hot Spot Policing and has been proven to decrease crime from occurring in relation to juvenile offenders. The Youth Endowment Fun (NO DATE) have identified targeted policing in crime hot spots can help protect children from becoming involved in violence, whilst also stating that policing in this way on average will reduce violent crime by 14% and overall offending by </w:t>
      </w:r>
      <w:proofErr w:type="gramStart"/>
      <w:r>
        <w:rPr>
          <w:rFonts w:ascii="Calibri" w:hAnsi="Calibri" w:cs="Calibri"/>
          <w:sz w:val="22"/>
          <w:szCs w:val="22"/>
          <w:lang w:val="en-GB"/>
        </w:rPr>
        <w:t>17% as a whole</w:t>
      </w:r>
      <w:proofErr w:type="gramEnd"/>
      <w:r>
        <w:rPr>
          <w:rFonts w:ascii="Calibri" w:hAnsi="Calibri" w:cs="Calibri"/>
          <w:sz w:val="22"/>
          <w:szCs w:val="22"/>
          <w:lang w:val="en-GB"/>
        </w:rPr>
        <w:t xml:space="preserve">. If juvenile offending has been identified as a major issue in a particular area, then focusing all police resources in that </w:t>
      </w:r>
      <w:proofErr w:type="gramStart"/>
      <w:r>
        <w:rPr>
          <w:rFonts w:ascii="Calibri" w:hAnsi="Calibri" w:cs="Calibri"/>
          <w:sz w:val="22"/>
          <w:szCs w:val="22"/>
          <w:lang w:val="en-GB"/>
        </w:rPr>
        <w:t>particular may</w:t>
      </w:r>
      <w:proofErr w:type="gramEnd"/>
      <w:r>
        <w:rPr>
          <w:rFonts w:ascii="Calibri" w:hAnsi="Calibri" w:cs="Calibri"/>
          <w:sz w:val="22"/>
          <w:szCs w:val="22"/>
          <w:lang w:val="en-GB"/>
        </w:rPr>
        <w:t xml:space="preserve"> pay dividends when tackling the issue. </w:t>
      </w:r>
    </w:p>
    <w:p w14:paraId="04FDB791" w14:textId="77777777"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1477E58F" w14:textId="242B7D72" w:rsidR="00510383" w:rsidRDefault="00510383"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In conclusion I am of the belief that if all of the above crime prevention strategies are used simultaneously when addressing the issue of juvenile offending re occurring in certain identified </w:t>
      </w:r>
      <w:proofErr w:type="gramStart"/>
      <w:r>
        <w:rPr>
          <w:rFonts w:ascii="Calibri" w:hAnsi="Calibri" w:cs="Calibri"/>
          <w:sz w:val="22"/>
          <w:szCs w:val="22"/>
          <w:lang w:val="en-GB"/>
        </w:rPr>
        <w:t>high risk</w:t>
      </w:r>
      <w:proofErr w:type="gramEnd"/>
      <w:r>
        <w:rPr>
          <w:rFonts w:ascii="Calibri" w:hAnsi="Calibri" w:cs="Calibri"/>
          <w:sz w:val="22"/>
          <w:szCs w:val="22"/>
          <w:lang w:val="en-GB"/>
        </w:rPr>
        <w:t xml:space="preserve"> individuals, then repeat offending and further crime from occurring may be reduced in the juvenile population. It is clear from research conducted, that if police chose to simply act in a reactionary manner to crime and ignore the overreaching issues then the likelihood of crime being reduced in our youth will decrease significantly.</w:t>
      </w:r>
    </w:p>
    <w:p w14:paraId="51836169" w14:textId="0F83B8E7" w:rsidR="00510383" w:rsidRDefault="00510383">
      <w:pPr>
        <w:rPr>
          <w:lang w:val="en-GB"/>
        </w:rPr>
      </w:pPr>
    </w:p>
    <w:p w14:paraId="373FF6D4" w14:textId="1390D083" w:rsidR="00510383" w:rsidRDefault="00510383">
      <w:pPr>
        <w:rPr>
          <w:lang w:val="en-GB"/>
        </w:rPr>
      </w:pPr>
      <w:r>
        <w:rPr>
          <w:b/>
          <w:bCs/>
          <w:lang w:val="en-GB"/>
        </w:rPr>
        <w:t xml:space="preserve">Word Count: </w:t>
      </w:r>
      <w:r>
        <w:rPr>
          <w:lang w:val="en-GB"/>
        </w:rPr>
        <w:t>984</w:t>
      </w:r>
    </w:p>
    <w:p w14:paraId="6CBCF0B1" w14:textId="2C4C4697" w:rsidR="00BA6DB8" w:rsidRPr="00BA6DB8" w:rsidRDefault="00510383" w:rsidP="00BA6DB8">
      <w:pPr>
        <w:rPr>
          <w:b/>
          <w:bCs/>
          <w:sz w:val="24"/>
          <w:szCs w:val="24"/>
          <w:lang w:val="en-GB"/>
        </w:rPr>
      </w:pPr>
      <w:r w:rsidRPr="00510383">
        <w:rPr>
          <w:b/>
          <w:bCs/>
          <w:sz w:val="24"/>
          <w:szCs w:val="24"/>
          <w:lang w:val="en-GB"/>
        </w:rPr>
        <w:t>Bibliography</w:t>
      </w:r>
    </w:p>
    <w:p w14:paraId="45145CED" w14:textId="77777777" w:rsidR="00BA6DB8" w:rsidRDefault="00BA6DB8" w:rsidP="00510383">
      <w:pPr>
        <w:pStyle w:val="NormalWeb"/>
        <w:spacing w:before="0" w:beforeAutospacing="0" w:after="0" w:afterAutospacing="0"/>
        <w:rPr>
          <w:rFonts w:ascii="Calibri" w:hAnsi="Calibri" w:cs="Calibri"/>
          <w:sz w:val="22"/>
          <w:szCs w:val="22"/>
          <w:lang w:val="en-GB"/>
        </w:rPr>
      </w:pPr>
      <w:proofErr w:type="gramStart"/>
      <w:r>
        <w:rPr>
          <w:rFonts w:ascii="Calibri" w:hAnsi="Calibri" w:cs="Calibri"/>
          <w:sz w:val="22"/>
          <w:szCs w:val="22"/>
          <w:lang w:val="en-GB"/>
        </w:rPr>
        <w:t>Bullock,K.</w:t>
      </w:r>
      <w:proofErr w:type="gramEnd"/>
      <w:r>
        <w:rPr>
          <w:rFonts w:ascii="Calibri" w:hAnsi="Calibri" w:cs="Calibri"/>
          <w:sz w:val="22"/>
          <w:szCs w:val="22"/>
          <w:lang w:val="en-GB"/>
        </w:rPr>
        <w:t xml:space="preserve"> Erol,R. Tilley.N. (2013). </w:t>
      </w:r>
      <w:r>
        <w:rPr>
          <w:rFonts w:ascii="Calibri" w:hAnsi="Calibri" w:cs="Calibri"/>
          <w:i/>
          <w:iCs/>
          <w:sz w:val="22"/>
          <w:szCs w:val="22"/>
          <w:lang w:val="en-GB"/>
        </w:rPr>
        <w:t>Problem-oriented Policing and Partnerships</w:t>
      </w:r>
      <w:r>
        <w:rPr>
          <w:rFonts w:ascii="Calibri" w:hAnsi="Calibri" w:cs="Calibri"/>
          <w:sz w:val="22"/>
          <w:szCs w:val="22"/>
          <w:lang w:val="en-GB"/>
        </w:rPr>
        <w:t xml:space="preserve">. [online] United Kingdom: Taylor &amp; Francis. Available at: </w:t>
      </w:r>
      <w:hyperlink r:id="rId7" w:history="1">
        <w:r>
          <w:rPr>
            <w:rStyle w:val="Hyperlink"/>
            <w:rFonts w:ascii="Calibri" w:hAnsi="Calibri" w:cs="Calibri"/>
            <w:sz w:val="22"/>
            <w:szCs w:val="22"/>
            <w:lang w:val="en-GB"/>
          </w:rPr>
          <w:t>https://www.google.co.uk/books/edition/Problem_oriented_Policing_and_Partnershi/sRKaRundkgEC?hl=en&amp;gbpv=0</w:t>
        </w:r>
      </w:hyperlink>
      <w:r>
        <w:rPr>
          <w:rFonts w:ascii="Calibri" w:hAnsi="Calibri" w:cs="Calibri"/>
          <w:sz w:val="22"/>
          <w:szCs w:val="22"/>
          <w:lang w:val="en-GB"/>
        </w:rPr>
        <w:t>. (Last Accessed 14/05/2023).</w:t>
      </w:r>
    </w:p>
    <w:p w14:paraId="276A9A7B" w14:textId="702135A8"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 </w:t>
      </w:r>
    </w:p>
    <w:p w14:paraId="3FB534FA"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College of Policing, 2020. </w:t>
      </w:r>
      <w:r>
        <w:rPr>
          <w:rFonts w:ascii="Calibri" w:hAnsi="Calibri" w:cs="Calibri"/>
          <w:i/>
          <w:iCs/>
          <w:sz w:val="22"/>
          <w:szCs w:val="22"/>
          <w:lang w:val="en-GB"/>
        </w:rPr>
        <w:t xml:space="preserve">Problem-oriented policing. </w:t>
      </w:r>
      <w:r>
        <w:rPr>
          <w:rFonts w:ascii="Calibri" w:hAnsi="Calibri" w:cs="Calibri"/>
          <w:sz w:val="22"/>
          <w:szCs w:val="22"/>
          <w:lang w:val="en-GB"/>
        </w:rPr>
        <w:t xml:space="preserve">[online]. Available at: </w:t>
      </w:r>
      <w:hyperlink r:id="rId8" w:history="1">
        <w:r>
          <w:rPr>
            <w:rStyle w:val="Hyperlink"/>
            <w:rFonts w:ascii="Calibri" w:hAnsi="Calibri" w:cs="Calibri"/>
            <w:sz w:val="22"/>
            <w:szCs w:val="22"/>
            <w:lang w:val="en-GB"/>
          </w:rPr>
          <w:t>https://www.college.police.uk/research/crime-reduction-toolkit/problem-oriented-policing</w:t>
        </w:r>
      </w:hyperlink>
      <w:r>
        <w:rPr>
          <w:rFonts w:ascii="Calibri" w:hAnsi="Calibri" w:cs="Calibri"/>
          <w:sz w:val="22"/>
          <w:szCs w:val="22"/>
          <w:lang w:val="en-GB"/>
        </w:rPr>
        <w:t>. (Last Accessed 14/05/2023).</w:t>
      </w:r>
    </w:p>
    <w:p w14:paraId="117BD93E" w14:textId="77777777" w:rsidR="00BA6DB8" w:rsidRDefault="00BA6DB8" w:rsidP="00510383">
      <w:pPr>
        <w:pStyle w:val="NormalWeb"/>
        <w:spacing w:before="0" w:beforeAutospacing="0" w:after="0" w:afterAutospacing="0"/>
        <w:rPr>
          <w:rFonts w:ascii="Calibri" w:hAnsi="Calibri" w:cs="Calibri"/>
          <w:sz w:val="22"/>
          <w:szCs w:val="22"/>
          <w:lang w:val="en-GB"/>
        </w:rPr>
      </w:pPr>
    </w:p>
    <w:p w14:paraId="25BE41EC"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lastRenderedPageBreak/>
        <w:t xml:space="preserve">College of Policing, 2021. </w:t>
      </w:r>
      <w:r>
        <w:rPr>
          <w:rFonts w:ascii="Calibri" w:hAnsi="Calibri" w:cs="Calibri"/>
          <w:i/>
          <w:iCs/>
          <w:sz w:val="22"/>
          <w:szCs w:val="22"/>
          <w:lang w:val="en-GB"/>
        </w:rPr>
        <w:t xml:space="preserve">Targeted approaches to crime and disorder reduction. </w:t>
      </w:r>
      <w:r>
        <w:rPr>
          <w:rFonts w:ascii="Calibri" w:hAnsi="Calibri" w:cs="Calibri"/>
          <w:sz w:val="22"/>
          <w:szCs w:val="22"/>
          <w:lang w:val="en-GB"/>
        </w:rPr>
        <w:t xml:space="preserve">[online]. Available at: </w:t>
      </w:r>
      <w:hyperlink r:id="rId9" w:history="1">
        <w:r>
          <w:rPr>
            <w:rStyle w:val="Hyperlink"/>
            <w:rFonts w:ascii="Calibri" w:hAnsi="Calibri" w:cs="Calibri"/>
            <w:sz w:val="22"/>
            <w:szCs w:val="22"/>
            <w:lang w:val="en-GB"/>
          </w:rPr>
          <w:t>https://www.college.police.uk/research/what-works-policing-reduce-crime/targeted-approaches</w:t>
        </w:r>
      </w:hyperlink>
      <w:r>
        <w:rPr>
          <w:rFonts w:ascii="Calibri" w:hAnsi="Calibri" w:cs="Calibri"/>
          <w:sz w:val="22"/>
          <w:szCs w:val="22"/>
          <w:lang w:val="en-GB"/>
        </w:rPr>
        <w:t xml:space="preserve">. (Last Accessed 14/05/2023). </w:t>
      </w:r>
    </w:p>
    <w:p w14:paraId="48BA1B72" w14:textId="77777777" w:rsidR="00BA6DB8" w:rsidRDefault="00BA6DB8" w:rsidP="00510383">
      <w:pPr>
        <w:pStyle w:val="NormalWeb"/>
        <w:spacing w:before="0" w:beforeAutospacing="0" w:after="0" w:afterAutospacing="0"/>
        <w:rPr>
          <w:rFonts w:ascii="Calibri" w:hAnsi="Calibri" w:cs="Calibri"/>
          <w:sz w:val="22"/>
          <w:szCs w:val="22"/>
          <w:lang w:val="en-GB"/>
        </w:rPr>
      </w:pPr>
    </w:p>
    <w:p w14:paraId="0EF3D22E"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GOV.UK, 2022. </w:t>
      </w:r>
      <w:r>
        <w:rPr>
          <w:rFonts w:ascii="Calibri" w:hAnsi="Calibri" w:cs="Calibri"/>
          <w:i/>
          <w:iCs/>
          <w:sz w:val="22"/>
          <w:szCs w:val="22"/>
          <w:lang w:val="en-GB"/>
        </w:rPr>
        <w:t>Proven reoffending statistics: April to June 2022</w:t>
      </w:r>
      <w:r>
        <w:rPr>
          <w:rFonts w:ascii="Calibri" w:hAnsi="Calibri" w:cs="Calibri"/>
          <w:sz w:val="22"/>
          <w:szCs w:val="22"/>
          <w:lang w:val="en-GB"/>
        </w:rPr>
        <w:t xml:space="preserve">. [online]. Available at: </w:t>
      </w:r>
      <w:hyperlink r:id="rId10" w:history="1">
        <w:r>
          <w:rPr>
            <w:rStyle w:val="Hyperlink"/>
            <w:rFonts w:ascii="Calibri" w:hAnsi="Calibri" w:cs="Calibri"/>
            <w:sz w:val="22"/>
            <w:szCs w:val="22"/>
            <w:lang w:val="en-GB"/>
          </w:rPr>
          <w:t>https://www.gov.uk/government/statistics/proven-reoffending-statistics-april-to-june-2020/proven-reoffending-statistics-april-to-june-2020</w:t>
        </w:r>
      </w:hyperlink>
      <w:r>
        <w:rPr>
          <w:rFonts w:ascii="Calibri" w:hAnsi="Calibri" w:cs="Calibri"/>
          <w:sz w:val="22"/>
          <w:szCs w:val="22"/>
          <w:lang w:val="en-GB"/>
        </w:rPr>
        <w:t xml:space="preserve">. (Last Accessed 14/05/2023). </w:t>
      </w:r>
    </w:p>
    <w:p w14:paraId="09D5286E" w14:textId="77777777" w:rsidR="00BA6DB8" w:rsidRDefault="00BA6DB8" w:rsidP="00510383">
      <w:pPr>
        <w:pStyle w:val="NormalWeb"/>
        <w:spacing w:before="0" w:beforeAutospacing="0" w:after="0" w:afterAutospacing="0"/>
        <w:rPr>
          <w:rFonts w:ascii="Calibri" w:hAnsi="Calibri" w:cs="Calibri"/>
          <w:sz w:val="22"/>
          <w:szCs w:val="22"/>
          <w:lang w:val="en-GB"/>
        </w:rPr>
      </w:pPr>
    </w:p>
    <w:p w14:paraId="3AD2E137"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Liberties, 2021. </w:t>
      </w:r>
      <w:r>
        <w:rPr>
          <w:rFonts w:ascii="Calibri" w:hAnsi="Calibri" w:cs="Calibri"/>
          <w:i/>
          <w:iCs/>
          <w:sz w:val="22"/>
          <w:szCs w:val="22"/>
          <w:lang w:val="en-GB"/>
        </w:rPr>
        <w:t xml:space="preserve">4 Benefits and 4 Drawbacks of Predictive Policing. </w:t>
      </w:r>
      <w:r>
        <w:rPr>
          <w:rFonts w:ascii="Calibri" w:hAnsi="Calibri" w:cs="Calibri"/>
          <w:sz w:val="22"/>
          <w:szCs w:val="22"/>
          <w:lang w:val="en-GB"/>
        </w:rPr>
        <w:t xml:space="preserve">[online]. Available at: </w:t>
      </w:r>
      <w:hyperlink r:id="rId11" w:history="1">
        <w:r>
          <w:rPr>
            <w:rStyle w:val="Hyperlink"/>
            <w:rFonts w:ascii="Calibri" w:hAnsi="Calibri" w:cs="Calibri"/>
            <w:sz w:val="22"/>
            <w:szCs w:val="22"/>
            <w:lang w:val="en-GB"/>
          </w:rPr>
          <w:t>https://www.liberties.eu/en/stories/predictive-policing/43679</w:t>
        </w:r>
      </w:hyperlink>
      <w:r>
        <w:rPr>
          <w:rFonts w:ascii="Calibri" w:hAnsi="Calibri" w:cs="Calibri"/>
          <w:sz w:val="22"/>
          <w:szCs w:val="22"/>
          <w:lang w:val="en-GB"/>
        </w:rPr>
        <w:t xml:space="preserve">. (Last Accessed 14/05/2023). </w:t>
      </w:r>
    </w:p>
    <w:p w14:paraId="37EF5CDC" w14:textId="77777777" w:rsidR="00BA6DB8" w:rsidRDefault="00BA6DB8" w:rsidP="00510383">
      <w:pPr>
        <w:pStyle w:val="NormalWeb"/>
        <w:spacing w:before="0" w:beforeAutospacing="0" w:after="0" w:afterAutospacing="0"/>
        <w:rPr>
          <w:rFonts w:ascii="Calibri" w:hAnsi="Calibri" w:cs="Calibri"/>
          <w:sz w:val="22"/>
          <w:szCs w:val="22"/>
          <w:lang w:val="en-GB"/>
        </w:rPr>
      </w:pPr>
    </w:p>
    <w:p w14:paraId="4716BECA"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Merriam Webster,2023. </w:t>
      </w:r>
      <w:r>
        <w:rPr>
          <w:rFonts w:ascii="Calibri" w:hAnsi="Calibri" w:cs="Calibri"/>
          <w:i/>
          <w:iCs/>
          <w:sz w:val="22"/>
          <w:szCs w:val="22"/>
          <w:lang w:val="en-GB"/>
        </w:rPr>
        <w:t xml:space="preserve">Repeat Offender. </w:t>
      </w:r>
      <w:r>
        <w:rPr>
          <w:rFonts w:ascii="Calibri" w:hAnsi="Calibri" w:cs="Calibri"/>
          <w:sz w:val="22"/>
          <w:szCs w:val="22"/>
          <w:lang w:val="en-GB"/>
        </w:rPr>
        <w:t xml:space="preserve">[online]. Available at: </w:t>
      </w:r>
      <w:hyperlink r:id="rId12" w:anchor=":~:text=Legal%20Definition-,repeat%20offender,on%20more%20than%20one%20occasion" w:history="1">
        <w:r>
          <w:rPr>
            <w:rStyle w:val="Hyperlink"/>
            <w:rFonts w:ascii="Calibri" w:hAnsi="Calibri" w:cs="Calibri"/>
            <w:sz w:val="22"/>
            <w:szCs w:val="22"/>
            <w:lang w:val="en-GB"/>
          </w:rPr>
          <w:t>https://www.merriam-webster.com/dictionary/repeat%20offender#:~:text=Legal%20Definition-,repeat%20offender,on%20more%20than%20one%20occasion</w:t>
        </w:r>
      </w:hyperlink>
      <w:r>
        <w:rPr>
          <w:rFonts w:ascii="Calibri" w:hAnsi="Calibri" w:cs="Calibri"/>
          <w:sz w:val="22"/>
          <w:szCs w:val="22"/>
          <w:lang w:val="en-GB"/>
        </w:rPr>
        <w:t xml:space="preserve">. (Last Accessed 14/05/2023). </w:t>
      </w:r>
    </w:p>
    <w:p w14:paraId="0EF22508" w14:textId="77777777" w:rsidR="00BA6DB8" w:rsidRDefault="00BA6DB8" w:rsidP="00510383">
      <w:pPr>
        <w:pStyle w:val="NormalWeb"/>
        <w:spacing w:before="0" w:beforeAutospacing="0" w:after="0" w:afterAutospacing="0"/>
        <w:rPr>
          <w:rFonts w:ascii="Calibri" w:hAnsi="Calibri" w:cs="Calibri"/>
          <w:sz w:val="22"/>
          <w:szCs w:val="22"/>
          <w:lang w:val="en-GB"/>
        </w:rPr>
      </w:pPr>
    </w:p>
    <w:p w14:paraId="4EA233FB" w14:textId="77777777" w:rsidR="00BA6DB8" w:rsidRDefault="00BA6DB8" w:rsidP="00510383">
      <w:pPr>
        <w:pStyle w:val="NormalWeb"/>
        <w:spacing w:before="0" w:beforeAutospacing="0" w:after="0" w:afterAutospacing="0"/>
        <w:rPr>
          <w:rFonts w:ascii="Calibri" w:hAnsi="Calibri" w:cs="Calibri"/>
          <w:sz w:val="22"/>
          <w:szCs w:val="22"/>
          <w:lang w:val="en-GB"/>
        </w:rPr>
      </w:pPr>
      <w:proofErr w:type="gramStart"/>
      <w:r>
        <w:rPr>
          <w:rFonts w:ascii="Calibri" w:hAnsi="Calibri" w:cs="Calibri"/>
          <w:sz w:val="22"/>
          <w:szCs w:val="22"/>
          <w:lang w:val="en-GB"/>
        </w:rPr>
        <w:t>Perry,W.</w:t>
      </w:r>
      <w:proofErr w:type="gramEnd"/>
      <w:r>
        <w:rPr>
          <w:rFonts w:ascii="Calibri" w:hAnsi="Calibri" w:cs="Calibri"/>
          <w:sz w:val="22"/>
          <w:szCs w:val="22"/>
          <w:lang w:val="en-GB"/>
        </w:rPr>
        <w:t xml:space="preserve"> (2013). </w:t>
      </w:r>
      <w:r>
        <w:rPr>
          <w:rFonts w:ascii="Calibri" w:hAnsi="Calibri" w:cs="Calibri"/>
          <w:i/>
          <w:iCs/>
          <w:sz w:val="22"/>
          <w:szCs w:val="22"/>
          <w:lang w:val="en-GB"/>
        </w:rPr>
        <w:t xml:space="preserve">The Role of Crime Forecasting in Law Enforcement Operations. </w:t>
      </w:r>
      <w:r>
        <w:rPr>
          <w:rFonts w:ascii="Calibri" w:hAnsi="Calibri" w:cs="Calibri"/>
          <w:sz w:val="22"/>
          <w:szCs w:val="22"/>
          <w:lang w:val="en-GB"/>
        </w:rPr>
        <w:t xml:space="preserve">[online]. United States: RAND Corporation. Available from: </w:t>
      </w:r>
      <w:hyperlink r:id="rId13" w:history="1">
        <w:r>
          <w:rPr>
            <w:rStyle w:val="Hyperlink"/>
            <w:rFonts w:ascii="Calibri" w:hAnsi="Calibri" w:cs="Calibri"/>
            <w:sz w:val="22"/>
            <w:szCs w:val="22"/>
            <w:lang w:val="en-GB"/>
          </w:rPr>
          <w:t>https://www.google.co.uk/books/edition/Predictive_Policing/ZdstAQAAQBAJ?hl=en&amp;gbpv=0&amp;kptab=overview</w:t>
        </w:r>
      </w:hyperlink>
      <w:r>
        <w:rPr>
          <w:rFonts w:ascii="Calibri" w:hAnsi="Calibri" w:cs="Calibri"/>
          <w:sz w:val="22"/>
          <w:szCs w:val="22"/>
          <w:lang w:val="en-GB"/>
        </w:rPr>
        <w:t xml:space="preserve">. (Last Accessed 14/05/2023). </w:t>
      </w:r>
    </w:p>
    <w:p w14:paraId="1B829EDD" w14:textId="77777777" w:rsidR="00BA6DB8" w:rsidRDefault="00BA6DB8" w:rsidP="00510383">
      <w:pPr>
        <w:pStyle w:val="NormalWeb"/>
        <w:spacing w:before="0" w:beforeAutospacing="0" w:after="0" w:afterAutospacing="0"/>
        <w:rPr>
          <w:rFonts w:ascii="Calibri" w:hAnsi="Calibri" w:cs="Calibri"/>
          <w:sz w:val="22"/>
          <w:szCs w:val="22"/>
          <w:lang w:val="en-GB"/>
        </w:rPr>
      </w:pPr>
    </w:p>
    <w:p w14:paraId="3FB113E7"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The Youth Endowment Fund, (NO DATE). </w:t>
      </w:r>
      <w:r>
        <w:rPr>
          <w:rFonts w:ascii="Calibri" w:hAnsi="Calibri" w:cs="Calibri"/>
          <w:i/>
          <w:iCs/>
          <w:sz w:val="22"/>
          <w:szCs w:val="22"/>
          <w:lang w:val="en-GB"/>
        </w:rPr>
        <w:t xml:space="preserve">Targeted Policing in high crime areas reduces youth violence, research finds. </w:t>
      </w:r>
      <w:r>
        <w:rPr>
          <w:rFonts w:ascii="Calibri" w:hAnsi="Calibri" w:cs="Calibri"/>
          <w:sz w:val="22"/>
          <w:szCs w:val="22"/>
          <w:lang w:val="en-GB"/>
        </w:rPr>
        <w:t xml:space="preserve">[online]. Available at: </w:t>
      </w:r>
      <w:hyperlink r:id="rId14" w:history="1">
        <w:r>
          <w:rPr>
            <w:rStyle w:val="Hyperlink"/>
            <w:rFonts w:ascii="Calibri" w:hAnsi="Calibri" w:cs="Calibri"/>
            <w:sz w:val="22"/>
            <w:szCs w:val="22"/>
            <w:lang w:val="en-GB"/>
          </w:rPr>
          <w:t>https://youthendowmentfund.org.uk/news/targeted-policing-in-high-crime-areas-reduces-youth-violence-research-finds/</w:t>
        </w:r>
      </w:hyperlink>
      <w:r>
        <w:rPr>
          <w:rFonts w:ascii="Calibri" w:hAnsi="Calibri" w:cs="Calibri"/>
          <w:sz w:val="22"/>
          <w:szCs w:val="22"/>
          <w:lang w:val="en-GB"/>
        </w:rPr>
        <w:t>. (Last Accessed 14/05/2023).</w:t>
      </w:r>
    </w:p>
    <w:p w14:paraId="32D7FC34" w14:textId="77777777" w:rsidR="00BA6DB8" w:rsidRDefault="00BA6DB8" w:rsidP="00510383">
      <w:pPr>
        <w:pStyle w:val="NormalWeb"/>
        <w:spacing w:before="0" w:beforeAutospacing="0" w:after="0" w:afterAutospacing="0"/>
        <w:rPr>
          <w:rFonts w:ascii="Calibri" w:hAnsi="Calibri" w:cs="Calibri"/>
          <w:sz w:val="22"/>
          <w:szCs w:val="22"/>
          <w:lang w:val="en-GB"/>
        </w:rPr>
      </w:pPr>
    </w:p>
    <w:p w14:paraId="07555818" w14:textId="77777777" w:rsidR="00BA6DB8" w:rsidRDefault="00BA6DB8" w:rsidP="00510383">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United Nations Office on Drugs and Crime, 2019. </w:t>
      </w:r>
      <w:r>
        <w:rPr>
          <w:rFonts w:ascii="Calibri" w:hAnsi="Calibri" w:cs="Calibri"/>
          <w:i/>
          <w:iCs/>
          <w:sz w:val="22"/>
          <w:szCs w:val="22"/>
          <w:lang w:val="en-GB"/>
        </w:rPr>
        <w:t xml:space="preserve">E4J University Module Series: Crime Prevention and Criminal Justice. </w:t>
      </w:r>
      <w:r>
        <w:rPr>
          <w:rFonts w:ascii="Calibri" w:hAnsi="Calibri" w:cs="Calibri"/>
          <w:sz w:val="22"/>
          <w:szCs w:val="22"/>
          <w:lang w:val="en-GB"/>
        </w:rPr>
        <w:t xml:space="preserve">[online]. Available at: </w:t>
      </w:r>
      <w:hyperlink r:id="rId15" w:history="1">
        <w:r>
          <w:rPr>
            <w:rStyle w:val="Hyperlink"/>
            <w:rFonts w:ascii="Calibri" w:hAnsi="Calibri" w:cs="Calibri"/>
            <w:sz w:val="22"/>
            <w:szCs w:val="22"/>
            <w:lang w:val="en-GB"/>
          </w:rPr>
          <w:t>https://www.unodc.org/e4j/zh/crime-prevention-criminal-justice/module-2/key-issues/1--definition-of-crime-prevention.html</w:t>
        </w:r>
      </w:hyperlink>
      <w:r>
        <w:rPr>
          <w:rFonts w:ascii="Calibri" w:hAnsi="Calibri" w:cs="Calibri"/>
          <w:sz w:val="22"/>
          <w:szCs w:val="22"/>
          <w:lang w:val="en-GB"/>
        </w:rPr>
        <w:t xml:space="preserve">. (Last Accessed 14/05/2023). </w:t>
      </w:r>
    </w:p>
    <w:p w14:paraId="349DF957" w14:textId="77777777" w:rsidR="00510383" w:rsidRDefault="00510383">
      <w:pPr>
        <w:rPr>
          <w:b/>
          <w:bCs/>
          <w:sz w:val="24"/>
          <w:szCs w:val="24"/>
          <w:lang w:val="en-GB"/>
        </w:rPr>
      </w:pPr>
    </w:p>
    <w:p w14:paraId="3690AD02" w14:textId="77777777" w:rsidR="00BA6DB8" w:rsidRPr="00510383" w:rsidRDefault="00BA6DB8">
      <w:pPr>
        <w:rPr>
          <w:b/>
          <w:bCs/>
          <w:sz w:val="24"/>
          <w:szCs w:val="24"/>
          <w:lang w:val="en-GB"/>
        </w:rPr>
      </w:pPr>
    </w:p>
    <w:p w14:paraId="41C84936" w14:textId="77777777" w:rsidR="00002C56" w:rsidRDefault="00002C56" w:rsidP="007174C1">
      <w:pPr>
        <w:spacing w:line="257" w:lineRule="auto"/>
        <w:ind w:right="531"/>
        <w:rPr>
          <w:rFonts w:ascii="Arial" w:hAnsi="Arial" w:cs="Arial"/>
          <w:b/>
          <w:bCs/>
        </w:rPr>
      </w:pPr>
    </w:p>
    <w:p w14:paraId="06BAAE4B" w14:textId="77777777" w:rsidR="00002C56" w:rsidRDefault="00002C56" w:rsidP="007174C1">
      <w:pPr>
        <w:spacing w:line="257" w:lineRule="auto"/>
        <w:ind w:right="531"/>
        <w:rPr>
          <w:rFonts w:ascii="Arial" w:hAnsi="Arial" w:cs="Arial"/>
          <w:b/>
          <w:bCs/>
        </w:rPr>
      </w:pPr>
    </w:p>
    <w:p w14:paraId="6F916136" w14:textId="77777777" w:rsidR="00002C56" w:rsidRDefault="00002C56" w:rsidP="007174C1">
      <w:pPr>
        <w:spacing w:line="257" w:lineRule="auto"/>
        <w:ind w:right="531"/>
        <w:rPr>
          <w:rFonts w:ascii="Arial" w:hAnsi="Arial" w:cs="Arial"/>
          <w:b/>
          <w:bCs/>
        </w:rPr>
      </w:pPr>
    </w:p>
    <w:p w14:paraId="5C27DA51" w14:textId="77777777" w:rsidR="00002C56" w:rsidRDefault="00002C56" w:rsidP="007174C1">
      <w:pPr>
        <w:spacing w:line="257" w:lineRule="auto"/>
        <w:ind w:right="531"/>
        <w:rPr>
          <w:rFonts w:ascii="Arial" w:hAnsi="Arial" w:cs="Arial"/>
          <w:b/>
          <w:bCs/>
        </w:rPr>
      </w:pPr>
    </w:p>
    <w:p w14:paraId="1AC07E28" w14:textId="77777777" w:rsidR="00002C56" w:rsidRDefault="00002C56" w:rsidP="007174C1">
      <w:pPr>
        <w:spacing w:line="257" w:lineRule="auto"/>
        <w:ind w:right="531"/>
        <w:rPr>
          <w:rFonts w:ascii="Arial" w:hAnsi="Arial" w:cs="Arial"/>
          <w:b/>
          <w:bCs/>
        </w:rPr>
      </w:pPr>
    </w:p>
    <w:p w14:paraId="581EEE61" w14:textId="77777777" w:rsidR="00002C56" w:rsidRDefault="00002C56" w:rsidP="007174C1">
      <w:pPr>
        <w:spacing w:line="257" w:lineRule="auto"/>
        <w:ind w:right="531"/>
        <w:rPr>
          <w:rFonts w:ascii="Arial" w:hAnsi="Arial" w:cs="Arial"/>
          <w:b/>
          <w:bCs/>
        </w:rPr>
      </w:pPr>
    </w:p>
    <w:p w14:paraId="1E969037" w14:textId="77777777" w:rsidR="00002C56" w:rsidRDefault="00002C56" w:rsidP="007174C1">
      <w:pPr>
        <w:spacing w:line="257" w:lineRule="auto"/>
        <w:ind w:right="531"/>
        <w:rPr>
          <w:rFonts w:ascii="Arial" w:hAnsi="Arial" w:cs="Arial"/>
          <w:b/>
          <w:bCs/>
        </w:rPr>
      </w:pPr>
    </w:p>
    <w:p w14:paraId="29B0BB0F" w14:textId="77777777" w:rsidR="00002C56" w:rsidRDefault="00002C56" w:rsidP="007174C1">
      <w:pPr>
        <w:spacing w:line="257" w:lineRule="auto"/>
        <w:ind w:right="531"/>
        <w:rPr>
          <w:rFonts w:ascii="Arial" w:hAnsi="Arial" w:cs="Arial"/>
          <w:b/>
          <w:bCs/>
        </w:rPr>
      </w:pPr>
    </w:p>
    <w:p w14:paraId="639284CD" w14:textId="77777777" w:rsidR="00002C56" w:rsidRDefault="00002C56" w:rsidP="007174C1">
      <w:pPr>
        <w:spacing w:line="257" w:lineRule="auto"/>
        <w:ind w:right="531"/>
        <w:rPr>
          <w:rFonts w:ascii="Arial" w:hAnsi="Arial" w:cs="Arial"/>
          <w:b/>
          <w:bCs/>
        </w:rPr>
      </w:pPr>
    </w:p>
    <w:p w14:paraId="495562DE" w14:textId="77777777" w:rsidR="00002C56" w:rsidRDefault="00002C56" w:rsidP="007174C1">
      <w:pPr>
        <w:spacing w:line="257" w:lineRule="auto"/>
        <w:ind w:right="531"/>
        <w:rPr>
          <w:rFonts w:ascii="Arial" w:hAnsi="Arial" w:cs="Arial"/>
          <w:b/>
          <w:bCs/>
        </w:rPr>
      </w:pPr>
    </w:p>
    <w:p w14:paraId="67132122" w14:textId="06FD954D" w:rsidR="007174C1" w:rsidRPr="00693B87" w:rsidRDefault="007174C1" w:rsidP="007174C1">
      <w:pPr>
        <w:spacing w:line="257" w:lineRule="auto"/>
        <w:ind w:right="531"/>
        <w:rPr>
          <w:rFonts w:ascii="Arial" w:hAnsi="Arial" w:cs="Arial"/>
          <w:b/>
          <w:bCs/>
        </w:rPr>
      </w:pPr>
      <w:r w:rsidRPr="00693B87">
        <w:rPr>
          <w:rFonts w:ascii="Arial" w:hAnsi="Arial" w:cs="Arial"/>
          <w:b/>
          <w:bCs/>
        </w:rPr>
        <w:lastRenderedPageBreak/>
        <w:t>Essay two:</w:t>
      </w:r>
    </w:p>
    <w:p w14:paraId="795E8A52" w14:textId="77777777" w:rsidR="007174C1" w:rsidRDefault="007174C1" w:rsidP="007174C1">
      <w:pPr>
        <w:spacing w:line="257" w:lineRule="auto"/>
        <w:ind w:right="531"/>
        <w:rPr>
          <w:rFonts w:ascii="Arial" w:eastAsia="Calibri" w:hAnsi="Arial" w:cs="Arial"/>
        </w:rPr>
      </w:pPr>
      <w:r w:rsidRPr="007174C1">
        <w:rPr>
          <w:rFonts w:ascii="Arial" w:eastAsia="Calibri" w:hAnsi="Arial" w:cs="Arial"/>
        </w:rPr>
        <w:t xml:space="preserve">Counter-terrorism policing – </w:t>
      </w:r>
      <w:r w:rsidRPr="007174C1">
        <w:rPr>
          <w:rFonts w:ascii="Arial" w:eastAsia="Calibri" w:hAnsi="Arial" w:cs="Arial"/>
          <w:u w:val="single"/>
        </w:rPr>
        <w:t>assess</w:t>
      </w:r>
      <w:r w:rsidRPr="007174C1">
        <w:rPr>
          <w:rFonts w:ascii="Arial" w:eastAsia="Calibri" w:hAnsi="Arial" w:cs="Arial"/>
        </w:rPr>
        <w:t xml:space="preserve"> the role of community policing in supporting counter-terrorism policing. </w:t>
      </w:r>
    </w:p>
    <w:p w14:paraId="7E7BFAEE" w14:textId="4A761EB0"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Counter Terrorism Policing is a vital part of the police service that we deliver in the United Kingdom, and it must be done in a collaborative and effective manner to prevent the likely hood of any terror attack taking place. The current National Threat Level in the United Kingdom from terrorism is currently Substantial, meaning that a terror attack is likely to occur (GOV.UK, 2023). It is therefore crucial that although terrorist attacks may have subsided as of recent, that the police continue to tackle the issue at is root cause, which is to prevent an attack from occurring in the first place. </w:t>
      </w:r>
    </w:p>
    <w:p w14:paraId="755689EC"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Counter Terrorism Policing is a collaborative effort put in place in the United Kingdom which consists of a collaborative effort by UK police officers working with a multitude of agencies such as the intelligence community to help keep the public safe from the terrorist threat. Counter Terrorism Police (2023) have outlined several strategies </w:t>
      </w:r>
      <w:proofErr w:type="gramStart"/>
      <w:r>
        <w:rPr>
          <w:rFonts w:ascii="Calibri" w:hAnsi="Calibri" w:cs="Calibri"/>
          <w:sz w:val="22"/>
          <w:szCs w:val="22"/>
          <w:lang w:val="en-GB"/>
        </w:rPr>
        <w:t>in order to</w:t>
      </w:r>
      <w:proofErr w:type="gramEnd"/>
      <w:r>
        <w:rPr>
          <w:rFonts w:ascii="Calibri" w:hAnsi="Calibri" w:cs="Calibri"/>
          <w:sz w:val="22"/>
          <w:szCs w:val="22"/>
          <w:lang w:val="en-GB"/>
        </w:rPr>
        <w:t xml:space="preserve"> prevent, disrupt and investigate dangerous extremists in the United Kingdom. These are to prevent people being drawn into extremism, pursue terrorists, protect the public from terrorists and to prepare and respond to such attacks. Within this essay will be focusing on the ‘Prevent’ strand within the overreaching strategy of ‘CONTEST’, which is the strategy put in place by the UK Government </w:t>
      </w:r>
      <w:proofErr w:type="gramStart"/>
      <w:r>
        <w:rPr>
          <w:rFonts w:ascii="Calibri" w:hAnsi="Calibri" w:cs="Calibri"/>
          <w:sz w:val="22"/>
          <w:szCs w:val="22"/>
          <w:lang w:val="en-GB"/>
        </w:rPr>
        <w:t>in order to</w:t>
      </w:r>
      <w:proofErr w:type="gramEnd"/>
      <w:r>
        <w:rPr>
          <w:rFonts w:ascii="Calibri" w:hAnsi="Calibri" w:cs="Calibri"/>
          <w:sz w:val="22"/>
          <w:szCs w:val="22"/>
          <w:lang w:val="en-GB"/>
        </w:rPr>
        <w:t xml:space="preserve"> tackle the dangerous issue of Terrorism within our country. Assessing this strategy and the role of community policing within it will fully explain the importance of the support and importance of community policing when preventing terrorist attacks from taking place. Official Home Office documentation explains outlines the role of Prevent as being in place to safeguard vulnerable people from becoming terrorist or supporting terrorism via engagement with persons who are identified as being susceptible to being targeted by terrorist recruiters (Home Office, 2019). </w:t>
      </w:r>
    </w:p>
    <w:p w14:paraId="13F6208B"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644B2712" w14:textId="7DF9C6AC" w:rsidR="007174C1" w:rsidRDefault="007174C1" w:rsidP="007174C1">
      <w:pPr>
        <w:pStyle w:val="NormalWeb"/>
        <w:spacing w:before="0" w:beforeAutospacing="0" w:after="0" w:afterAutospacing="0"/>
        <w:rPr>
          <w:rFonts w:ascii="Calibri" w:hAnsi="Calibri" w:cs="Calibri"/>
          <w:sz w:val="22"/>
          <w:szCs w:val="22"/>
          <w:lang w:val="en-GB"/>
        </w:rPr>
      </w:pPr>
      <w:proofErr w:type="gramStart"/>
      <w:r>
        <w:rPr>
          <w:rFonts w:ascii="Calibri" w:hAnsi="Calibri" w:cs="Calibri"/>
          <w:sz w:val="22"/>
          <w:szCs w:val="22"/>
          <w:lang w:val="en-GB"/>
        </w:rPr>
        <w:t>In order to</w:t>
      </w:r>
      <w:proofErr w:type="gramEnd"/>
      <w:r>
        <w:rPr>
          <w:rFonts w:ascii="Calibri" w:hAnsi="Calibri" w:cs="Calibri"/>
          <w:sz w:val="22"/>
          <w:szCs w:val="22"/>
          <w:lang w:val="en-GB"/>
        </w:rPr>
        <w:t xml:space="preserve"> facilitate and implement the Prevent strategy it is clear that it will need to be done in collaboration with community and neighbourhood policing, who can act as the eyes and ears of the Police Service. Counter Terrorism Policing have clearly outlined the importance of community policing used in conjunction with their strategies, stating that community policing live and breathe their communities, building relationships and to intervene when a person is clearly going down the wrong path (Counter Terrorism Police, 2023). Within the United Kingdom there are many diverse communities that contain a varied and mixture of ethnic diversities, it is therefore crucial that community policing is at the heart of </w:t>
      </w:r>
      <w:proofErr w:type="gramStart"/>
      <w:r>
        <w:rPr>
          <w:rFonts w:ascii="Calibri" w:hAnsi="Calibri" w:cs="Calibri"/>
          <w:sz w:val="22"/>
          <w:szCs w:val="22"/>
          <w:lang w:val="en-GB"/>
        </w:rPr>
        <w:t>all of</w:t>
      </w:r>
      <w:proofErr w:type="gramEnd"/>
      <w:r>
        <w:rPr>
          <w:rFonts w:ascii="Calibri" w:hAnsi="Calibri" w:cs="Calibri"/>
          <w:sz w:val="22"/>
          <w:szCs w:val="22"/>
          <w:lang w:val="en-GB"/>
        </w:rPr>
        <w:t xml:space="preserve"> our communities, which will significantly reduce the chance of certain persons becoming marginalised. There are many forms of Counter Terrorism strategies currently in place. However, the main form or prevention of radicalisation that has been implemented within the United Kingdom is that of 'Community Intelligence and Community Co-Operation'. The Environmental and Community Services Select Committee (2017) simply define the process of community intelligence as a method of gathering information which is acquired directly or indirectly from a variety of sources, including the community and groups of people that have a shared identity. This method of policing rather than focus on reacting to terrorist threats, focuses predominantly on preventing the risk of radicalisation within our communities, and then utilising a more low-level approach to diverting their increasing dangerous beliefs into more positive outcomes. The method of Community Co-Operation is aimed at creating long-term preventative measures at tackling terrorism, rather than short terms solutions that will not decrease the number of attacks that occur within our communities.</w:t>
      </w:r>
    </w:p>
    <w:p w14:paraId="3226CEAF"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15D3CDB1" w14:textId="42EEA111"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 It is clear from researching literature in relation to the Prevent strategy being used in partnership with community policing, that it is predominantly focused on the Muslim population of the country. A report published by The Police Foundation (2009) clearly outlines that one of the main strategies of Counter </w:t>
      </w:r>
      <w:r>
        <w:rPr>
          <w:rFonts w:ascii="Calibri" w:hAnsi="Calibri" w:cs="Calibri"/>
          <w:sz w:val="22"/>
          <w:szCs w:val="22"/>
          <w:lang w:val="en-GB"/>
        </w:rPr>
        <w:lastRenderedPageBreak/>
        <w:t xml:space="preserve">Terrorism Policing is to utilise a form of Neighbourhood Policing being applied to areas with a high concentration of British Muslims. Clearly this report was published over 10 years ago, and since then the effects of this implemented strategy have succeeded in marginalising a community, rather than establishing strong community relations between police and the local communities. Within the most recent Independent Review of Prevent (2023) it highlights that utilising this method of community policing that target on the Muslim community is 'targeting' the Muslim community in a way that is uncharacteristic of a democracy. Clearly there are risks with targeting and ostracizing a community as it may increase the likelihood of Terrorism, rather than preventing it. </w:t>
      </w:r>
    </w:p>
    <w:p w14:paraId="7986C907"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42DB078E" w14:textId="5EDA5401"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As mentioned above, although gathering community intelligence through low level uniformed approach may gather the necessary intelligence that may lead to identifying individuals at risk of radicalisation, it may be seen as members of that targeted community as intrusive and demonizing. Clearly tackling radicalisation and terrorism is not straightforward, and it must be policed in a manner that is effective at gathering the necessary intelligence, whilst also remaining ethical towards the group of people that are being targeted. A proven effective manner of approaching communities such as the British Muslims in the UK, is by employing and utilising police officers that represent that same ethnic group. Spalek (2013) emphasizes this importance, stating that the representation of minority groups within the police service is a serious issue, reiterating that having Muslim officers within the service that understand the targeted communities will decrease the levels of distrust between the community and the police. </w:t>
      </w:r>
    </w:p>
    <w:p w14:paraId="67BDAFB8"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730B1D94" w14:textId="550035DA"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A single strategy approach should not be used when utilising community policing as a tool to prevent terrorism from occurring, and a combination of methods should be used such as the above discussed community intelligence gathering and having a representative police force. Neighbourhood policing should be used in a manner where the police build trust within communities, which will enable the community itself to gather the required for the police, which will result in less intrusion being caused by police. Lambert &amp; Parsons (2017) describe this method of neighbourhood policing as a model that will afford the best opportunities for gathering community intelligence that will support the ideology of counter terrorism policing. </w:t>
      </w:r>
    </w:p>
    <w:p w14:paraId="0796F979" w14:textId="77777777" w:rsidR="007174C1" w:rsidRDefault="007174C1" w:rsidP="007174C1">
      <w:pPr>
        <w:spacing w:line="257" w:lineRule="auto"/>
        <w:ind w:right="531"/>
        <w:rPr>
          <w:rFonts w:ascii="Arial" w:eastAsia="Calibri" w:hAnsi="Arial" w:cs="Arial"/>
        </w:rPr>
      </w:pPr>
    </w:p>
    <w:p w14:paraId="3E3E741D" w14:textId="7B17FCF8" w:rsidR="007174C1" w:rsidRDefault="007174C1" w:rsidP="007174C1">
      <w:pPr>
        <w:spacing w:line="257" w:lineRule="auto"/>
        <w:ind w:right="531"/>
        <w:rPr>
          <w:rFonts w:ascii="Arial" w:eastAsia="Calibri" w:hAnsi="Arial" w:cs="Arial"/>
        </w:rPr>
      </w:pPr>
      <w:r>
        <w:rPr>
          <w:rFonts w:ascii="Arial" w:eastAsia="Calibri" w:hAnsi="Arial" w:cs="Arial"/>
          <w:b/>
          <w:bCs/>
        </w:rPr>
        <w:t xml:space="preserve">Word Count: </w:t>
      </w:r>
      <w:r>
        <w:rPr>
          <w:rFonts w:ascii="Arial" w:eastAsia="Calibri" w:hAnsi="Arial" w:cs="Arial"/>
        </w:rPr>
        <w:t>1015</w:t>
      </w:r>
    </w:p>
    <w:p w14:paraId="0822B03E" w14:textId="3D6C46DD" w:rsidR="007174C1" w:rsidRPr="007174C1" w:rsidRDefault="007174C1" w:rsidP="007174C1">
      <w:pPr>
        <w:spacing w:line="257" w:lineRule="auto"/>
        <w:ind w:right="531"/>
        <w:rPr>
          <w:rFonts w:ascii="Arial" w:eastAsia="Calibri" w:hAnsi="Arial" w:cs="Arial"/>
          <w:b/>
          <w:bCs/>
          <w:sz w:val="24"/>
          <w:szCs w:val="24"/>
        </w:rPr>
      </w:pPr>
      <w:r w:rsidRPr="007174C1">
        <w:rPr>
          <w:rFonts w:ascii="Arial" w:eastAsia="Calibri" w:hAnsi="Arial" w:cs="Arial"/>
          <w:b/>
          <w:bCs/>
          <w:sz w:val="24"/>
          <w:szCs w:val="24"/>
        </w:rPr>
        <w:t xml:space="preserve">Bibliography: </w:t>
      </w:r>
      <w:r>
        <w:rPr>
          <w:rFonts w:ascii="Calibri" w:hAnsi="Calibri" w:cs="Calibri"/>
          <w:lang w:val="en-GB"/>
        </w:rPr>
        <w:t> </w:t>
      </w:r>
    </w:p>
    <w:p w14:paraId="16C2AAA1" w14:textId="2DDBD29D" w:rsidR="007174C1" w:rsidRDefault="007174C1" w:rsidP="007174C1">
      <w:pPr>
        <w:pStyle w:val="NormalWeb"/>
        <w:spacing w:before="0" w:beforeAutospacing="0" w:after="0" w:afterAutospacing="0"/>
        <w:rPr>
          <w:rFonts w:ascii="Calibri" w:hAnsi="Calibri" w:cs="Calibri"/>
          <w:sz w:val="22"/>
          <w:szCs w:val="22"/>
          <w:lang w:val="en-GB"/>
        </w:rPr>
      </w:pPr>
    </w:p>
    <w:p w14:paraId="45189C55"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Counter Terrorism Policing, 2023. </w:t>
      </w:r>
      <w:r>
        <w:rPr>
          <w:rFonts w:ascii="Calibri" w:hAnsi="Calibri" w:cs="Calibri"/>
          <w:i/>
          <w:iCs/>
          <w:sz w:val="22"/>
          <w:szCs w:val="22"/>
          <w:lang w:val="en-GB"/>
        </w:rPr>
        <w:t xml:space="preserve">Head of Counter Terrorism Policing </w:t>
      </w:r>
      <w:proofErr w:type="gramStart"/>
      <w:r>
        <w:rPr>
          <w:rFonts w:ascii="Calibri" w:hAnsi="Calibri" w:cs="Calibri"/>
          <w:i/>
          <w:iCs/>
          <w:sz w:val="22"/>
          <w:szCs w:val="22"/>
          <w:lang w:val="en-GB"/>
        </w:rPr>
        <w:t>marks</w:t>
      </w:r>
      <w:proofErr w:type="gramEnd"/>
      <w:r>
        <w:rPr>
          <w:rFonts w:ascii="Calibri" w:hAnsi="Calibri" w:cs="Calibri"/>
          <w:i/>
          <w:iCs/>
          <w:sz w:val="22"/>
          <w:szCs w:val="22"/>
          <w:lang w:val="en-GB"/>
        </w:rPr>
        <w:t xml:space="preserve"> Neighbourhood Policing Week of Action</w:t>
      </w:r>
      <w:r>
        <w:rPr>
          <w:rFonts w:ascii="Calibri" w:hAnsi="Calibri" w:cs="Calibri"/>
          <w:sz w:val="22"/>
          <w:szCs w:val="22"/>
          <w:lang w:val="en-GB"/>
        </w:rPr>
        <w:t xml:space="preserve">.  [online]. Available at:  </w:t>
      </w:r>
      <w:hyperlink r:id="rId16" w:history="1">
        <w:r>
          <w:rPr>
            <w:rStyle w:val="Hyperlink"/>
            <w:rFonts w:ascii="Calibri" w:hAnsi="Calibri" w:cs="Calibri"/>
            <w:sz w:val="22"/>
            <w:szCs w:val="22"/>
            <w:lang w:val="en-GB"/>
          </w:rPr>
          <w:t>https://www.counterterrorism.police.uk/head-of-counter-terrorism-policing-marks-neighbourhood-policing-week-of-action/</w:t>
        </w:r>
      </w:hyperlink>
      <w:r>
        <w:rPr>
          <w:rFonts w:ascii="Calibri" w:hAnsi="Calibri" w:cs="Calibri"/>
          <w:sz w:val="22"/>
          <w:szCs w:val="22"/>
          <w:lang w:val="en-GB"/>
        </w:rPr>
        <w:t xml:space="preserve">. (Last Accessed 30/05/2023). </w:t>
      </w:r>
    </w:p>
    <w:p w14:paraId="5541BC53" w14:textId="77777777" w:rsidR="007174C1" w:rsidRDefault="007174C1" w:rsidP="007174C1">
      <w:pPr>
        <w:pStyle w:val="NormalWeb"/>
        <w:spacing w:before="0" w:beforeAutospacing="0" w:after="0" w:afterAutospacing="0"/>
        <w:rPr>
          <w:rFonts w:ascii="Calibri" w:hAnsi="Calibri" w:cs="Calibri"/>
          <w:sz w:val="22"/>
          <w:szCs w:val="22"/>
          <w:lang w:val="en-GB"/>
        </w:rPr>
      </w:pPr>
    </w:p>
    <w:p w14:paraId="5C324B69"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Counter Terrorism Policing, 2023. </w:t>
      </w:r>
      <w:r>
        <w:rPr>
          <w:rFonts w:ascii="Calibri" w:hAnsi="Calibri" w:cs="Calibri"/>
          <w:i/>
          <w:iCs/>
          <w:sz w:val="22"/>
          <w:szCs w:val="22"/>
          <w:lang w:val="en-GB"/>
        </w:rPr>
        <w:t xml:space="preserve">What We Do. </w:t>
      </w:r>
      <w:r>
        <w:rPr>
          <w:rFonts w:ascii="Calibri" w:hAnsi="Calibri" w:cs="Calibri"/>
          <w:sz w:val="22"/>
          <w:szCs w:val="22"/>
          <w:lang w:val="en-GB"/>
        </w:rPr>
        <w:t xml:space="preserve">[online]. Available at: </w:t>
      </w:r>
      <w:hyperlink r:id="rId17" w:history="1">
        <w:r>
          <w:rPr>
            <w:rStyle w:val="Hyperlink"/>
            <w:rFonts w:ascii="Calibri" w:hAnsi="Calibri" w:cs="Calibri"/>
            <w:sz w:val="22"/>
            <w:szCs w:val="22"/>
            <w:lang w:val="en-GB"/>
          </w:rPr>
          <w:t>What We Do | Counter Terrorism Policing</w:t>
        </w:r>
      </w:hyperlink>
      <w:r>
        <w:rPr>
          <w:rFonts w:ascii="Calibri" w:hAnsi="Calibri" w:cs="Calibri"/>
          <w:sz w:val="22"/>
          <w:szCs w:val="22"/>
          <w:lang w:val="en-GB"/>
        </w:rPr>
        <w:t xml:space="preserve">. (Last Accessed 20/05/2023). </w:t>
      </w:r>
    </w:p>
    <w:p w14:paraId="727E2D79" w14:textId="77777777" w:rsidR="007174C1" w:rsidRDefault="007174C1" w:rsidP="007174C1">
      <w:pPr>
        <w:pStyle w:val="NormalWeb"/>
        <w:spacing w:before="0" w:beforeAutospacing="0" w:after="0" w:afterAutospacing="0"/>
        <w:rPr>
          <w:rFonts w:ascii="Calibri" w:hAnsi="Calibri" w:cs="Calibri"/>
          <w:sz w:val="22"/>
          <w:szCs w:val="22"/>
          <w:lang w:val="en-GB"/>
        </w:rPr>
      </w:pPr>
    </w:p>
    <w:p w14:paraId="1083CF84"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Environmental and Community Services Select Committee, 2017. </w:t>
      </w:r>
      <w:r>
        <w:rPr>
          <w:rFonts w:ascii="Calibri" w:hAnsi="Calibri" w:cs="Calibri"/>
          <w:i/>
          <w:iCs/>
          <w:sz w:val="22"/>
          <w:szCs w:val="22"/>
          <w:lang w:val="en-GB"/>
        </w:rPr>
        <w:t xml:space="preserve">Community Intelligence. </w:t>
      </w:r>
      <w:r>
        <w:rPr>
          <w:rFonts w:ascii="Calibri" w:hAnsi="Calibri" w:cs="Calibri"/>
          <w:sz w:val="22"/>
          <w:szCs w:val="22"/>
          <w:lang w:val="en-GB"/>
        </w:rPr>
        <w:t xml:space="preserve">[online]. Available at: </w:t>
      </w:r>
      <w:hyperlink r:id="rId18" w:history="1">
        <w:r>
          <w:rPr>
            <w:rStyle w:val="Hyperlink"/>
            <w:rFonts w:ascii="Calibri" w:hAnsi="Calibri" w:cs="Calibri"/>
            <w:sz w:val="22"/>
            <w:szCs w:val="22"/>
            <w:lang w:val="en-GB"/>
          </w:rPr>
          <w:t>http://www2.westsussex.gov.uk/ds/cttee/ecs/ecs301117i4.pdf</w:t>
        </w:r>
      </w:hyperlink>
      <w:r>
        <w:rPr>
          <w:rFonts w:ascii="Calibri" w:hAnsi="Calibri" w:cs="Calibri"/>
          <w:sz w:val="22"/>
          <w:szCs w:val="22"/>
          <w:lang w:val="en-GB"/>
        </w:rPr>
        <w:t xml:space="preserve">. (Last Accessed 30/05/2023). </w:t>
      </w:r>
    </w:p>
    <w:p w14:paraId="349E9B4C" w14:textId="77777777" w:rsidR="007174C1" w:rsidRDefault="007174C1" w:rsidP="007174C1">
      <w:pPr>
        <w:pStyle w:val="NormalWeb"/>
        <w:spacing w:before="0" w:beforeAutospacing="0" w:after="0" w:afterAutospacing="0"/>
        <w:rPr>
          <w:rFonts w:ascii="Calibri" w:hAnsi="Calibri" w:cs="Calibri"/>
          <w:sz w:val="22"/>
          <w:szCs w:val="22"/>
          <w:lang w:val="en-GB"/>
        </w:rPr>
      </w:pPr>
    </w:p>
    <w:p w14:paraId="2BBCC2A9"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GOV.UK, 2023. </w:t>
      </w:r>
      <w:r>
        <w:rPr>
          <w:rFonts w:ascii="Calibri" w:hAnsi="Calibri" w:cs="Calibri"/>
          <w:i/>
          <w:iCs/>
          <w:sz w:val="22"/>
          <w:szCs w:val="22"/>
          <w:lang w:val="en-GB"/>
        </w:rPr>
        <w:t xml:space="preserve">Terrorism and national emergencies. </w:t>
      </w:r>
      <w:r>
        <w:rPr>
          <w:rFonts w:ascii="Calibri" w:hAnsi="Calibri" w:cs="Calibri"/>
          <w:sz w:val="22"/>
          <w:szCs w:val="22"/>
          <w:lang w:val="en-GB"/>
        </w:rPr>
        <w:t xml:space="preserve">[online]. Available at: </w:t>
      </w:r>
      <w:hyperlink r:id="rId19" w:history="1">
        <w:r>
          <w:rPr>
            <w:rStyle w:val="Hyperlink"/>
            <w:rFonts w:ascii="Calibri" w:hAnsi="Calibri" w:cs="Calibri"/>
            <w:sz w:val="22"/>
            <w:szCs w:val="22"/>
            <w:lang w:val="en-GB"/>
          </w:rPr>
          <w:t>Terrorism and national emergencies: Terrorism threat levels - GOV.UK (www.gov.uk)</w:t>
        </w:r>
      </w:hyperlink>
      <w:r>
        <w:rPr>
          <w:rFonts w:ascii="Calibri" w:hAnsi="Calibri" w:cs="Calibri"/>
          <w:sz w:val="22"/>
          <w:szCs w:val="22"/>
          <w:lang w:val="en-GB"/>
        </w:rPr>
        <w:t>. (Last Accessed 20/05/2023).</w:t>
      </w:r>
    </w:p>
    <w:p w14:paraId="17840563" w14:textId="77777777" w:rsidR="007174C1" w:rsidRDefault="007174C1" w:rsidP="007174C1">
      <w:pPr>
        <w:pStyle w:val="NormalWeb"/>
        <w:spacing w:before="0" w:beforeAutospacing="0" w:after="0" w:afterAutospacing="0"/>
        <w:rPr>
          <w:rFonts w:ascii="Calibri" w:hAnsi="Calibri" w:cs="Calibri"/>
          <w:sz w:val="22"/>
          <w:szCs w:val="22"/>
          <w:lang w:val="en-GB"/>
        </w:rPr>
      </w:pPr>
    </w:p>
    <w:p w14:paraId="0384A0B8"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Home Office, 2019. </w:t>
      </w:r>
      <w:r>
        <w:rPr>
          <w:rFonts w:ascii="Calibri" w:hAnsi="Calibri" w:cs="Calibri"/>
          <w:i/>
          <w:iCs/>
          <w:sz w:val="22"/>
          <w:szCs w:val="22"/>
          <w:lang w:val="en-GB"/>
        </w:rPr>
        <w:t xml:space="preserve">Factsheet: Prevent and Channel. </w:t>
      </w:r>
      <w:r>
        <w:rPr>
          <w:rFonts w:ascii="Calibri" w:hAnsi="Calibri" w:cs="Calibri"/>
          <w:sz w:val="22"/>
          <w:szCs w:val="22"/>
          <w:lang w:val="en-GB"/>
        </w:rPr>
        <w:t xml:space="preserve">[online]. Available at: </w:t>
      </w:r>
      <w:hyperlink r:id="rId20" w:history="1">
        <w:r>
          <w:rPr>
            <w:rStyle w:val="Hyperlink"/>
            <w:rFonts w:ascii="Calibri" w:hAnsi="Calibri" w:cs="Calibri"/>
            <w:sz w:val="22"/>
            <w:szCs w:val="22"/>
            <w:lang w:val="en-GB"/>
          </w:rPr>
          <w:t>Factsheet: Prevent and Channel - Home Office in the media (blog.gov.uk)</w:t>
        </w:r>
      </w:hyperlink>
      <w:r>
        <w:rPr>
          <w:rFonts w:ascii="Calibri" w:hAnsi="Calibri" w:cs="Calibri"/>
          <w:sz w:val="22"/>
          <w:szCs w:val="22"/>
          <w:lang w:val="en-GB"/>
        </w:rPr>
        <w:t xml:space="preserve">. (Last Accessed 20/05/2023). </w:t>
      </w:r>
    </w:p>
    <w:p w14:paraId="34E7260D" w14:textId="77777777" w:rsidR="007174C1" w:rsidRDefault="007174C1" w:rsidP="007174C1">
      <w:pPr>
        <w:pStyle w:val="NormalWeb"/>
        <w:spacing w:before="0" w:beforeAutospacing="0" w:after="0" w:afterAutospacing="0"/>
        <w:rPr>
          <w:rFonts w:ascii="Calibri" w:hAnsi="Calibri" w:cs="Calibri"/>
          <w:sz w:val="22"/>
          <w:szCs w:val="22"/>
          <w:lang w:val="en-GB"/>
        </w:rPr>
      </w:pPr>
    </w:p>
    <w:p w14:paraId="121665B9"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color w:val="000000"/>
          <w:sz w:val="22"/>
          <w:szCs w:val="22"/>
        </w:rPr>
        <w:t xml:space="preserve">Lambert, R. and Parsons, T. (2017). </w:t>
      </w:r>
      <w:r>
        <w:rPr>
          <w:rFonts w:ascii="Calibri" w:hAnsi="Calibri" w:cs="Calibri"/>
          <w:i/>
          <w:iCs/>
          <w:color w:val="000000"/>
          <w:sz w:val="22"/>
          <w:szCs w:val="22"/>
        </w:rPr>
        <w:t>Community-Based Counterterrorism Policing: Recommendations for Practitioners.</w:t>
      </w:r>
      <w:r>
        <w:rPr>
          <w:rFonts w:ascii="Calibri" w:hAnsi="Calibri" w:cs="Calibri"/>
          <w:i/>
          <w:iCs/>
          <w:color w:val="000000"/>
          <w:sz w:val="22"/>
          <w:szCs w:val="22"/>
          <w:lang w:val="en-GB"/>
        </w:rPr>
        <w:t> </w:t>
      </w:r>
      <w:r>
        <w:rPr>
          <w:rFonts w:ascii="Calibri" w:hAnsi="Calibri" w:cs="Calibri"/>
          <w:i/>
          <w:iCs/>
          <w:color w:val="000000"/>
          <w:sz w:val="22"/>
          <w:szCs w:val="22"/>
        </w:rPr>
        <w:t>Studies in Conflict &amp; Terrorism</w:t>
      </w:r>
      <w:r>
        <w:rPr>
          <w:rFonts w:ascii="Calibri" w:hAnsi="Calibri" w:cs="Calibri"/>
          <w:color w:val="000000"/>
          <w:sz w:val="22"/>
          <w:szCs w:val="22"/>
        </w:rPr>
        <w:t xml:space="preserve">, 40(12), pp.1054–1071. Available at: </w:t>
      </w:r>
      <w:hyperlink r:id="rId21" w:history="1">
        <w:r>
          <w:rPr>
            <w:rStyle w:val="Hyperlink"/>
            <w:rFonts w:ascii="Calibri" w:hAnsi="Calibri" w:cs="Calibri"/>
            <w:sz w:val="22"/>
            <w:szCs w:val="22"/>
            <w:lang w:val="en-GB"/>
          </w:rPr>
          <w:t>https://www-tandfonline-com.ezproxy.uwtsd.ac.uk/doi/full/10.1080/1057610X.2016.1253989</w:t>
        </w:r>
      </w:hyperlink>
      <w:r>
        <w:rPr>
          <w:rFonts w:ascii="Calibri" w:hAnsi="Calibri" w:cs="Calibri"/>
          <w:sz w:val="22"/>
          <w:szCs w:val="22"/>
          <w:lang w:val="en-GB"/>
        </w:rPr>
        <w:t xml:space="preserve">. (Last Accessed 30/05/2023). </w:t>
      </w:r>
    </w:p>
    <w:p w14:paraId="293BFBAE" w14:textId="77777777" w:rsidR="007174C1" w:rsidRDefault="007174C1" w:rsidP="007174C1">
      <w:pPr>
        <w:pStyle w:val="NormalWeb"/>
        <w:spacing w:before="0" w:beforeAutospacing="0" w:after="0" w:afterAutospacing="0"/>
        <w:rPr>
          <w:rFonts w:ascii="Calibri" w:hAnsi="Calibri" w:cs="Calibri"/>
          <w:sz w:val="22"/>
          <w:szCs w:val="22"/>
        </w:rPr>
      </w:pPr>
    </w:p>
    <w:p w14:paraId="00492A80"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Shawcross, 2023. </w:t>
      </w:r>
      <w:r>
        <w:rPr>
          <w:rFonts w:ascii="Calibri" w:hAnsi="Calibri" w:cs="Calibri"/>
          <w:i/>
          <w:iCs/>
          <w:sz w:val="22"/>
          <w:szCs w:val="22"/>
          <w:lang w:val="en-GB"/>
        </w:rPr>
        <w:t xml:space="preserve">Independent Review of Prevent. </w:t>
      </w:r>
      <w:r>
        <w:rPr>
          <w:rFonts w:ascii="Calibri" w:hAnsi="Calibri" w:cs="Calibri"/>
          <w:sz w:val="22"/>
          <w:szCs w:val="22"/>
          <w:lang w:val="en-GB"/>
        </w:rPr>
        <w:t xml:space="preserve">[online]. Available at: </w:t>
      </w:r>
      <w:hyperlink r:id="rId22" w:history="1">
        <w:r>
          <w:rPr>
            <w:rStyle w:val="Hyperlink"/>
            <w:rFonts w:ascii="Calibri" w:hAnsi="Calibri" w:cs="Calibri"/>
            <w:sz w:val="22"/>
            <w:szCs w:val="22"/>
            <w:lang w:val="en-GB"/>
          </w:rPr>
          <w:t>https://assets.publishing.service.gov.uk/government/uploads/system/uploads/attachment_data/file/1134986/Independent_Review_of_Prevent.pdf</w:t>
        </w:r>
      </w:hyperlink>
      <w:r>
        <w:rPr>
          <w:rFonts w:ascii="Calibri" w:hAnsi="Calibri" w:cs="Calibri"/>
          <w:sz w:val="22"/>
          <w:szCs w:val="22"/>
          <w:lang w:val="en-GB"/>
        </w:rPr>
        <w:t xml:space="preserve">. (Last Accessed 30/05/2023). </w:t>
      </w:r>
    </w:p>
    <w:p w14:paraId="2AB14873" w14:textId="77777777" w:rsidR="007174C1" w:rsidRDefault="007174C1" w:rsidP="007174C1">
      <w:pPr>
        <w:pStyle w:val="NormalWeb"/>
        <w:spacing w:before="0" w:beforeAutospacing="0" w:after="0" w:afterAutospacing="0"/>
        <w:rPr>
          <w:rFonts w:ascii="Calibri" w:hAnsi="Calibri" w:cs="Calibri"/>
          <w:sz w:val="22"/>
          <w:szCs w:val="22"/>
          <w:lang w:val="en-GB"/>
        </w:rPr>
      </w:pPr>
    </w:p>
    <w:p w14:paraId="11F01E22" w14:textId="460E40D8" w:rsidR="007174C1" w:rsidRDefault="007174C1" w:rsidP="007174C1">
      <w:pPr>
        <w:pStyle w:val="NormalWeb"/>
        <w:spacing w:before="0" w:beforeAutospacing="0" w:after="0" w:afterAutospacing="0"/>
        <w:rPr>
          <w:rFonts w:ascii="Calibri" w:hAnsi="Calibri" w:cs="Calibri"/>
          <w:sz w:val="22"/>
          <w:szCs w:val="22"/>
          <w:lang w:val="en-GB"/>
        </w:rPr>
      </w:pPr>
      <w:proofErr w:type="gramStart"/>
      <w:r>
        <w:rPr>
          <w:rFonts w:ascii="Calibri" w:hAnsi="Calibri" w:cs="Calibri"/>
          <w:sz w:val="22"/>
          <w:szCs w:val="22"/>
          <w:lang w:val="en-GB"/>
        </w:rPr>
        <w:t>Spalek,B.</w:t>
      </w:r>
      <w:proofErr w:type="gramEnd"/>
      <w:r>
        <w:rPr>
          <w:rFonts w:ascii="Calibri" w:hAnsi="Calibri" w:cs="Calibri"/>
          <w:sz w:val="22"/>
          <w:szCs w:val="22"/>
          <w:lang w:val="en-GB"/>
        </w:rPr>
        <w:t xml:space="preserve"> 2013. </w:t>
      </w:r>
      <w:r>
        <w:rPr>
          <w:rFonts w:ascii="Calibri" w:hAnsi="Calibri" w:cs="Calibri"/>
          <w:i/>
          <w:iCs/>
          <w:sz w:val="22"/>
          <w:szCs w:val="22"/>
          <w:lang w:val="en-GB"/>
        </w:rPr>
        <w:t xml:space="preserve"> Terror Crime Prevention with Communities. </w:t>
      </w:r>
      <w:r>
        <w:rPr>
          <w:rFonts w:ascii="Calibri" w:hAnsi="Calibri" w:cs="Calibri"/>
          <w:sz w:val="22"/>
          <w:szCs w:val="22"/>
          <w:lang w:val="en-GB"/>
        </w:rPr>
        <w:t xml:space="preserve">[online]. 1st Edition. United Kingdom: Bloomsbury Publishing. Available from: </w:t>
      </w:r>
      <w:hyperlink r:id="rId23" w:history="1">
        <w:r>
          <w:rPr>
            <w:rStyle w:val="Hyperlink"/>
            <w:rFonts w:ascii="Calibri" w:hAnsi="Calibri" w:cs="Calibri"/>
            <w:sz w:val="22"/>
            <w:szCs w:val="22"/>
            <w:lang w:val="en-GB"/>
          </w:rPr>
          <w:t>https://library.leeds.ac.uk/referencing-examples/9/leeds-harvard/92/e-book-online-or-via-e-book-reader</w:t>
        </w:r>
      </w:hyperlink>
      <w:r>
        <w:rPr>
          <w:rFonts w:ascii="Calibri" w:hAnsi="Calibri" w:cs="Calibri"/>
          <w:sz w:val="22"/>
          <w:szCs w:val="22"/>
          <w:lang w:val="en-GB"/>
        </w:rPr>
        <w:t>. (Last Accessed 30/05/2023).</w:t>
      </w:r>
    </w:p>
    <w:p w14:paraId="5288289F" w14:textId="77777777" w:rsidR="0040515D" w:rsidRDefault="0040515D" w:rsidP="007174C1">
      <w:pPr>
        <w:pStyle w:val="NormalWeb"/>
        <w:spacing w:before="0" w:beforeAutospacing="0" w:after="0" w:afterAutospacing="0"/>
        <w:rPr>
          <w:rFonts w:ascii="Calibri" w:hAnsi="Calibri" w:cs="Calibri"/>
          <w:sz w:val="22"/>
          <w:szCs w:val="22"/>
          <w:lang w:val="en-GB"/>
        </w:rPr>
      </w:pPr>
    </w:p>
    <w:p w14:paraId="43C0C995" w14:textId="77777777" w:rsidR="007174C1" w:rsidRDefault="007174C1" w:rsidP="007174C1">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The Police Foundation, 2009. </w:t>
      </w:r>
      <w:r>
        <w:rPr>
          <w:rFonts w:ascii="Calibri" w:hAnsi="Calibri" w:cs="Calibri"/>
          <w:i/>
          <w:iCs/>
          <w:sz w:val="22"/>
          <w:szCs w:val="22"/>
          <w:lang w:val="en-GB"/>
        </w:rPr>
        <w:t xml:space="preserve">Policing Terrorism: A Review of The Evidence. </w:t>
      </w:r>
      <w:r>
        <w:rPr>
          <w:rFonts w:ascii="Calibri" w:hAnsi="Calibri" w:cs="Calibri"/>
          <w:sz w:val="22"/>
          <w:szCs w:val="22"/>
          <w:lang w:val="en-GB"/>
        </w:rPr>
        <w:t xml:space="preserve">[online]. Available at: </w:t>
      </w:r>
      <w:hyperlink r:id="rId24" w:history="1">
        <w:r>
          <w:rPr>
            <w:rStyle w:val="Hyperlink"/>
            <w:rFonts w:ascii="Calibri" w:hAnsi="Calibri" w:cs="Calibri"/>
            <w:sz w:val="22"/>
            <w:szCs w:val="22"/>
            <w:lang w:val="en-GB"/>
          </w:rPr>
          <w:t>https://www.police-foundation.org.uk/2017/wp-content/uploads/2017/06/terrorism_review.pdf</w:t>
        </w:r>
      </w:hyperlink>
      <w:r>
        <w:rPr>
          <w:rFonts w:ascii="Calibri" w:hAnsi="Calibri" w:cs="Calibri"/>
          <w:sz w:val="22"/>
          <w:szCs w:val="22"/>
          <w:lang w:val="en-GB"/>
        </w:rPr>
        <w:t xml:space="preserve">. (Last Accessed 30/05/2023). </w:t>
      </w:r>
    </w:p>
    <w:p w14:paraId="03B0C65D" w14:textId="77777777" w:rsidR="007174C1" w:rsidRPr="007174C1" w:rsidRDefault="007174C1" w:rsidP="007174C1">
      <w:pPr>
        <w:spacing w:line="257" w:lineRule="auto"/>
        <w:ind w:right="531"/>
        <w:rPr>
          <w:rFonts w:ascii="Arial" w:eastAsia="Calibri" w:hAnsi="Arial" w:cs="Arial"/>
          <w:b/>
          <w:bCs/>
          <w:sz w:val="24"/>
          <w:szCs w:val="24"/>
        </w:rPr>
      </w:pPr>
    </w:p>
    <w:p w14:paraId="3B9F3EF6" w14:textId="77777777" w:rsidR="00002C56" w:rsidRDefault="00002C56" w:rsidP="00002C56">
      <w:pPr>
        <w:spacing w:line="257" w:lineRule="auto"/>
        <w:ind w:left="567" w:right="531"/>
        <w:rPr>
          <w:rFonts w:ascii="Arial" w:hAnsi="Arial" w:cs="Arial"/>
          <w:b/>
          <w:bCs/>
        </w:rPr>
      </w:pPr>
    </w:p>
    <w:p w14:paraId="7CC63255" w14:textId="77777777" w:rsidR="00002C56" w:rsidRDefault="00002C56" w:rsidP="00002C56">
      <w:pPr>
        <w:spacing w:line="257" w:lineRule="auto"/>
        <w:ind w:left="567" w:right="531"/>
        <w:rPr>
          <w:rFonts w:ascii="Arial" w:hAnsi="Arial" w:cs="Arial"/>
          <w:b/>
          <w:bCs/>
        </w:rPr>
      </w:pPr>
    </w:p>
    <w:p w14:paraId="5D60C96A" w14:textId="77777777" w:rsidR="00002C56" w:rsidRDefault="00002C56" w:rsidP="00002C56">
      <w:pPr>
        <w:spacing w:line="257" w:lineRule="auto"/>
        <w:ind w:left="567" w:right="531"/>
        <w:rPr>
          <w:rFonts w:ascii="Arial" w:hAnsi="Arial" w:cs="Arial"/>
          <w:b/>
          <w:bCs/>
        </w:rPr>
      </w:pPr>
    </w:p>
    <w:p w14:paraId="743CEBDB" w14:textId="77777777" w:rsidR="00002C56" w:rsidRDefault="00002C56" w:rsidP="00002C56">
      <w:pPr>
        <w:spacing w:line="257" w:lineRule="auto"/>
        <w:ind w:left="567" w:right="531"/>
        <w:rPr>
          <w:rFonts w:ascii="Arial" w:hAnsi="Arial" w:cs="Arial"/>
          <w:b/>
          <w:bCs/>
        </w:rPr>
      </w:pPr>
    </w:p>
    <w:p w14:paraId="5853EF97" w14:textId="77777777" w:rsidR="00002C56" w:rsidRDefault="00002C56" w:rsidP="00002C56">
      <w:pPr>
        <w:spacing w:line="257" w:lineRule="auto"/>
        <w:ind w:left="567" w:right="531"/>
        <w:rPr>
          <w:rFonts w:ascii="Arial" w:hAnsi="Arial" w:cs="Arial"/>
          <w:b/>
          <w:bCs/>
        </w:rPr>
      </w:pPr>
    </w:p>
    <w:p w14:paraId="605D765B" w14:textId="77777777" w:rsidR="00002C56" w:rsidRDefault="00002C56" w:rsidP="00002C56">
      <w:pPr>
        <w:spacing w:line="257" w:lineRule="auto"/>
        <w:ind w:left="567" w:right="531"/>
        <w:rPr>
          <w:rFonts w:ascii="Arial" w:hAnsi="Arial" w:cs="Arial"/>
          <w:b/>
          <w:bCs/>
        </w:rPr>
      </w:pPr>
    </w:p>
    <w:p w14:paraId="1922B3C9" w14:textId="77777777" w:rsidR="00002C56" w:rsidRDefault="00002C56" w:rsidP="00002C56">
      <w:pPr>
        <w:spacing w:line="257" w:lineRule="auto"/>
        <w:ind w:left="567" w:right="531"/>
        <w:rPr>
          <w:rFonts w:ascii="Arial" w:hAnsi="Arial" w:cs="Arial"/>
          <w:b/>
          <w:bCs/>
        </w:rPr>
      </w:pPr>
    </w:p>
    <w:p w14:paraId="3D8D1FCF" w14:textId="77777777" w:rsidR="00002C56" w:rsidRDefault="00002C56" w:rsidP="00002C56">
      <w:pPr>
        <w:spacing w:line="257" w:lineRule="auto"/>
        <w:ind w:left="567" w:right="531"/>
        <w:rPr>
          <w:rFonts w:ascii="Arial" w:hAnsi="Arial" w:cs="Arial"/>
          <w:b/>
          <w:bCs/>
        </w:rPr>
      </w:pPr>
    </w:p>
    <w:p w14:paraId="1F110A9B" w14:textId="77777777" w:rsidR="00002C56" w:rsidRDefault="00002C56" w:rsidP="00002C56">
      <w:pPr>
        <w:spacing w:line="257" w:lineRule="auto"/>
        <w:ind w:left="567" w:right="531"/>
        <w:rPr>
          <w:rFonts w:ascii="Arial" w:hAnsi="Arial" w:cs="Arial"/>
          <w:b/>
          <w:bCs/>
        </w:rPr>
      </w:pPr>
    </w:p>
    <w:p w14:paraId="3B11E4BA" w14:textId="77777777" w:rsidR="00002C56" w:rsidRDefault="00002C56" w:rsidP="00002C56">
      <w:pPr>
        <w:spacing w:line="257" w:lineRule="auto"/>
        <w:ind w:left="567" w:right="531"/>
        <w:rPr>
          <w:rFonts w:ascii="Arial" w:hAnsi="Arial" w:cs="Arial"/>
          <w:b/>
          <w:bCs/>
        </w:rPr>
      </w:pPr>
    </w:p>
    <w:p w14:paraId="35E350A5" w14:textId="77777777" w:rsidR="00002C56" w:rsidRDefault="00002C56" w:rsidP="00002C56">
      <w:pPr>
        <w:spacing w:line="257" w:lineRule="auto"/>
        <w:ind w:left="567" w:right="531"/>
        <w:rPr>
          <w:rFonts w:ascii="Arial" w:hAnsi="Arial" w:cs="Arial"/>
          <w:b/>
          <w:bCs/>
        </w:rPr>
      </w:pPr>
    </w:p>
    <w:p w14:paraId="5E0D373D" w14:textId="77777777" w:rsidR="00002C56" w:rsidRDefault="00002C56" w:rsidP="00002C56">
      <w:pPr>
        <w:spacing w:line="257" w:lineRule="auto"/>
        <w:ind w:left="567" w:right="531"/>
        <w:rPr>
          <w:rFonts w:ascii="Arial" w:hAnsi="Arial" w:cs="Arial"/>
          <w:b/>
          <w:bCs/>
        </w:rPr>
      </w:pPr>
    </w:p>
    <w:p w14:paraId="5C3A1E52" w14:textId="77777777" w:rsidR="00002C56" w:rsidRDefault="00002C56" w:rsidP="00002C56">
      <w:pPr>
        <w:spacing w:line="257" w:lineRule="auto"/>
        <w:ind w:left="567" w:right="531"/>
        <w:rPr>
          <w:rFonts w:ascii="Arial" w:hAnsi="Arial" w:cs="Arial"/>
          <w:b/>
          <w:bCs/>
        </w:rPr>
      </w:pPr>
    </w:p>
    <w:p w14:paraId="64F7D7DD" w14:textId="77777777" w:rsidR="00002C56" w:rsidRDefault="00002C56" w:rsidP="00002C56">
      <w:pPr>
        <w:spacing w:line="257" w:lineRule="auto"/>
        <w:ind w:left="567" w:right="531"/>
        <w:rPr>
          <w:rFonts w:ascii="Arial" w:hAnsi="Arial" w:cs="Arial"/>
          <w:b/>
          <w:bCs/>
        </w:rPr>
      </w:pPr>
    </w:p>
    <w:p w14:paraId="2E3C12E9" w14:textId="77777777" w:rsidR="00002C56" w:rsidRDefault="00002C56" w:rsidP="00002C56">
      <w:pPr>
        <w:spacing w:line="257" w:lineRule="auto"/>
        <w:ind w:left="567" w:right="531"/>
        <w:rPr>
          <w:rFonts w:ascii="Arial" w:hAnsi="Arial" w:cs="Arial"/>
          <w:b/>
          <w:bCs/>
        </w:rPr>
      </w:pPr>
    </w:p>
    <w:p w14:paraId="760167CE" w14:textId="5E779FD8" w:rsidR="00002C56" w:rsidRPr="00693B87" w:rsidRDefault="00002C56" w:rsidP="00002C56">
      <w:pPr>
        <w:spacing w:line="257" w:lineRule="auto"/>
        <w:ind w:left="567" w:right="531"/>
        <w:rPr>
          <w:rFonts w:ascii="Arial" w:hAnsi="Arial" w:cs="Arial"/>
          <w:b/>
          <w:bCs/>
        </w:rPr>
      </w:pPr>
      <w:r w:rsidRPr="00693B87">
        <w:rPr>
          <w:rFonts w:ascii="Arial" w:hAnsi="Arial" w:cs="Arial"/>
          <w:b/>
          <w:bCs/>
        </w:rPr>
        <w:lastRenderedPageBreak/>
        <w:t xml:space="preserve">Essay four: </w:t>
      </w:r>
    </w:p>
    <w:p w14:paraId="2EF8525B" w14:textId="77777777" w:rsidR="00002C56" w:rsidRDefault="00002C56" w:rsidP="00002C56">
      <w:pPr>
        <w:spacing w:line="257" w:lineRule="auto"/>
        <w:ind w:left="567" w:right="531"/>
        <w:rPr>
          <w:rFonts w:ascii="Arial" w:eastAsia="Calibri" w:hAnsi="Arial" w:cs="Arial"/>
        </w:rPr>
      </w:pPr>
      <w:r w:rsidRPr="00C21745">
        <w:rPr>
          <w:rFonts w:ascii="Arial" w:eastAsia="Calibri" w:hAnsi="Arial" w:cs="Arial"/>
        </w:rPr>
        <w:t xml:space="preserve">What impact can personal bias have on </w:t>
      </w:r>
      <w:r>
        <w:rPr>
          <w:rFonts w:ascii="Arial" w:eastAsia="Calibri" w:hAnsi="Arial" w:cs="Arial"/>
        </w:rPr>
        <w:t>investigations</w:t>
      </w:r>
      <w:r w:rsidRPr="00C21745">
        <w:rPr>
          <w:rFonts w:ascii="Arial" w:eastAsia="Calibri" w:hAnsi="Arial" w:cs="Arial"/>
        </w:rPr>
        <w:t xml:space="preserve">, and </w:t>
      </w:r>
      <w:r w:rsidRPr="00322E3E">
        <w:rPr>
          <w:rFonts w:ascii="Arial" w:eastAsia="Calibri" w:hAnsi="Arial" w:cs="Arial"/>
          <w:u w:val="single"/>
        </w:rPr>
        <w:t>how effective</w:t>
      </w:r>
      <w:r w:rsidRPr="00C21745">
        <w:rPr>
          <w:rFonts w:ascii="Arial" w:eastAsia="Calibri" w:hAnsi="Arial" w:cs="Arial"/>
        </w:rPr>
        <w:t xml:space="preserve"> are the measures in place to prevent this? Your answer must be based on academic research rather than personal experienc</w:t>
      </w:r>
      <w:r w:rsidRPr="00322E3E">
        <w:rPr>
          <w:rFonts w:ascii="Arial" w:eastAsia="Calibri" w:hAnsi="Arial" w:cs="Arial"/>
        </w:rPr>
        <w:t xml:space="preserve">e. </w:t>
      </w:r>
    </w:p>
    <w:p w14:paraId="270B7C76" w14:textId="77777777" w:rsidR="00002C56" w:rsidRDefault="00002C56" w:rsidP="00002C56">
      <w:pPr>
        <w:spacing w:line="257" w:lineRule="auto"/>
        <w:ind w:left="567" w:right="531"/>
        <w:rPr>
          <w:rFonts w:ascii="Arial" w:eastAsia="Calibri" w:hAnsi="Arial" w:cs="Arial"/>
        </w:rPr>
      </w:pPr>
    </w:p>
    <w:p w14:paraId="366FC2C9" w14:textId="2712C963"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This essay will discuss the impact that personal bias perpetrated by police officers can have on investigations they are conducting and will thereby assess the effectiveness of the measures currently in place to prevent it. </w:t>
      </w:r>
      <w:proofErr w:type="gramStart"/>
      <w:r>
        <w:rPr>
          <w:rFonts w:ascii="Calibri" w:hAnsi="Calibri" w:cs="Calibri"/>
          <w:sz w:val="22"/>
          <w:szCs w:val="22"/>
          <w:lang w:val="en-GB"/>
        </w:rPr>
        <w:t>It is clear that each</w:t>
      </w:r>
      <w:proofErr w:type="gramEnd"/>
      <w:r>
        <w:rPr>
          <w:rFonts w:ascii="Calibri" w:hAnsi="Calibri" w:cs="Calibri"/>
          <w:sz w:val="22"/>
          <w:szCs w:val="22"/>
          <w:lang w:val="en-GB"/>
        </w:rPr>
        <w:t xml:space="preserve"> person will have some sort of bias integrated in themselves, however it is crucial that one is aware of these biases as it is vital to both personal well-being and professional success (Northon,2016). As police officers when conducting investigations, it is crucial that we approach it in a manner that is impartial and not biased towards the person that we are suspecting of committing a crime. Within the Policing Code of Ethics which is what is the overreaching framework that police officers must follow, one of the most crucial aspects is that of Impartiality. The College of Policing (2023) reiterate the importance of remaining impartial within any investigation and not allowing personal bias to affect our decision making; stating that police must assess each situation based on its own merits which will ensure we are fair and consistent in our actions. </w:t>
      </w:r>
    </w:p>
    <w:p w14:paraId="78907674" w14:textId="77777777"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591D2D63" w14:textId="1E478757" w:rsidR="00002C56" w:rsidRDefault="00002C56" w:rsidP="00002C56">
      <w:pPr>
        <w:pStyle w:val="NormalWeb"/>
        <w:spacing w:before="0" w:beforeAutospacing="0" w:after="0" w:afterAutospacing="0"/>
        <w:rPr>
          <w:rFonts w:ascii="Calibri" w:hAnsi="Calibri" w:cs="Calibri"/>
          <w:sz w:val="22"/>
          <w:szCs w:val="22"/>
        </w:rPr>
      </w:pPr>
      <w:r>
        <w:rPr>
          <w:rFonts w:ascii="Calibri" w:hAnsi="Calibri" w:cs="Calibri"/>
          <w:sz w:val="22"/>
          <w:szCs w:val="22"/>
          <w:lang w:val="en-GB"/>
        </w:rPr>
        <w:t xml:space="preserve">Personal Bias can be hugely detrimental to any police investigation and towards public confidence in the Police. Within this essay I will be discussing mainly the impact that personal bias can have in terms of interviewing persons who have been arrested and are suspected of a criminal offence, and thereafter the current measures that are in place to prevent this from occurring.  Suspect interviews must be conducted in a manner that is ethical and free of any personal bias towards the person being questioned. It must be ensured that when Police arrest a suspect on suspicion of a crime that they do not automatically assume that said person is guilty of the offence for which they are arrested, as it is not the job of the Police to assume guilt, but to gather the required evidence which will ensure a fair result is achieved impartially. Questions where Police officers ask the suspect guilt presumptive questions are clearly influenced by personal bias. Liden, </w:t>
      </w:r>
      <w:r>
        <w:rPr>
          <w:rFonts w:ascii="Calibri" w:hAnsi="Calibri" w:cs="Calibri"/>
          <w:sz w:val="22"/>
          <w:szCs w:val="22"/>
        </w:rPr>
        <w:t xml:space="preserve">Gräns and Juslin, (2018) have published an article suggesting that although suspects should be presumed innocent until proven guilty, based on extensive research this does not always take place. They further elaborate on whether the arrest of suspect will trigger what's known as 'trigger confirmation bias'. The research suggests that when a suspect is arrested on suspicion, police officers are more likely to ask guilt-resumptive questions that are aimed at eliciting confessions, this method of questioning may result in a defendant becoming more defensive, which may perceive the suspect as acting guilty. If police </w:t>
      </w:r>
      <w:proofErr w:type="gramStart"/>
      <w:r>
        <w:rPr>
          <w:rFonts w:ascii="Calibri" w:hAnsi="Calibri" w:cs="Calibri"/>
          <w:sz w:val="22"/>
          <w:szCs w:val="22"/>
        </w:rPr>
        <w:t>officers</w:t>
      </w:r>
      <w:proofErr w:type="gramEnd"/>
      <w:r>
        <w:rPr>
          <w:rFonts w:ascii="Calibri" w:hAnsi="Calibri" w:cs="Calibri"/>
          <w:sz w:val="22"/>
          <w:szCs w:val="22"/>
        </w:rPr>
        <w:t xml:space="preserve"> act in such a biased manner it is not only oppressive, but may cause any evidence gathered in the interview as inadmissible to a court (HSE, NO DATE). As discussed, guilt-presumptive questions that are aimed at proving a person's guilt can be seen as oppressive in the eyes of the law and the court. </w:t>
      </w:r>
    </w:p>
    <w:p w14:paraId="4F630282" w14:textId="77777777" w:rsidR="00002C56" w:rsidRDefault="00002C56" w:rsidP="00002C5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4642360" w14:textId="2C770BEA" w:rsidR="00002C56" w:rsidRDefault="00002C56" w:rsidP="00002C56">
      <w:pPr>
        <w:pStyle w:val="NormalWeb"/>
        <w:spacing w:before="0" w:beforeAutospacing="0" w:after="0" w:afterAutospacing="0"/>
        <w:rPr>
          <w:rFonts w:ascii="Calibri" w:hAnsi="Calibri" w:cs="Calibri"/>
          <w:sz w:val="22"/>
          <w:szCs w:val="22"/>
        </w:rPr>
      </w:pPr>
      <w:proofErr w:type="gramStart"/>
      <w:r>
        <w:rPr>
          <w:rFonts w:ascii="Calibri" w:hAnsi="Calibri" w:cs="Calibri"/>
          <w:sz w:val="22"/>
          <w:szCs w:val="22"/>
        </w:rPr>
        <w:t>The majority of</w:t>
      </w:r>
      <w:proofErr w:type="gramEnd"/>
      <w:r>
        <w:rPr>
          <w:rFonts w:ascii="Calibri" w:hAnsi="Calibri" w:cs="Calibri"/>
          <w:sz w:val="22"/>
          <w:szCs w:val="22"/>
        </w:rPr>
        <w:t xml:space="preserve"> police officers may not be directly biased towards a person, but it is possible that a large amount of a significant amount of unconscious bias towards persons that they suspect have committed a crime.  The term unconscious bias is simply defined by Zack (2020) as biases that the holder is not aware of at the time the bias is affecting another individual. Clearly police officers need to ensure that they are not being biased within a criminal investigation, as it may result in oppressive questioning and possibly an omission of guilt that has been obtained unethically and in breach of an individual's human rights under law. If a confession is obtained </w:t>
      </w:r>
      <w:proofErr w:type="gramStart"/>
      <w:r>
        <w:rPr>
          <w:rFonts w:ascii="Calibri" w:hAnsi="Calibri" w:cs="Calibri"/>
          <w:sz w:val="22"/>
          <w:szCs w:val="22"/>
        </w:rPr>
        <w:t>as a result of</w:t>
      </w:r>
      <w:proofErr w:type="gramEnd"/>
      <w:r>
        <w:rPr>
          <w:rFonts w:ascii="Calibri" w:hAnsi="Calibri" w:cs="Calibri"/>
          <w:sz w:val="22"/>
          <w:szCs w:val="22"/>
        </w:rPr>
        <w:t xml:space="preserve"> oppressive questioning, then it will discredit </w:t>
      </w:r>
      <w:r>
        <w:rPr>
          <w:rFonts w:ascii="Calibri" w:hAnsi="Calibri" w:cs="Calibri"/>
          <w:sz w:val="22"/>
          <w:szCs w:val="22"/>
        </w:rPr>
        <w:lastRenderedPageBreak/>
        <w:t xml:space="preserve">the admissibility and reliability of the confession as stated under Section 76(2) of the Police and Criminal Evidence Act (CPS,2022). </w:t>
      </w:r>
    </w:p>
    <w:p w14:paraId="30ADCDCD" w14:textId="77777777" w:rsidR="00002C56" w:rsidRDefault="00002C56" w:rsidP="00002C5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6BD0698" w14:textId="665D82FD" w:rsidR="00002C56" w:rsidRDefault="00002C56" w:rsidP="00002C56">
      <w:pPr>
        <w:pStyle w:val="NormalWeb"/>
        <w:spacing w:before="0" w:beforeAutospacing="0" w:after="0" w:afterAutospacing="0"/>
        <w:rPr>
          <w:rFonts w:ascii="Calibri" w:hAnsi="Calibri" w:cs="Calibri"/>
          <w:sz w:val="22"/>
          <w:szCs w:val="22"/>
        </w:rPr>
      </w:pPr>
      <w:proofErr w:type="gramStart"/>
      <w:r>
        <w:rPr>
          <w:rFonts w:ascii="Calibri" w:hAnsi="Calibri" w:cs="Calibri"/>
          <w:sz w:val="22"/>
          <w:szCs w:val="22"/>
        </w:rPr>
        <w:t>In order to</w:t>
      </w:r>
      <w:proofErr w:type="gramEnd"/>
      <w:r>
        <w:rPr>
          <w:rFonts w:ascii="Calibri" w:hAnsi="Calibri" w:cs="Calibri"/>
          <w:sz w:val="22"/>
          <w:szCs w:val="22"/>
        </w:rPr>
        <w:t xml:space="preserve"> prevent personal bias within investigative interviewing of suspects there are several policing frameworks and government legislation that must be adhered to. One of the overreaching frameworks in place that police officers must follow when preparing and conducting interviews is known as the 'PEACE' Framework, which is designed to be followed alongside the Policing Code of Ethics and Human Rights Act. The PEACE model for interviewing was introduced by the police in the United Kingdom </w:t>
      </w:r>
      <w:proofErr w:type="gramStart"/>
      <w:r>
        <w:rPr>
          <w:rFonts w:ascii="Calibri" w:hAnsi="Calibri" w:cs="Calibri"/>
          <w:sz w:val="22"/>
          <w:szCs w:val="22"/>
        </w:rPr>
        <w:t>in order to</w:t>
      </w:r>
      <w:proofErr w:type="gramEnd"/>
      <w:r>
        <w:rPr>
          <w:rFonts w:ascii="Calibri" w:hAnsi="Calibri" w:cs="Calibri"/>
          <w:sz w:val="22"/>
          <w:szCs w:val="22"/>
        </w:rPr>
        <w:t xml:space="preserve"> assist investigators with having a structured approach when conducting interviews with suspects, in order to decrease the likelihood of any injustices being carried out within the interview process. There are four stages to this framework, Planning and Preparing, Engage and Explain, Account, Closure and Evaluation. College of Policing (2013) describe the purpose of the framework as allowing interviewers to be methodical when preparing for interview, which in turn may result in people giving more accurate information when being questioned. It is this structured and method approach that will allow police officers to obtain an account from a suspect whilst minimising the likelihood of unconscious bias and oppressive questioning. Research has shown that implementing this type of framework results in the interview not containing any coercive strategies and bias from the interviewer, thereby decreasing the likelihood that police will be disciplined for conducting a negligible interview (Barron,2017, p. 29).  This structured approach to interviewing is effective at using the interview process as an information gathering tool, rather than simply aiming at gaining a confession from the suspect.</w:t>
      </w:r>
    </w:p>
    <w:p w14:paraId="6CB2B5E1" w14:textId="77777777" w:rsidR="00002C56" w:rsidRDefault="00002C56" w:rsidP="00002C56">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1EF86F94" w14:textId="156011EE" w:rsidR="00002C56" w:rsidRDefault="00002C56" w:rsidP="00002C56">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Although </w:t>
      </w:r>
      <w:proofErr w:type="gramStart"/>
      <w:r>
        <w:rPr>
          <w:rFonts w:ascii="Calibri" w:hAnsi="Calibri" w:cs="Calibri"/>
          <w:sz w:val="22"/>
          <w:szCs w:val="22"/>
        </w:rPr>
        <w:t>it would appear that the</w:t>
      </w:r>
      <w:proofErr w:type="gramEnd"/>
      <w:r>
        <w:rPr>
          <w:rFonts w:ascii="Calibri" w:hAnsi="Calibri" w:cs="Calibri"/>
          <w:sz w:val="22"/>
          <w:szCs w:val="22"/>
        </w:rPr>
        <w:t xml:space="preserve"> PEACE framework is a useful method of interviewing whilst decreasing the likelihood of bias towards an arrested person, it must be conducted in accordance with official government legislation. Because there is a standardised framework in place does not necessarily equate to an ethical and PACE compliant interview. There will always be what's known as 'The Human Variable in Interviewing'. Although the PEACE framework may be effective, an interview may plan to follow a structured interview plan; </w:t>
      </w:r>
      <w:proofErr w:type="gramStart"/>
      <w:r>
        <w:rPr>
          <w:rFonts w:ascii="Calibri" w:hAnsi="Calibri" w:cs="Calibri"/>
          <w:sz w:val="22"/>
          <w:szCs w:val="22"/>
        </w:rPr>
        <w:t>however</w:t>
      </w:r>
      <w:proofErr w:type="gramEnd"/>
      <w:r>
        <w:rPr>
          <w:rFonts w:ascii="Calibri" w:hAnsi="Calibri" w:cs="Calibri"/>
          <w:sz w:val="22"/>
          <w:szCs w:val="22"/>
        </w:rPr>
        <w:t xml:space="preserve"> there will always be the possibility of asking accusatory questions and employ manipulative tactics (Adams-Quackenbush,2018, p. 38). It is clear based upon this research that although a standardised framework for interviewing may decrease the likelihood of bias during this </w:t>
      </w:r>
      <w:r w:rsidR="0040515D">
        <w:rPr>
          <w:rFonts w:ascii="Calibri" w:hAnsi="Calibri" w:cs="Calibri"/>
          <w:sz w:val="22"/>
          <w:szCs w:val="22"/>
        </w:rPr>
        <w:t>stage</w:t>
      </w:r>
      <w:r>
        <w:rPr>
          <w:rFonts w:ascii="Calibri" w:hAnsi="Calibri" w:cs="Calibri"/>
          <w:sz w:val="22"/>
          <w:szCs w:val="22"/>
        </w:rPr>
        <w:t xml:space="preserve"> of the investigation, there will always be the likelihood that presumptive questions will transform an interview into an interrogation of a suspect. </w:t>
      </w:r>
    </w:p>
    <w:p w14:paraId="22B2446E" w14:textId="77777777" w:rsidR="00002C56" w:rsidRDefault="00002C56" w:rsidP="00002C56">
      <w:pPr>
        <w:spacing w:line="257" w:lineRule="auto"/>
        <w:ind w:left="567" w:right="531"/>
        <w:rPr>
          <w:rFonts w:ascii="Arial" w:eastAsia="Calibri" w:hAnsi="Arial" w:cs="Arial"/>
        </w:rPr>
      </w:pPr>
    </w:p>
    <w:p w14:paraId="2CBFDCF6" w14:textId="74646EFF" w:rsidR="00510383" w:rsidRDefault="00002C56">
      <w:pPr>
        <w:rPr>
          <w:b/>
          <w:bCs/>
          <w:lang w:val="en-GB"/>
        </w:rPr>
      </w:pPr>
      <w:r>
        <w:rPr>
          <w:b/>
          <w:bCs/>
          <w:lang w:val="en-GB"/>
        </w:rPr>
        <w:t>Word Count: 1038</w:t>
      </w:r>
    </w:p>
    <w:p w14:paraId="74C99811" w14:textId="0E1C542C" w:rsidR="00002C56" w:rsidRPr="00002C56" w:rsidRDefault="00002C56" w:rsidP="00002C56">
      <w:pPr>
        <w:rPr>
          <w:b/>
          <w:bCs/>
          <w:sz w:val="24"/>
          <w:szCs w:val="24"/>
          <w:lang w:val="en-GB"/>
        </w:rPr>
      </w:pPr>
      <w:r w:rsidRPr="00002C56">
        <w:rPr>
          <w:b/>
          <w:bCs/>
          <w:sz w:val="24"/>
          <w:szCs w:val="24"/>
          <w:lang w:val="en-GB"/>
        </w:rPr>
        <w:t xml:space="preserve">Bibliography: </w:t>
      </w:r>
    </w:p>
    <w:p w14:paraId="74DBBC6F" w14:textId="77777777"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Adams-Quackenbush, N.M. (2018). </w:t>
      </w:r>
      <w:r>
        <w:rPr>
          <w:rFonts w:ascii="Calibri" w:hAnsi="Calibri" w:cs="Calibri"/>
          <w:i/>
          <w:iCs/>
          <w:sz w:val="22"/>
          <w:szCs w:val="22"/>
          <w:lang w:val="en-GB"/>
        </w:rPr>
        <w:t xml:space="preserve">Indicators of Confirmation Bias in the Investigative Interview with Suspects. </w:t>
      </w:r>
      <w:r>
        <w:rPr>
          <w:rFonts w:ascii="Calibri" w:hAnsi="Calibri" w:cs="Calibri"/>
          <w:sz w:val="22"/>
          <w:szCs w:val="22"/>
          <w:lang w:val="en-GB"/>
        </w:rPr>
        <w:t xml:space="preserve">Unpublished PhD Thesis. University of Portsmouth. Available at: </w:t>
      </w:r>
      <w:hyperlink r:id="rId25" w:history="1">
        <w:r>
          <w:rPr>
            <w:rStyle w:val="Hyperlink"/>
            <w:rFonts w:ascii="Calibri" w:hAnsi="Calibri" w:cs="Calibri"/>
            <w:sz w:val="22"/>
            <w:szCs w:val="22"/>
            <w:lang w:val="en-GB"/>
          </w:rPr>
          <w:t>https://pure.port.ac.uk/ws/portalfiles/portal/14427560/NMAQ_UoP_Thesis.pdf</w:t>
        </w:r>
      </w:hyperlink>
      <w:r>
        <w:rPr>
          <w:rFonts w:ascii="Calibri" w:hAnsi="Calibri" w:cs="Calibri"/>
          <w:sz w:val="22"/>
          <w:szCs w:val="22"/>
          <w:lang w:val="en-GB"/>
        </w:rPr>
        <w:t xml:space="preserve">. (Last Accessed 02/06/2023). </w:t>
      </w:r>
    </w:p>
    <w:p w14:paraId="70DEA1AA" w14:textId="77777777" w:rsidR="00002C56" w:rsidRDefault="00002C56" w:rsidP="00002C56">
      <w:pPr>
        <w:pStyle w:val="NormalWeb"/>
        <w:spacing w:before="0" w:beforeAutospacing="0" w:after="0" w:afterAutospacing="0"/>
        <w:rPr>
          <w:rFonts w:ascii="Calibri" w:hAnsi="Calibri" w:cs="Calibri"/>
          <w:sz w:val="22"/>
          <w:szCs w:val="22"/>
          <w:lang w:val="en-GB"/>
        </w:rPr>
      </w:pPr>
    </w:p>
    <w:p w14:paraId="2CD8DCB2" w14:textId="64FE6FFB"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Barron, W.T. (2017). </w:t>
      </w:r>
      <w:r>
        <w:rPr>
          <w:rFonts w:ascii="Calibri" w:hAnsi="Calibri" w:cs="Calibri"/>
          <w:i/>
          <w:iCs/>
          <w:sz w:val="22"/>
          <w:szCs w:val="22"/>
          <w:lang w:val="en-GB"/>
        </w:rPr>
        <w:t xml:space="preserve"> THE PEACE MODEL OF INVESTIGATIVE INTERVIEWING: A COMPARISON OF TRAINED AND UNTRAINED SUSPECT INTERVIEWERS. </w:t>
      </w:r>
      <w:r>
        <w:rPr>
          <w:rFonts w:ascii="Calibri" w:hAnsi="Calibri" w:cs="Calibri"/>
          <w:sz w:val="22"/>
          <w:szCs w:val="22"/>
          <w:lang w:val="en-GB"/>
        </w:rPr>
        <w:t xml:space="preserve">Unpublished PhD Thesis. Memorial University of Newfoundland. Available at: </w:t>
      </w:r>
      <w:hyperlink r:id="rId26" w:history="1">
        <w:r>
          <w:rPr>
            <w:rStyle w:val="Hyperlink"/>
            <w:rFonts w:ascii="Calibri" w:hAnsi="Calibri" w:cs="Calibri"/>
            <w:sz w:val="22"/>
            <w:szCs w:val="22"/>
            <w:lang w:val="en-GB"/>
          </w:rPr>
          <w:t>https://research.library.mun.ca/12911/1/thesis.pdf</w:t>
        </w:r>
      </w:hyperlink>
      <w:r>
        <w:rPr>
          <w:rFonts w:ascii="Calibri" w:hAnsi="Calibri" w:cs="Calibri"/>
          <w:sz w:val="22"/>
          <w:szCs w:val="22"/>
          <w:lang w:val="en-GB"/>
        </w:rPr>
        <w:t xml:space="preserve">. (Last Accessed 02/06/2023). </w:t>
      </w:r>
    </w:p>
    <w:p w14:paraId="483873A2" w14:textId="77777777" w:rsidR="00002C56" w:rsidRDefault="00002C56" w:rsidP="00002C56">
      <w:pPr>
        <w:pStyle w:val="NormalWeb"/>
        <w:spacing w:before="0" w:beforeAutospacing="0" w:after="0" w:afterAutospacing="0"/>
        <w:rPr>
          <w:rFonts w:ascii="Calibri" w:hAnsi="Calibri" w:cs="Calibri"/>
          <w:sz w:val="22"/>
          <w:szCs w:val="22"/>
          <w:lang w:val="en-GB"/>
        </w:rPr>
      </w:pPr>
    </w:p>
    <w:p w14:paraId="16976192" w14:textId="77777777"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lastRenderedPageBreak/>
        <w:t xml:space="preserve">College of Policing. (2013). </w:t>
      </w:r>
      <w:r>
        <w:rPr>
          <w:rFonts w:ascii="Calibri" w:hAnsi="Calibri" w:cs="Calibri"/>
          <w:i/>
          <w:iCs/>
          <w:sz w:val="22"/>
          <w:szCs w:val="22"/>
          <w:lang w:val="en-GB"/>
        </w:rPr>
        <w:t xml:space="preserve">Investigative Interviewing. </w:t>
      </w:r>
      <w:r>
        <w:rPr>
          <w:rFonts w:ascii="Calibri" w:hAnsi="Calibri" w:cs="Calibri"/>
          <w:sz w:val="22"/>
          <w:szCs w:val="22"/>
          <w:lang w:val="en-GB"/>
        </w:rPr>
        <w:t xml:space="preserve">[online]. Available at: </w:t>
      </w:r>
      <w:hyperlink r:id="rId27" w:history="1">
        <w:r>
          <w:rPr>
            <w:rStyle w:val="Hyperlink"/>
            <w:rFonts w:ascii="Calibri" w:hAnsi="Calibri" w:cs="Calibri"/>
            <w:sz w:val="22"/>
            <w:szCs w:val="22"/>
            <w:lang w:val="en-GB"/>
          </w:rPr>
          <w:t>https://www.college.police.uk/app/investigation/investigative-interviewing/investigative-interviewing/</w:t>
        </w:r>
      </w:hyperlink>
      <w:r>
        <w:rPr>
          <w:rFonts w:ascii="Calibri" w:hAnsi="Calibri" w:cs="Calibri"/>
          <w:sz w:val="22"/>
          <w:szCs w:val="22"/>
          <w:lang w:val="en-GB"/>
        </w:rPr>
        <w:t xml:space="preserve"> (Last Accessed 02/06/2023). </w:t>
      </w:r>
    </w:p>
    <w:p w14:paraId="2B4C4411" w14:textId="77777777" w:rsidR="00002C56" w:rsidRDefault="00002C56" w:rsidP="00002C56">
      <w:pPr>
        <w:pStyle w:val="NormalWeb"/>
        <w:spacing w:before="0" w:beforeAutospacing="0" w:after="0" w:afterAutospacing="0"/>
        <w:rPr>
          <w:rFonts w:ascii="Calibri" w:hAnsi="Calibri" w:cs="Calibri"/>
          <w:sz w:val="22"/>
          <w:szCs w:val="22"/>
          <w:lang w:val="en-GB"/>
        </w:rPr>
      </w:pPr>
    </w:p>
    <w:p w14:paraId="4886EDC3" w14:textId="77777777"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College of Policing. (2023). </w:t>
      </w:r>
      <w:r>
        <w:rPr>
          <w:rFonts w:ascii="Calibri" w:hAnsi="Calibri" w:cs="Calibri"/>
          <w:i/>
          <w:iCs/>
          <w:sz w:val="22"/>
          <w:szCs w:val="22"/>
          <w:lang w:val="en-GB"/>
        </w:rPr>
        <w:t xml:space="preserve">Impartiality. </w:t>
      </w:r>
      <w:r>
        <w:rPr>
          <w:rFonts w:ascii="Calibri" w:hAnsi="Calibri" w:cs="Calibri"/>
          <w:sz w:val="22"/>
          <w:szCs w:val="22"/>
          <w:lang w:val="en-GB"/>
        </w:rPr>
        <w:t xml:space="preserve">[online]. Available at: </w:t>
      </w:r>
      <w:hyperlink r:id="rId28" w:anchor=":~:text=We%20must%20not%20allow%20personal,and%20consistent%20in%20our%20actions" w:history="1">
        <w:r>
          <w:rPr>
            <w:rStyle w:val="Hyperlink"/>
            <w:rFonts w:ascii="Calibri" w:hAnsi="Calibri" w:cs="Calibri"/>
            <w:sz w:val="22"/>
            <w:szCs w:val="22"/>
            <w:lang w:val="en-GB"/>
          </w:rPr>
          <w:t>https://profdev.college.police.uk/competency-values/impartiality/#:~:text=We%20must%20not%20allow%20personal,and%20consistent%20in%20our%20actions</w:t>
        </w:r>
      </w:hyperlink>
      <w:r>
        <w:rPr>
          <w:rFonts w:ascii="Calibri" w:hAnsi="Calibri" w:cs="Calibri"/>
          <w:sz w:val="22"/>
          <w:szCs w:val="22"/>
          <w:lang w:val="en-GB"/>
        </w:rPr>
        <w:t>. (Last Accessed 02/06/2023).</w:t>
      </w:r>
    </w:p>
    <w:p w14:paraId="3DEDEA85" w14:textId="77777777" w:rsidR="00002C56" w:rsidRDefault="00002C56" w:rsidP="00002C56">
      <w:pPr>
        <w:pStyle w:val="NormalWeb"/>
        <w:spacing w:before="0" w:beforeAutospacing="0" w:after="0" w:afterAutospacing="0"/>
        <w:rPr>
          <w:rFonts w:ascii="Calibri" w:hAnsi="Calibri" w:cs="Calibri"/>
          <w:sz w:val="22"/>
          <w:szCs w:val="22"/>
          <w:lang w:val="en-GB"/>
        </w:rPr>
      </w:pPr>
    </w:p>
    <w:p w14:paraId="7B5C35DE" w14:textId="77777777" w:rsidR="00002C56" w:rsidRDefault="00002C56" w:rsidP="00002C56">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Health and Safety Executive, NO DATE. </w:t>
      </w:r>
      <w:r>
        <w:rPr>
          <w:rFonts w:ascii="Calibri" w:hAnsi="Calibri" w:cs="Calibri"/>
          <w:i/>
          <w:iCs/>
          <w:sz w:val="22"/>
          <w:szCs w:val="22"/>
          <w:lang w:val="en-GB"/>
        </w:rPr>
        <w:t xml:space="preserve"> Interviewing Suspects. </w:t>
      </w:r>
      <w:r>
        <w:rPr>
          <w:rFonts w:ascii="Calibri" w:hAnsi="Calibri" w:cs="Calibri"/>
          <w:sz w:val="22"/>
          <w:szCs w:val="22"/>
          <w:lang w:val="en-GB"/>
        </w:rPr>
        <w:t xml:space="preserve">[online]. Available at: </w:t>
      </w:r>
      <w:hyperlink r:id="rId29" w:anchor="P56_8021" w:history="1">
        <w:r>
          <w:rPr>
            <w:rStyle w:val="Hyperlink"/>
            <w:rFonts w:ascii="Calibri" w:hAnsi="Calibri" w:cs="Calibri"/>
            <w:sz w:val="22"/>
            <w:szCs w:val="22"/>
            <w:lang w:val="en-GB"/>
          </w:rPr>
          <w:t>https://www.hse.gov.uk/enforce/enforcementguide/investigation/witness-questioning.htm#P56_8021</w:t>
        </w:r>
      </w:hyperlink>
      <w:r>
        <w:rPr>
          <w:rFonts w:ascii="Calibri" w:hAnsi="Calibri" w:cs="Calibri"/>
          <w:sz w:val="22"/>
          <w:szCs w:val="22"/>
          <w:lang w:val="en-GB"/>
        </w:rPr>
        <w:t>. (Last Accessed 02/06/2023).</w:t>
      </w:r>
    </w:p>
    <w:p w14:paraId="2D76E682" w14:textId="77777777" w:rsidR="00002C56" w:rsidRDefault="00002C56" w:rsidP="00002C56">
      <w:pPr>
        <w:pStyle w:val="NormalWeb"/>
        <w:spacing w:before="0" w:beforeAutospacing="0" w:after="0" w:afterAutospacing="0"/>
        <w:rPr>
          <w:rFonts w:ascii="Calibri" w:hAnsi="Calibri" w:cs="Calibri"/>
          <w:sz w:val="22"/>
          <w:szCs w:val="22"/>
          <w:lang w:val="en-GB"/>
        </w:rPr>
      </w:pPr>
    </w:p>
    <w:p w14:paraId="1B8B724C" w14:textId="77777777" w:rsidR="00002C56" w:rsidRDefault="00002C56" w:rsidP="00002C56">
      <w:pPr>
        <w:pStyle w:val="NormalWeb"/>
        <w:spacing w:before="0" w:beforeAutospacing="0" w:after="0" w:afterAutospacing="0"/>
        <w:rPr>
          <w:rFonts w:ascii="Calibri" w:hAnsi="Calibri" w:cs="Calibri"/>
          <w:sz w:val="22"/>
          <w:szCs w:val="22"/>
          <w:u w:val="single"/>
          <w:lang w:val="en-GB"/>
        </w:rPr>
      </w:pPr>
      <w:proofErr w:type="gramStart"/>
      <w:r>
        <w:rPr>
          <w:rFonts w:ascii="Calibri" w:hAnsi="Calibri" w:cs="Calibri"/>
          <w:sz w:val="22"/>
          <w:szCs w:val="22"/>
          <w:lang w:val="en-GB"/>
        </w:rPr>
        <w:t>Liden,M.</w:t>
      </w:r>
      <w:proofErr w:type="gramEnd"/>
      <w:r>
        <w:rPr>
          <w:rFonts w:ascii="Calibri" w:hAnsi="Calibri" w:cs="Calibri"/>
          <w:sz w:val="22"/>
          <w:szCs w:val="22"/>
          <w:lang w:val="en-GB"/>
        </w:rPr>
        <w:t xml:space="preserve">, </w:t>
      </w:r>
      <w:r>
        <w:rPr>
          <w:rFonts w:ascii="Calibri" w:hAnsi="Calibri" w:cs="Calibri"/>
          <w:sz w:val="22"/>
          <w:szCs w:val="22"/>
        </w:rPr>
        <w:t>Gräns,M. and Juslin.P. (2018). '</w:t>
      </w:r>
      <w:r>
        <w:rPr>
          <w:rFonts w:ascii="Calibri" w:hAnsi="Calibri" w:cs="Calibri"/>
          <w:i/>
          <w:iCs/>
          <w:sz w:val="22"/>
          <w:szCs w:val="22"/>
        </w:rPr>
        <w:t>The Presumption of Guilt in Suspect Interrogations: Apprehension as a Trigger of Confirmation Bias and Debiasing Techniques', Law and Human Behavior,</w:t>
      </w:r>
      <w:r>
        <w:rPr>
          <w:rFonts w:ascii="Calibri" w:hAnsi="Calibri" w:cs="Calibri"/>
          <w:sz w:val="22"/>
          <w:szCs w:val="22"/>
        </w:rPr>
        <w:t xml:space="preserve"> 42(4), pp.336-354</w:t>
      </w:r>
      <w:r>
        <w:rPr>
          <w:rFonts w:ascii="Calibri" w:hAnsi="Calibri" w:cs="Calibri"/>
          <w:sz w:val="22"/>
          <w:szCs w:val="22"/>
          <w:u w:val="single"/>
        </w:rPr>
        <w:t xml:space="preserve">. </w:t>
      </w:r>
      <w:hyperlink r:id="rId30" w:history="1">
        <w:r>
          <w:rPr>
            <w:rStyle w:val="Hyperlink"/>
            <w:rFonts w:ascii="Calibri" w:hAnsi="Calibri" w:cs="Calibri"/>
            <w:sz w:val="22"/>
            <w:szCs w:val="22"/>
            <w:lang w:val="en-GB"/>
          </w:rPr>
          <w:t>http://dx.doi.org/10.1037/lhb0000287</w:t>
        </w:r>
      </w:hyperlink>
      <w:r>
        <w:rPr>
          <w:rFonts w:ascii="Calibri" w:hAnsi="Calibri" w:cs="Calibri"/>
          <w:sz w:val="22"/>
          <w:szCs w:val="22"/>
          <w:u w:val="single"/>
          <w:lang w:val="en-GB"/>
        </w:rPr>
        <w:t xml:space="preserve">. </w:t>
      </w:r>
    </w:p>
    <w:p w14:paraId="55C01E6B" w14:textId="77777777" w:rsidR="00002C56" w:rsidRDefault="00002C56" w:rsidP="00002C56">
      <w:pPr>
        <w:pStyle w:val="NormalWeb"/>
        <w:spacing w:before="0" w:beforeAutospacing="0" w:after="0" w:afterAutospacing="0"/>
        <w:rPr>
          <w:rFonts w:ascii="Calibri" w:hAnsi="Calibri" w:cs="Calibri"/>
          <w:sz w:val="22"/>
          <w:szCs w:val="22"/>
        </w:rPr>
      </w:pPr>
    </w:p>
    <w:p w14:paraId="4FAC8FC5" w14:textId="77777777" w:rsidR="00002C56" w:rsidRDefault="00002C56" w:rsidP="00002C56">
      <w:pPr>
        <w:pStyle w:val="NormalWeb"/>
        <w:spacing w:before="0" w:beforeAutospacing="0" w:after="0" w:afterAutospacing="0"/>
        <w:rPr>
          <w:rFonts w:ascii="Calibri" w:hAnsi="Calibri" w:cs="Calibri"/>
          <w:sz w:val="22"/>
          <w:szCs w:val="22"/>
          <w:lang w:val="en-GB"/>
        </w:rPr>
      </w:pPr>
      <w:proofErr w:type="gramStart"/>
      <w:r>
        <w:rPr>
          <w:rFonts w:ascii="Calibri" w:hAnsi="Calibri" w:cs="Calibri"/>
          <w:sz w:val="22"/>
          <w:szCs w:val="22"/>
          <w:lang w:val="en-GB"/>
        </w:rPr>
        <w:t>Lindsay,Northon</w:t>
      </w:r>
      <w:proofErr w:type="gramEnd"/>
      <w:r>
        <w:rPr>
          <w:rFonts w:ascii="Calibri" w:hAnsi="Calibri" w:cs="Calibri"/>
          <w:sz w:val="22"/>
          <w:szCs w:val="22"/>
          <w:lang w:val="en-GB"/>
        </w:rPr>
        <w:t xml:space="preserve">. (2016). </w:t>
      </w:r>
      <w:r>
        <w:rPr>
          <w:rFonts w:ascii="Calibri" w:hAnsi="Calibri" w:cs="Calibri"/>
          <w:i/>
          <w:iCs/>
          <w:sz w:val="22"/>
          <w:szCs w:val="22"/>
          <w:lang w:val="en-GB"/>
        </w:rPr>
        <w:t xml:space="preserve">Become Aware of Personal Bias, and You'll Improve Ethical Practice. </w:t>
      </w:r>
      <w:r>
        <w:rPr>
          <w:rFonts w:ascii="Calibri" w:hAnsi="Calibri" w:cs="Calibri"/>
          <w:sz w:val="22"/>
          <w:szCs w:val="22"/>
          <w:lang w:val="en-GB"/>
        </w:rPr>
        <w:t xml:space="preserve">[online]. Available at: </w:t>
      </w:r>
      <w:hyperlink r:id="rId31" w:history="1">
        <w:r>
          <w:rPr>
            <w:rStyle w:val="Hyperlink"/>
            <w:rFonts w:ascii="Calibri" w:hAnsi="Calibri" w:cs="Calibri"/>
            <w:sz w:val="22"/>
            <w:szCs w:val="22"/>
            <w:lang w:val="en-GB"/>
          </w:rPr>
          <w:t>https://www.shrm.org/resourcesandtools/hr-topics/behavioral-competencies/ethical-practice/pages/become-aware-of-personal-bias-and-improve-ethical-practice-.aspx</w:t>
        </w:r>
      </w:hyperlink>
      <w:r>
        <w:rPr>
          <w:rFonts w:ascii="Calibri" w:hAnsi="Calibri" w:cs="Calibri"/>
          <w:sz w:val="22"/>
          <w:szCs w:val="22"/>
          <w:lang w:val="en-GB"/>
        </w:rPr>
        <w:t>. (Last Accessed 02/06/2023).</w:t>
      </w:r>
    </w:p>
    <w:p w14:paraId="49D3C3ED" w14:textId="77777777" w:rsidR="00002C56" w:rsidRDefault="00002C56" w:rsidP="00002C56">
      <w:pPr>
        <w:pStyle w:val="NormalWeb"/>
        <w:spacing w:before="0" w:beforeAutospacing="0" w:after="0" w:afterAutospacing="0"/>
        <w:rPr>
          <w:rFonts w:ascii="Calibri" w:hAnsi="Calibri" w:cs="Calibri"/>
          <w:sz w:val="22"/>
          <w:szCs w:val="22"/>
          <w:lang w:val="en-GB"/>
        </w:rPr>
      </w:pPr>
    </w:p>
    <w:p w14:paraId="2A146151" w14:textId="77777777" w:rsidR="00002C56" w:rsidRDefault="00002C56" w:rsidP="00002C56">
      <w:pPr>
        <w:pStyle w:val="NormalWeb"/>
        <w:spacing w:before="0" w:beforeAutospacing="0" w:after="0" w:afterAutospacing="0"/>
        <w:rPr>
          <w:rStyle w:val="Hyperlink"/>
          <w:rFonts w:ascii="Calibri" w:hAnsi="Calibri" w:cs="Calibri"/>
          <w:sz w:val="22"/>
          <w:szCs w:val="22"/>
          <w:lang w:val="en-GB"/>
        </w:rPr>
      </w:pPr>
      <w:proofErr w:type="gramStart"/>
      <w:r>
        <w:rPr>
          <w:rFonts w:ascii="Calibri" w:hAnsi="Calibri" w:cs="Calibri"/>
          <w:sz w:val="22"/>
          <w:szCs w:val="22"/>
          <w:lang w:val="en-GB"/>
        </w:rPr>
        <w:t>Zack,G.</w:t>
      </w:r>
      <w:proofErr w:type="gramEnd"/>
      <w:r>
        <w:rPr>
          <w:rFonts w:ascii="Calibri" w:hAnsi="Calibri" w:cs="Calibri"/>
          <w:sz w:val="22"/>
          <w:szCs w:val="22"/>
          <w:lang w:val="en-GB"/>
        </w:rPr>
        <w:t xml:space="preserve"> (2020).</w:t>
      </w:r>
      <w:r>
        <w:rPr>
          <w:rFonts w:ascii="Calibri" w:hAnsi="Calibri" w:cs="Calibri"/>
          <w:i/>
          <w:iCs/>
          <w:sz w:val="22"/>
          <w:szCs w:val="22"/>
          <w:lang w:val="en-GB"/>
        </w:rPr>
        <w:t xml:space="preserve"> Implicit Bias and the Investigation</w:t>
      </w:r>
      <w:r>
        <w:rPr>
          <w:rFonts w:ascii="Calibri" w:hAnsi="Calibri" w:cs="Calibri"/>
          <w:sz w:val="22"/>
          <w:szCs w:val="22"/>
          <w:lang w:val="en-GB"/>
        </w:rPr>
        <w:t xml:space="preserve">. Society of Corporate Compliance and Ethics. [online]. Available at: </w:t>
      </w:r>
      <w:hyperlink r:id="rId32" w:history="1">
        <w:r>
          <w:rPr>
            <w:rStyle w:val="Hyperlink"/>
            <w:rFonts w:ascii="Calibri" w:hAnsi="Calibri" w:cs="Calibri"/>
            <w:sz w:val="22"/>
            <w:szCs w:val="22"/>
            <w:lang w:val="en-GB"/>
          </w:rPr>
          <w:t>https://assets.corporatecompliance.org/Portals/1/PDF/Resources/past_handouts/Internal_Investigation/2020/January/S15%20Overcoming%20Bias%20in%20Investigations.pdf</w:t>
        </w:r>
      </w:hyperlink>
      <w:r>
        <w:rPr>
          <w:rFonts w:ascii="Calibri" w:hAnsi="Calibri" w:cs="Calibri"/>
          <w:sz w:val="22"/>
          <w:szCs w:val="22"/>
          <w:lang w:val="en-GB"/>
        </w:rPr>
        <w:t xml:space="preserve">. (Last Accessed 02/06/2023). </w:t>
      </w:r>
    </w:p>
    <w:p w14:paraId="7AB81A30" w14:textId="77777777" w:rsidR="00002C56" w:rsidRPr="00002C56" w:rsidRDefault="00002C56" w:rsidP="00002C56">
      <w:pPr>
        <w:rPr>
          <w:lang w:val="en-GB"/>
        </w:rPr>
      </w:pPr>
    </w:p>
    <w:p w14:paraId="1C23A077" w14:textId="77777777" w:rsidR="00002C56" w:rsidRPr="00002C56" w:rsidRDefault="00002C56" w:rsidP="00002C56">
      <w:pPr>
        <w:rPr>
          <w:lang w:val="en-GB"/>
        </w:rPr>
      </w:pPr>
    </w:p>
    <w:p w14:paraId="4605F135" w14:textId="77777777" w:rsidR="00002C56" w:rsidRDefault="00002C56" w:rsidP="00002C56">
      <w:pPr>
        <w:rPr>
          <w:rStyle w:val="Hyperlink"/>
          <w:rFonts w:ascii="Calibri" w:eastAsia="Times New Roman" w:hAnsi="Calibri" w:cs="Calibri"/>
          <w:kern w:val="0"/>
          <w:lang w:val="en-GB"/>
          <w14:ligatures w14:val="none"/>
        </w:rPr>
      </w:pPr>
    </w:p>
    <w:p w14:paraId="31ED5E32" w14:textId="7A43814C" w:rsidR="00002C56" w:rsidRDefault="00002C56" w:rsidP="00002C56">
      <w:pPr>
        <w:tabs>
          <w:tab w:val="left" w:pos="1485"/>
        </w:tabs>
        <w:rPr>
          <w:lang w:val="en-GB"/>
        </w:rPr>
      </w:pPr>
      <w:r>
        <w:rPr>
          <w:lang w:val="en-GB"/>
        </w:rPr>
        <w:tab/>
      </w:r>
    </w:p>
    <w:p w14:paraId="24B26C00" w14:textId="77777777" w:rsidR="00002C56" w:rsidRDefault="00002C56" w:rsidP="00002C56">
      <w:pPr>
        <w:tabs>
          <w:tab w:val="left" w:pos="1485"/>
        </w:tabs>
        <w:rPr>
          <w:lang w:val="en-GB"/>
        </w:rPr>
      </w:pPr>
    </w:p>
    <w:p w14:paraId="71F26C87" w14:textId="77777777" w:rsidR="00002C56" w:rsidRDefault="00002C56" w:rsidP="00002C56">
      <w:pPr>
        <w:tabs>
          <w:tab w:val="left" w:pos="1485"/>
        </w:tabs>
        <w:rPr>
          <w:lang w:val="en-GB"/>
        </w:rPr>
      </w:pPr>
    </w:p>
    <w:p w14:paraId="6A25BBD2" w14:textId="77777777" w:rsidR="00002C56" w:rsidRDefault="00002C56" w:rsidP="00002C56">
      <w:pPr>
        <w:tabs>
          <w:tab w:val="left" w:pos="1485"/>
        </w:tabs>
        <w:rPr>
          <w:lang w:val="en-GB"/>
        </w:rPr>
      </w:pPr>
    </w:p>
    <w:p w14:paraId="49DD746E" w14:textId="77777777" w:rsidR="00002C56" w:rsidRDefault="00002C56" w:rsidP="00002C56">
      <w:pPr>
        <w:tabs>
          <w:tab w:val="left" w:pos="1485"/>
        </w:tabs>
        <w:rPr>
          <w:lang w:val="en-GB"/>
        </w:rPr>
      </w:pPr>
    </w:p>
    <w:p w14:paraId="5A656E97" w14:textId="77777777" w:rsidR="00002C56" w:rsidRDefault="00002C56" w:rsidP="00002C56">
      <w:pPr>
        <w:tabs>
          <w:tab w:val="left" w:pos="1485"/>
        </w:tabs>
        <w:rPr>
          <w:lang w:val="en-GB"/>
        </w:rPr>
      </w:pPr>
    </w:p>
    <w:p w14:paraId="2A5EDE8F" w14:textId="77777777" w:rsidR="00002C56" w:rsidRDefault="00002C56" w:rsidP="00002C56">
      <w:pPr>
        <w:tabs>
          <w:tab w:val="left" w:pos="1485"/>
        </w:tabs>
        <w:rPr>
          <w:lang w:val="en-GB"/>
        </w:rPr>
      </w:pPr>
    </w:p>
    <w:p w14:paraId="7CDEC632" w14:textId="77777777" w:rsidR="00002C56" w:rsidRDefault="00002C56" w:rsidP="00002C56">
      <w:pPr>
        <w:tabs>
          <w:tab w:val="left" w:pos="1485"/>
        </w:tabs>
        <w:rPr>
          <w:lang w:val="en-GB"/>
        </w:rPr>
      </w:pPr>
    </w:p>
    <w:p w14:paraId="3B1E4F76" w14:textId="77777777" w:rsidR="00002C56" w:rsidRDefault="00002C56" w:rsidP="00002C56">
      <w:pPr>
        <w:tabs>
          <w:tab w:val="left" w:pos="1485"/>
        </w:tabs>
        <w:rPr>
          <w:lang w:val="en-GB"/>
        </w:rPr>
      </w:pPr>
    </w:p>
    <w:p w14:paraId="46898D1F" w14:textId="77777777" w:rsidR="00002C56" w:rsidRPr="00693B87" w:rsidRDefault="00002C56" w:rsidP="00002C56">
      <w:pPr>
        <w:spacing w:line="257" w:lineRule="auto"/>
        <w:ind w:left="567" w:right="531"/>
        <w:rPr>
          <w:rFonts w:ascii="Arial" w:hAnsi="Arial" w:cs="Arial"/>
        </w:rPr>
      </w:pPr>
      <w:r w:rsidRPr="00693B87">
        <w:rPr>
          <w:rFonts w:ascii="Arial" w:eastAsia="Calibri" w:hAnsi="Arial" w:cs="Arial"/>
          <w:b/>
          <w:bCs/>
        </w:rPr>
        <w:lastRenderedPageBreak/>
        <w:t xml:space="preserve">Essay five: </w:t>
      </w:r>
    </w:p>
    <w:p w14:paraId="25F7BC86" w14:textId="77777777" w:rsidR="00002C56" w:rsidRPr="00C7159A" w:rsidRDefault="00002C56" w:rsidP="00002C56">
      <w:pPr>
        <w:spacing w:line="257" w:lineRule="auto"/>
        <w:ind w:left="567" w:right="531"/>
        <w:rPr>
          <w:rFonts w:ascii="Arial" w:eastAsia="Calibri" w:hAnsi="Arial" w:cs="Arial"/>
        </w:rPr>
      </w:pPr>
      <w:r w:rsidRPr="00C7159A">
        <w:rPr>
          <w:rFonts w:ascii="Arial" w:eastAsia="Calibri" w:hAnsi="Arial" w:cs="Arial"/>
        </w:rPr>
        <w:t xml:space="preserve">What </w:t>
      </w:r>
      <w:r>
        <w:rPr>
          <w:rFonts w:ascii="Arial" w:eastAsia="Calibri" w:hAnsi="Arial" w:cs="Arial"/>
        </w:rPr>
        <w:t>characteristics or factors increase the</w:t>
      </w:r>
      <w:r w:rsidRPr="00C7159A">
        <w:rPr>
          <w:rFonts w:ascii="Arial" w:eastAsia="Calibri" w:hAnsi="Arial" w:cs="Arial"/>
        </w:rPr>
        <w:t xml:space="preserve"> risk of exploitation by </w:t>
      </w:r>
      <w:r>
        <w:rPr>
          <w:rFonts w:ascii="Arial" w:eastAsia="Calibri" w:hAnsi="Arial" w:cs="Arial"/>
        </w:rPr>
        <w:t>Serious or Organised Crime Gangs</w:t>
      </w:r>
      <w:r w:rsidRPr="00C7159A">
        <w:rPr>
          <w:rFonts w:ascii="Arial" w:eastAsia="Calibri" w:hAnsi="Arial" w:cs="Arial"/>
        </w:rPr>
        <w:t xml:space="preserve">? Your answer should </w:t>
      </w:r>
      <w:r w:rsidRPr="00C7159A">
        <w:rPr>
          <w:rFonts w:ascii="Arial" w:eastAsia="Calibri" w:hAnsi="Arial" w:cs="Arial"/>
          <w:u w:val="single"/>
        </w:rPr>
        <w:t>examine</w:t>
      </w:r>
      <w:r w:rsidRPr="00C7159A">
        <w:rPr>
          <w:rFonts w:ascii="Arial" w:eastAsia="Calibri" w:hAnsi="Arial" w:cs="Arial"/>
        </w:rPr>
        <w:t xml:space="preserve"> both the psychological and socio-economic characteristics of victims of exploitation.</w:t>
      </w:r>
    </w:p>
    <w:p w14:paraId="22581AED"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This essay will focus on the characteristics and factors that increase the risk the exploitation committed by Serious and Organised Crime Gangs, whilst also examining the psychological and socio- economic characteristics that victims of exploitation possess; </w:t>
      </w:r>
      <w:proofErr w:type="gramStart"/>
      <w:r>
        <w:rPr>
          <w:rFonts w:ascii="Calibri" w:hAnsi="Calibri" w:cs="Calibri"/>
          <w:sz w:val="22"/>
          <w:szCs w:val="22"/>
          <w:lang w:val="en-GB"/>
        </w:rPr>
        <w:t>thus</w:t>
      </w:r>
      <w:proofErr w:type="gramEnd"/>
      <w:r>
        <w:rPr>
          <w:rFonts w:ascii="Calibri" w:hAnsi="Calibri" w:cs="Calibri"/>
          <w:sz w:val="22"/>
          <w:szCs w:val="22"/>
          <w:lang w:val="en-GB"/>
        </w:rPr>
        <w:t xml:space="preserve"> making them more susceptible to exploitation. There are many forms of exploitation that can be perpetrated by Organised Crime Gangs, this essay will focus on the factors and characteristics that make young person's becoming involved in what's known as County Lines. The National Crime Agency (NO DATE), describe County Lines as a form of criminal exploitation whereby victims are forced by criminal gangs to participate in transporting drugs from rural to urban areas across the United Kingdom. Within this same publishing by the NCA it is highlighted that young men are particularly at risk of this from of criminal exploitation, </w:t>
      </w:r>
      <w:proofErr w:type="gramStart"/>
      <w:r>
        <w:rPr>
          <w:rFonts w:ascii="Calibri" w:hAnsi="Calibri" w:cs="Calibri"/>
          <w:sz w:val="22"/>
          <w:szCs w:val="22"/>
          <w:lang w:val="en-GB"/>
        </w:rPr>
        <w:t>in particular those</w:t>
      </w:r>
      <w:proofErr w:type="gramEnd"/>
      <w:r>
        <w:rPr>
          <w:rFonts w:ascii="Calibri" w:hAnsi="Calibri" w:cs="Calibri"/>
          <w:sz w:val="22"/>
          <w:szCs w:val="22"/>
          <w:lang w:val="en-GB"/>
        </w:rPr>
        <w:t xml:space="preserve"> from lower income backgrounds. It is therefore crucial that the characteristics that make young people vulnerable to organised crime are identified, allowing the appropriate safeguarding to be put in place. </w:t>
      </w:r>
    </w:p>
    <w:p w14:paraId="290DBFD4"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0F84F7AB" w14:textId="279F1A9C"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Criminal Gangs seek to take advantage of young people that pose easy targets. One of the main characteristics that make young people easy targets are lack of financial stability and family structure. The exploitation of young vulnerable people is commonly known as Child Criminal Exploitation, this form of exploitation perpetrated by Criminal Gangs occurs when an individual or group takes advantage of an imbalance of power which facilitates the manipulation and deception of a person under the age of 18 into criminal activity (CPS,2022). Although adults will be targets of Serious and Organised Crime Gangs </w:t>
      </w:r>
      <w:proofErr w:type="gramStart"/>
      <w:r>
        <w:rPr>
          <w:rFonts w:ascii="Calibri" w:hAnsi="Calibri" w:cs="Calibri"/>
          <w:sz w:val="22"/>
          <w:szCs w:val="22"/>
          <w:lang w:val="en-GB"/>
        </w:rPr>
        <w:t>it is clear that young</w:t>
      </w:r>
      <w:proofErr w:type="gramEnd"/>
      <w:r>
        <w:rPr>
          <w:rFonts w:ascii="Calibri" w:hAnsi="Calibri" w:cs="Calibri"/>
          <w:sz w:val="22"/>
          <w:szCs w:val="22"/>
          <w:lang w:val="en-GB"/>
        </w:rPr>
        <w:t xml:space="preserve"> people with certain socio-economic characteristics will be identified by gangs in order to act as what's known as 'Runners' for their drug supply into more rural areas. Young people that do not have any aspirations and goals to find legitimate employment are often targeted, for young people that have little belief in </w:t>
      </w:r>
      <w:proofErr w:type="gramStart"/>
      <w:r>
        <w:rPr>
          <w:rFonts w:ascii="Calibri" w:hAnsi="Calibri" w:cs="Calibri"/>
          <w:sz w:val="22"/>
          <w:szCs w:val="22"/>
          <w:lang w:val="en-GB"/>
        </w:rPr>
        <w:t>future prospects</w:t>
      </w:r>
      <w:proofErr w:type="gramEnd"/>
      <w:r>
        <w:rPr>
          <w:rFonts w:ascii="Calibri" w:hAnsi="Calibri" w:cs="Calibri"/>
          <w:sz w:val="22"/>
          <w:szCs w:val="22"/>
          <w:lang w:val="en-GB"/>
        </w:rPr>
        <w:t xml:space="preserve">; the attraction of making large amounts of money in a short space of time is a major socio-economic characteristic that Criminal Gangs can take advantage of (Robinson, McLean and Densley, 2019). The identification of vulnerable young person's such as this can be carried out in many ways, clearly with the advances in technology and social media, this can help facilitate the grooming of young people into being involved in county lines activities. A more recent phenomenon of criminal gangs exploiting young people has been identified during the most recent Covid-19 restrictions that have been put in place, which isolated many young vulnerable people; thereby making them more vulnerable to Child Criminal Exploitation.  The financial incentives for vulnerable young persons from certain socio-economic backgrounds will be targeted via social media, as it is the easiest method for Organised Crime Gangs to identify potential runners for their drug supply across the United Kingdom. The Childrens Society (2019) elaborate that the accessibility of social media has led to many Criminal Gangs using social media platforms to openly advertise the monetary incentives, which allows young people to contact the Criminal Gang themselves to seek employment, thus beginning their involvement in County Lines. Although within this essay it has been stated that young people from generally from lower income backgrounds, it can be argued that via social media, young persons from all backgrounds may be potential victims of exploitation. </w:t>
      </w:r>
    </w:p>
    <w:p w14:paraId="7B1E11D1"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4B9E6FB1"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182FC161"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Although Serious Crime Gangs will seek to prey on young people from certain </w:t>
      </w:r>
      <w:proofErr w:type="gramStart"/>
      <w:r>
        <w:rPr>
          <w:rFonts w:ascii="Calibri" w:hAnsi="Calibri" w:cs="Calibri"/>
          <w:sz w:val="22"/>
          <w:szCs w:val="22"/>
          <w:lang w:val="en-GB"/>
        </w:rPr>
        <w:t>socio economic</w:t>
      </w:r>
      <w:proofErr w:type="gramEnd"/>
      <w:r>
        <w:rPr>
          <w:rFonts w:ascii="Calibri" w:hAnsi="Calibri" w:cs="Calibri"/>
          <w:sz w:val="22"/>
          <w:szCs w:val="22"/>
          <w:lang w:val="en-GB"/>
        </w:rPr>
        <w:t xml:space="preserve"> backgrounds, it is evident that people who are also from affluent backgrounds can be exploited due to their psychological traits. Vulnerability can be characterised is many ways, however the parallels </w:t>
      </w:r>
      <w:r>
        <w:rPr>
          <w:rFonts w:ascii="Calibri" w:hAnsi="Calibri" w:cs="Calibri"/>
          <w:sz w:val="22"/>
          <w:szCs w:val="22"/>
          <w:lang w:val="en-GB"/>
        </w:rPr>
        <w:lastRenderedPageBreak/>
        <w:t xml:space="preserve">between mental health of individuals and substance abuse within the families of young people and their susceptibility to involvement in County Lines will be discussed within this essay. A report published by the Childrens Commissioner (2019) elaborates that there are many interlinked vulnerabilities that may cause a young person to be involved in the activities of Serious and Organised Crime Gangs. This report argues that one of the main risk factors that may cause a child to be exploited by a Gang is that of their current family or home environment, it is believed that if a young person suffers abuse and neglect within their household, it will cause said child to act out possibly replace their current family structure with that of a Gang. If family issues such as this are not addressed at an early stage by social services and other agencies, then the risk of being exploited will be increased greatly, it is therefore crucial that these early indicators of risk are addressed and tackled early on in a person's life. Several factors such as a lack of safe/stable home environment have the potential of causing a young person to suffer from many different forms of vulnerability, such as mental health or substance abuse. These psychological characteristics will evidently make a person more susceptible to exploitation than others who do not possess the same psychological issues. It has been reported that approximately 20 % of persons identified as being involved in county lines are children (Havard, 2022). This same report supports the idea that if a person has a lack of a stable/safe home environment that leads to substance abuse and mental health issues, it will heighten a young person's risk of being exploited by a Criminal Gang. </w:t>
      </w:r>
    </w:p>
    <w:p w14:paraId="7B1A652D"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w:t>
      </w:r>
    </w:p>
    <w:p w14:paraId="3EA85F5E"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It is clear based upon the research conducted that there are many interlinked vulnerabilities and factors that may cause a young person to be exploited by a Criminal Organisation. Factors such as coming from a lower-end socio economic background and unstable home environment are predominantly what drives a person to be criminally exploited, and if these issues are not addressed early on in a person's life, their vulnerability will be identified by Criminal Gangs that seek to exploit them and consequently cause them significant harm. </w:t>
      </w:r>
    </w:p>
    <w:p w14:paraId="787849CC" w14:textId="77777777" w:rsidR="00883CCF" w:rsidRDefault="00883CCF" w:rsidP="00883CCF">
      <w:pPr>
        <w:pStyle w:val="NormalWeb"/>
        <w:spacing w:before="0" w:beforeAutospacing="0" w:after="0" w:afterAutospacing="0"/>
        <w:rPr>
          <w:rFonts w:ascii="Calibri" w:hAnsi="Calibri" w:cs="Calibri"/>
          <w:sz w:val="22"/>
          <w:szCs w:val="22"/>
          <w:lang w:val="en-GB"/>
        </w:rPr>
      </w:pPr>
    </w:p>
    <w:p w14:paraId="4A9664EA" w14:textId="660888D5"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b/>
          <w:bCs/>
          <w:sz w:val="22"/>
          <w:szCs w:val="22"/>
          <w:lang w:val="en-GB"/>
        </w:rPr>
        <w:t xml:space="preserve">Word Count: </w:t>
      </w:r>
      <w:r>
        <w:rPr>
          <w:rFonts w:ascii="Calibri" w:hAnsi="Calibri" w:cs="Calibri"/>
          <w:sz w:val="22"/>
          <w:szCs w:val="22"/>
          <w:lang w:val="en-GB"/>
        </w:rPr>
        <w:t>979</w:t>
      </w:r>
    </w:p>
    <w:p w14:paraId="02C27739" w14:textId="77777777" w:rsidR="00883CCF" w:rsidRDefault="00883CCF" w:rsidP="00883CCF">
      <w:pPr>
        <w:pStyle w:val="NormalWeb"/>
        <w:spacing w:before="0" w:beforeAutospacing="0" w:after="0" w:afterAutospacing="0"/>
        <w:rPr>
          <w:rFonts w:ascii="Calibri" w:hAnsi="Calibri" w:cs="Calibri"/>
          <w:sz w:val="22"/>
          <w:szCs w:val="22"/>
          <w:lang w:val="en-GB"/>
        </w:rPr>
      </w:pPr>
    </w:p>
    <w:p w14:paraId="79E31E7A" w14:textId="77777777" w:rsidR="00883CCF" w:rsidRPr="00883CCF" w:rsidRDefault="00883CCF" w:rsidP="00883CCF">
      <w:pPr>
        <w:pStyle w:val="NormalWeb"/>
        <w:spacing w:before="0" w:beforeAutospacing="0" w:after="0" w:afterAutospacing="0"/>
        <w:rPr>
          <w:rFonts w:ascii="Calibri" w:hAnsi="Calibri" w:cs="Calibri"/>
          <w:b/>
          <w:bCs/>
          <w:lang w:val="en-GB"/>
        </w:rPr>
      </w:pPr>
      <w:r w:rsidRPr="00883CCF">
        <w:rPr>
          <w:rFonts w:ascii="Calibri" w:hAnsi="Calibri" w:cs="Calibri"/>
          <w:b/>
          <w:bCs/>
          <w:lang w:val="en-GB"/>
        </w:rPr>
        <w:t>Bibliography:</w:t>
      </w:r>
    </w:p>
    <w:p w14:paraId="7D2E88A3" w14:textId="574C70FD"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 </w:t>
      </w:r>
    </w:p>
    <w:p w14:paraId="7D3CD8EF"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Childrens commissioner. (2019). </w:t>
      </w:r>
      <w:r>
        <w:rPr>
          <w:rFonts w:ascii="Calibri" w:hAnsi="Calibri" w:cs="Calibri"/>
          <w:i/>
          <w:iCs/>
          <w:sz w:val="22"/>
          <w:szCs w:val="22"/>
          <w:lang w:val="en-GB"/>
        </w:rPr>
        <w:t xml:space="preserve">Keeping Kids Safe: Improving safeguarding responses to gang violence and criminal exploitation. </w:t>
      </w:r>
      <w:r>
        <w:rPr>
          <w:rFonts w:ascii="Calibri" w:hAnsi="Calibri" w:cs="Calibri"/>
          <w:sz w:val="22"/>
          <w:szCs w:val="22"/>
          <w:lang w:val="en-GB"/>
        </w:rPr>
        <w:t xml:space="preserve">Available at: </w:t>
      </w:r>
      <w:hyperlink r:id="rId33" w:history="1">
        <w:r>
          <w:rPr>
            <w:rStyle w:val="Hyperlink"/>
            <w:rFonts w:ascii="Calibri" w:hAnsi="Calibri" w:cs="Calibri"/>
            <w:sz w:val="22"/>
            <w:szCs w:val="22"/>
            <w:lang w:val="en-GB"/>
          </w:rPr>
          <w:t>https://assets.childrenscommissioner.gov.uk/wpuploads/2019/02/CCO-Gangs.pdf</w:t>
        </w:r>
      </w:hyperlink>
      <w:r>
        <w:rPr>
          <w:rFonts w:ascii="Calibri" w:hAnsi="Calibri" w:cs="Calibri"/>
          <w:sz w:val="22"/>
          <w:szCs w:val="22"/>
          <w:lang w:val="en-GB"/>
        </w:rPr>
        <w:t xml:space="preserve">. (Last Accessed 04/06/2023). </w:t>
      </w:r>
    </w:p>
    <w:p w14:paraId="44BA36C9" w14:textId="77777777" w:rsidR="00883CCF" w:rsidRDefault="00883CCF" w:rsidP="00883CCF">
      <w:pPr>
        <w:pStyle w:val="NormalWeb"/>
        <w:spacing w:before="0" w:beforeAutospacing="0" w:after="0" w:afterAutospacing="0"/>
        <w:rPr>
          <w:rFonts w:ascii="Calibri" w:hAnsi="Calibri" w:cs="Calibri"/>
          <w:sz w:val="22"/>
          <w:szCs w:val="22"/>
          <w:lang w:val="en-GB"/>
        </w:rPr>
      </w:pPr>
    </w:p>
    <w:p w14:paraId="225B559E"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Crown Prosecution Service. (2022). </w:t>
      </w:r>
      <w:r>
        <w:rPr>
          <w:rFonts w:ascii="Calibri" w:hAnsi="Calibri" w:cs="Calibri"/>
          <w:i/>
          <w:iCs/>
          <w:sz w:val="22"/>
          <w:szCs w:val="22"/>
          <w:lang w:val="en-GB"/>
        </w:rPr>
        <w:t xml:space="preserve">County Lines Offending. </w:t>
      </w:r>
      <w:r>
        <w:rPr>
          <w:rFonts w:ascii="Calibri" w:hAnsi="Calibri" w:cs="Calibri"/>
          <w:sz w:val="22"/>
          <w:szCs w:val="22"/>
          <w:lang w:val="en-GB"/>
        </w:rPr>
        <w:t xml:space="preserve">Available at: </w:t>
      </w:r>
      <w:hyperlink r:id="rId34" w:history="1">
        <w:r>
          <w:rPr>
            <w:rStyle w:val="Hyperlink"/>
            <w:rFonts w:ascii="Calibri" w:hAnsi="Calibri" w:cs="Calibri"/>
            <w:sz w:val="22"/>
            <w:szCs w:val="22"/>
            <w:lang w:val="en-GB"/>
          </w:rPr>
          <w:t>https://www.cps.gov.uk/legal-guidance/county-lines-offending/</w:t>
        </w:r>
      </w:hyperlink>
      <w:r>
        <w:rPr>
          <w:rFonts w:ascii="Calibri" w:hAnsi="Calibri" w:cs="Calibri"/>
          <w:sz w:val="22"/>
          <w:szCs w:val="22"/>
          <w:lang w:val="en-GB"/>
        </w:rPr>
        <w:t xml:space="preserve"> (Last Accessed 04/06/2023). </w:t>
      </w:r>
    </w:p>
    <w:p w14:paraId="551C1937" w14:textId="77777777" w:rsidR="00883CCF" w:rsidRDefault="00883CCF" w:rsidP="00883CCF">
      <w:pPr>
        <w:pStyle w:val="NormalWeb"/>
        <w:spacing w:before="0" w:beforeAutospacing="0" w:after="0" w:afterAutospacing="0"/>
        <w:rPr>
          <w:rFonts w:ascii="Calibri" w:hAnsi="Calibri" w:cs="Calibri"/>
          <w:sz w:val="22"/>
          <w:szCs w:val="22"/>
          <w:lang w:val="en-GB"/>
        </w:rPr>
      </w:pPr>
    </w:p>
    <w:p w14:paraId="138714CA" w14:textId="32002CAC" w:rsidR="00883CCF" w:rsidRDefault="00883CCF" w:rsidP="00883CCF">
      <w:pPr>
        <w:pStyle w:val="NormalWeb"/>
        <w:spacing w:before="0" w:beforeAutospacing="0" w:after="0" w:afterAutospacing="0"/>
        <w:rPr>
          <w:rFonts w:ascii="Calibri" w:hAnsi="Calibri" w:cs="Calibri"/>
          <w:sz w:val="22"/>
          <w:szCs w:val="22"/>
          <w:lang w:val="en-GB"/>
        </w:rPr>
      </w:pPr>
      <w:proofErr w:type="gramStart"/>
      <w:r>
        <w:rPr>
          <w:rFonts w:ascii="Calibri" w:hAnsi="Calibri" w:cs="Calibri"/>
          <w:sz w:val="22"/>
          <w:szCs w:val="22"/>
          <w:lang w:val="en-GB"/>
        </w:rPr>
        <w:t>Havard,T.</w:t>
      </w:r>
      <w:proofErr w:type="gramEnd"/>
      <w:r>
        <w:rPr>
          <w:rFonts w:ascii="Calibri" w:hAnsi="Calibri" w:cs="Calibri"/>
          <w:sz w:val="22"/>
          <w:szCs w:val="22"/>
          <w:lang w:val="en-GB"/>
        </w:rPr>
        <w:t xml:space="preserve"> (2022). </w:t>
      </w:r>
      <w:r>
        <w:rPr>
          <w:rFonts w:ascii="Calibri" w:hAnsi="Calibri" w:cs="Calibri"/>
          <w:i/>
          <w:iCs/>
          <w:sz w:val="22"/>
          <w:szCs w:val="22"/>
          <w:lang w:val="en-GB"/>
        </w:rPr>
        <w:t>Serious Youth Violence: County lines drug dealing and the Government Response</w:t>
      </w:r>
      <w:r>
        <w:rPr>
          <w:rFonts w:ascii="Calibri" w:hAnsi="Calibri" w:cs="Calibri"/>
          <w:sz w:val="22"/>
          <w:szCs w:val="22"/>
          <w:lang w:val="en-GB"/>
        </w:rPr>
        <w:t xml:space="preserve">. Available at: </w:t>
      </w:r>
      <w:hyperlink r:id="rId35" w:history="1">
        <w:r>
          <w:rPr>
            <w:rStyle w:val="Hyperlink"/>
            <w:rFonts w:ascii="Calibri" w:hAnsi="Calibri" w:cs="Calibri"/>
            <w:sz w:val="22"/>
            <w:szCs w:val="22"/>
            <w:lang w:val="en-GB"/>
          </w:rPr>
          <w:t>https://researchbriefings.files.parliament.uk/documents/CBP-9264/CBP-9264.pdf</w:t>
        </w:r>
      </w:hyperlink>
      <w:r>
        <w:rPr>
          <w:rFonts w:ascii="Calibri" w:hAnsi="Calibri" w:cs="Calibri"/>
          <w:sz w:val="22"/>
          <w:szCs w:val="22"/>
          <w:lang w:val="en-GB"/>
        </w:rPr>
        <w:t>. (Last Accessed 04/06/2023).</w:t>
      </w:r>
    </w:p>
    <w:p w14:paraId="31DC6BE0" w14:textId="77777777" w:rsidR="00883CCF" w:rsidRDefault="00883CCF" w:rsidP="00883CCF">
      <w:pPr>
        <w:pStyle w:val="NormalWeb"/>
        <w:spacing w:before="0" w:beforeAutospacing="0" w:after="0" w:afterAutospacing="0"/>
        <w:rPr>
          <w:rFonts w:ascii="Calibri" w:hAnsi="Calibri" w:cs="Calibri"/>
          <w:sz w:val="22"/>
          <w:szCs w:val="22"/>
          <w:lang w:val="en-GB"/>
        </w:rPr>
      </w:pPr>
      <w:r>
        <w:rPr>
          <w:rFonts w:ascii="Calibri" w:hAnsi="Calibri" w:cs="Calibri"/>
          <w:sz w:val="22"/>
          <w:szCs w:val="22"/>
          <w:lang w:val="en-GB"/>
        </w:rPr>
        <w:t xml:space="preserve">National Crime Agency. (NO DATE). </w:t>
      </w:r>
      <w:r>
        <w:rPr>
          <w:rFonts w:ascii="Calibri" w:hAnsi="Calibri" w:cs="Calibri"/>
          <w:i/>
          <w:iCs/>
          <w:sz w:val="22"/>
          <w:szCs w:val="22"/>
          <w:lang w:val="en-GB"/>
        </w:rPr>
        <w:t xml:space="preserve"> Criminal Exploitation. </w:t>
      </w:r>
      <w:r>
        <w:rPr>
          <w:rFonts w:ascii="Calibri" w:hAnsi="Calibri" w:cs="Calibri"/>
          <w:sz w:val="22"/>
          <w:szCs w:val="22"/>
          <w:lang w:val="en-GB"/>
        </w:rPr>
        <w:t xml:space="preserve">Available at: </w:t>
      </w:r>
      <w:hyperlink r:id="rId36" w:history="1">
        <w:r>
          <w:rPr>
            <w:rStyle w:val="Hyperlink"/>
            <w:rFonts w:ascii="Calibri" w:hAnsi="Calibri" w:cs="Calibri"/>
            <w:sz w:val="22"/>
            <w:szCs w:val="22"/>
            <w:lang w:val="en-GB"/>
          </w:rPr>
          <w:t>https://www.nationalcrimeagency.gov.uk/who-we-are/publications/254-guidance-for-ngos-on-how-to-identify-and-support-victims-of-criminal-exploitation/file</w:t>
        </w:r>
      </w:hyperlink>
      <w:r>
        <w:rPr>
          <w:rFonts w:ascii="Calibri" w:hAnsi="Calibri" w:cs="Calibri"/>
          <w:sz w:val="22"/>
          <w:szCs w:val="22"/>
          <w:lang w:val="en-GB"/>
        </w:rPr>
        <w:t>. (Last Accessed 03/06/2023).</w:t>
      </w:r>
    </w:p>
    <w:p w14:paraId="672FF3F9" w14:textId="77777777" w:rsidR="00883CCF" w:rsidRDefault="00883CCF" w:rsidP="00883CCF">
      <w:pPr>
        <w:pStyle w:val="NormalWeb"/>
        <w:spacing w:before="0" w:beforeAutospacing="0" w:after="0" w:afterAutospacing="0"/>
        <w:rPr>
          <w:rFonts w:ascii="Calibri" w:hAnsi="Calibri" w:cs="Calibri"/>
          <w:sz w:val="22"/>
          <w:szCs w:val="22"/>
          <w:lang w:val="en-GB"/>
        </w:rPr>
      </w:pPr>
    </w:p>
    <w:p w14:paraId="70232CB1" w14:textId="77777777" w:rsidR="00883CCF" w:rsidRDefault="00883CCF" w:rsidP="00883CCF">
      <w:pPr>
        <w:pStyle w:val="NormalWeb"/>
        <w:spacing w:before="0" w:beforeAutospacing="0" w:after="0" w:afterAutospacing="0"/>
        <w:rPr>
          <w:rFonts w:ascii="Calibri" w:hAnsi="Calibri" w:cs="Calibri"/>
          <w:sz w:val="22"/>
          <w:szCs w:val="22"/>
        </w:rPr>
      </w:pPr>
      <w:proofErr w:type="gramStart"/>
      <w:r>
        <w:rPr>
          <w:rFonts w:ascii="Calibri" w:hAnsi="Calibri" w:cs="Calibri"/>
          <w:sz w:val="22"/>
          <w:szCs w:val="22"/>
          <w:lang w:val="en-GB"/>
        </w:rPr>
        <w:t>Robinson,G.</w:t>
      </w:r>
      <w:proofErr w:type="gramEnd"/>
      <w:r>
        <w:rPr>
          <w:rFonts w:ascii="Calibri" w:hAnsi="Calibri" w:cs="Calibri"/>
          <w:sz w:val="22"/>
          <w:szCs w:val="22"/>
          <w:lang w:val="en-GB"/>
        </w:rPr>
        <w:t xml:space="preserve">,Mclean,R. and Densley,J. (2019) </w:t>
      </w:r>
      <w:r>
        <w:rPr>
          <w:rFonts w:ascii="Calibri" w:hAnsi="Calibri" w:cs="Calibri"/>
          <w:i/>
          <w:iCs/>
          <w:sz w:val="22"/>
          <w:szCs w:val="22"/>
          <w:lang w:val="en-GB"/>
        </w:rPr>
        <w:t xml:space="preserve">'Working County Lines: Child Criminal Exploitation and Illicit Drug Dealing in Glasgow and Merseyside', </w:t>
      </w:r>
      <w:r>
        <w:rPr>
          <w:rFonts w:ascii="Calibri" w:hAnsi="Calibri" w:cs="Calibri"/>
          <w:sz w:val="22"/>
          <w:szCs w:val="22"/>
          <w:lang w:val="en-GB"/>
        </w:rPr>
        <w:t xml:space="preserve">63(5), pp 694-711. </w:t>
      </w:r>
      <w:hyperlink r:id="rId37" w:history="1">
        <w:r>
          <w:rPr>
            <w:rStyle w:val="Hyperlink"/>
            <w:rFonts w:ascii="Calibri" w:hAnsi="Calibri" w:cs="Calibri"/>
            <w:sz w:val="22"/>
            <w:szCs w:val="22"/>
          </w:rPr>
          <w:t>https://doi-org.ezproxy.uwtsd.ac.uk/10.1177/0306624X18806742</w:t>
        </w:r>
      </w:hyperlink>
      <w:r>
        <w:rPr>
          <w:rFonts w:ascii="Calibri" w:hAnsi="Calibri" w:cs="Calibri"/>
          <w:sz w:val="22"/>
          <w:szCs w:val="22"/>
        </w:rPr>
        <w:t>. (Last Accessed 04/06/2023).</w:t>
      </w:r>
    </w:p>
    <w:p w14:paraId="2A7FB568" w14:textId="77777777" w:rsidR="00883CCF" w:rsidRDefault="00883CCF" w:rsidP="00883CCF">
      <w:pPr>
        <w:pStyle w:val="NormalWeb"/>
        <w:spacing w:before="0" w:beforeAutospacing="0" w:after="0" w:afterAutospacing="0"/>
        <w:rPr>
          <w:rFonts w:ascii="Calibri" w:hAnsi="Calibri" w:cs="Calibri"/>
          <w:sz w:val="22"/>
          <w:szCs w:val="22"/>
        </w:rPr>
      </w:pPr>
    </w:p>
    <w:p w14:paraId="1076649C" w14:textId="77777777" w:rsidR="00883CCF" w:rsidRDefault="00883CCF" w:rsidP="00883CCF">
      <w:pPr>
        <w:pStyle w:val="NormalWeb"/>
        <w:spacing w:before="0" w:beforeAutospacing="0" w:after="0" w:afterAutospacing="0"/>
        <w:rPr>
          <w:rFonts w:ascii="Calibri" w:hAnsi="Calibri" w:cs="Calibri"/>
          <w:sz w:val="22"/>
          <w:szCs w:val="22"/>
        </w:rPr>
      </w:pPr>
      <w:r>
        <w:rPr>
          <w:rFonts w:ascii="Calibri" w:hAnsi="Calibri" w:cs="Calibri"/>
          <w:sz w:val="22"/>
          <w:szCs w:val="22"/>
        </w:rPr>
        <w:lastRenderedPageBreak/>
        <w:t xml:space="preserve">The Childrens Society. (2019). </w:t>
      </w:r>
      <w:r>
        <w:rPr>
          <w:rFonts w:ascii="Calibri" w:hAnsi="Calibri" w:cs="Calibri"/>
          <w:i/>
          <w:iCs/>
          <w:sz w:val="22"/>
          <w:szCs w:val="22"/>
        </w:rPr>
        <w:t xml:space="preserve">Counting Lives: responding to children who are criminally exploited. </w:t>
      </w:r>
      <w:r>
        <w:rPr>
          <w:rFonts w:ascii="Calibri" w:hAnsi="Calibri" w:cs="Calibri"/>
          <w:sz w:val="22"/>
          <w:szCs w:val="22"/>
        </w:rPr>
        <w:t xml:space="preserve">Available at: </w:t>
      </w:r>
      <w:hyperlink r:id="rId38" w:history="1">
        <w:r>
          <w:rPr>
            <w:rStyle w:val="Hyperlink"/>
            <w:rFonts w:ascii="Calibri" w:hAnsi="Calibri" w:cs="Calibri"/>
            <w:sz w:val="22"/>
            <w:szCs w:val="22"/>
            <w:lang w:val="en-GB"/>
          </w:rPr>
          <w:t>https://moodle.uwtsd.ac.uk/pluginfile.php/586286/mod_resource/content/1/Harvard-eng_v.1.2.pdf</w:t>
        </w:r>
      </w:hyperlink>
      <w:r>
        <w:rPr>
          <w:rFonts w:ascii="Calibri" w:hAnsi="Calibri" w:cs="Calibri"/>
          <w:sz w:val="22"/>
          <w:szCs w:val="22"/>
          <w:lang w:val="en-GB"/>
        </w:rPr>
        <w:t>. (Last Accessed 04/06/2023).</w:t>
      </w:r>
    </w:p>
    <w:p w14:paraId="0F73BCC1" w14:textId="77777777" w:rsidR="00883CCF" w:rsidRDefault="00883CCF" w:rsidP="00883CCF">
      <w:pPr>
        <w:pStyle w:val="NormalWeb"/>
        <w:spacing w:before="0" w:beforeAutospacing="0" w:after="0" w:afterAutospacing="0"/>
        <w:rPr>
          <w:rFonts w:ascii="Calibri" w:hAnsi="Calibri" w:cs="Calibri"/>
          <w:b/>
          <w:bCs/>
          <w:sz w:val="22"/>
          <w:szCs w:val="22"/>
          <w:lang w:val="en-GB"/>
        </w:rPr>
      </w:pPr>
    </w:p>
    <w:p w14:paraId="1FD742C0" w14:textId="19153797" w:rsidR="00883CCF" w:rsidRPr="00883CCF" w:rsidRDefault="00883CCF" w:rsidP="00883CCF">
      <w:pPr>
        <w:pStyle w:val="NormalWeb"/>
        <w:spacing w:before="0" w:beforeAutospacing="0" w:after="0" w:afterAutospacing="0"/>
        <w:rPr>
          <w:rFonts w:ascii="Calibri" w:hAnsi="Calibri" w:cs="Calibri"/>
          <w:b/>
          <w:bCs/>
          <w:sz w:val="22"/>
          <w:szCs w:val="22"/>
          <w:lang w:val="en-GB"/>
        </w:rPr>
      </w:pPr>
      <w:r>
        <w:rPr>
          <w:rFonts w:ascii="Calibri" w:hAnsi="Calibri" w:cs="Calibri"/>
          <w:b/>
          <w:bCs/>
          <w:sz w:val="22"/>
          <w:szCs w:val="22"/>
          <w:lang w:val="en-GB"/>
        </w:rPr>
        <w:t xml:space="preserve"> </w:t>
      </w:r>
    </w:p>
    <w:p w14:paraId="7D6E313C" w14:textId="77777777" w:rsidR="00883CCF" w:rsidRDefault="00883CCF" w:rsidP="00002C56">
      <w:pPr>
        <w:spacing w:line="257" w:lineRule="auto"/>
        <w:ind w:left="567" w:right="531"/>
        <w:rPr>
          <w:rFonts w:ascii="Arial" w:eastAsia="Calibri" w:hAnsi="Arial" w:cs="Arial"/>
        </w:rPr>
      </w:pPr>
    </w:p>
    <w:p w14:paraId="17A0F115" w14:textId="77777777" w:rsidR="00883CCF" w:rsidRDefault="00883CCF" w:rsidP="00883CCF">
      <w:pPr>
        <w:spacing w:line="257" w:lineRule="auto"/>
        <w:ind w:left="567" w:right="531"/>
        <w:rPr>
          <w:rFonts w:ascii="Arial" w:eastAsia="Calibri" w:hAnsi="Arial" w:cs="Arial"/>
        </w:rPr>
      </w:pPr>
    </w:p>
    <w:p w14:paraId="74E77B0B" w14:textId="77777777" w:rsidR="00002C56" w:rsidRPr="00C7159A" w:rsidRDefault="00002C56" w:rsidP="00002C56">
      <w:pPr>
        <w:spacing w:line="257" w:lineRule="auto"/>
        <w:ind w:left="567" w:right="531"/>
        <w:rPr>
          <w:rFonts w:ascii="Arial" w:eastAsia="Calibri" w:hAnsi="Arial" w:cs="Arial"/>
        </w:rPr>
      </w:pPr>
    </w:p>
    <w:p w14:paraId="3AB0B35D" w14:textId="77777777" w:rsidR="00002C56" w:rsidRPr="00002C56" w:rsidRDefault="00002C56" w:rsidP="00002C56">
      <w:pPr>
        <w:tabs>
          <w:tab w:val="left" w:pos="1485"/>
        </w:tabs>
        <w:rPr>
          <w:lang w:val="en-GB"/>
        </w:rPr>
      </w:pPr>
    </w:p>
    <w:sectPr w:rsidR="00002C56" w:rsidRPr="00002C56">
      <w:headerReference w:type="default" r:id="rId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15257" w14:textId="77777777" w:rsidR="003857D5" w:rsidRDefault="003857D5" w:rsidP="00510383">
      <w:pPr>
        <w:spacing w:after="0" w:line="240" w:lineRule="auto"/>
      </w:pPr>
      <w:r>
        <w:separator/>
      </w:r>
    </w:p>
  </w:endnote>
  <w:endnote w:type="continuationSeparator" w:id="0">
    <w:p w14:paraId="48CEAF6B" w14:textId="77777777" w:rsidR="003857D5" w:rsidRDefault="003857D5" w:rsidP="00510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4EA30" w14:textId="77777777" w:rsidR="003857D5" w:rsidRDefault="003857D5" w:rsidP="00510383">
      <w:pPr>
        <w:spacing w:after="0" w:line="240" w:lineRule="auto"/>
      </w:pPr>
      <w:r>
        <w:separator/>
      </w:r>
    </w:p>
  </w:footnote>
  <w:footnote w:type="continuationSeparator" w:id="0">
    <w:p w14:paraId="595B70CB" w14:textId="77777777" w:rsidR="003857D5" w:rsidRDefault="003857D5" w:rsidP="005103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D3FEB" w14:textId="4D6D5A2D" w:rsidR="00510383" w:rsidRPr="00510383" w:rsidRDefault="00510383">
    <w:pPr>
      <w:pStyle w:val="Header"/>
      <w:rPr>
        <w:lang w:val="en-GB"/>
      </w:rPr>
    </w:pPr>
    <w:r>
      <w:rPr>
        <w:lang w:val="en-GB"/>
      </w:rPr>
      <w:t>2117609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9885610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383"/>
    <w:rsid w:val="00002C56"/>
    <w:rsid w:val="00092FA8"/>
    <w:rsid w:val="00146DE5"/>
    <w:rsid w:val="003857D5"/>
    <w:rsid w:val="0040515D"/>
    <w:rsid w:val="004A5EFA"/>
    <w:rsid w:val="00510383"/>
    <w:rsid w:val="00555FC4"/>
    <w:rsid w:val="006A6A67"/>
    <w:rsid w:val="007174C1"/>
    <w:rsid w:val="00883CCF"/>
    <w:rsid w:val="00902C90"/>
    <w:rsid w:val="00A37247"/>
    <w:rsid w:val="00BA6DB8"/>
    <w:rsid w:val="00C2769E"/>
    <w:rsid w:val="00CF192A"/>
    <w:rsid w:val="00D354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E5ECF"/>
  <w15:chartTrackingRefBased/>
  <w15:docId w15:val="{0A06B0C3-3D61-4B5D-A9AD-757568C11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03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0383"/>
  </w:style>
  <w:style w:type="paragraph" w:styleId="Footer">
    <w:name w:val="footer"/>
    <w:basedOn w:val="Normal"/>
    <w:link w:val="FooterChar"/>
    <w:uiPriority w:val="99"/>
    <w:unhideWhenUsed/>
    <w:rsid w:val="005103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0383"/>
  </w:style>
  <w:style w:type="paragraph" w:styleId="NormalWeb">
    <w:name w:val="Normal (Web)"/>
    <w:basedOn w:val="Normal"/>
    <w:uiPriority w:val="99"/>
    <w:unhideWhenUsed/>
    <w:rsid w:val="0051038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510383"/>
    <w:rPr>
      <w:color w:val="0000FF"/>
      <w:u w:val="single"/>
    </w:rPr>
  </w:style>
  <w:style w:type="paragraph" w:styleId="ListParagraph">
    <w:name w:val="List Paragraph"/>
    <w:basedOn w:val="Normal"/>
    <w:uiPriority w:val="34"/>
    <w:qFormat/>
    <w:rsid w:val="007174C1"/>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6600">
      <w:bodyDiv w:val="1"/>
      <w:marLeft w:val="0"/>
      <w:marRight w:val="0"/>
      <w:marTop w:val="0"/>
      <w:marBottom w:val="0"/>
      <w:divBdr>
        <w:top w:val="none" w:sz="0" w:space="0" w:color="auto"/>
        <w:left w:val="none" w:sz="0" w:space="0" w:color="auto"/>
        <w:bottom w:val="none" w:sz="0" w:space="0" w:color="auto"/>
        <w:right w:val="none" w:sz="0" w:space="0" w:color="auto"/>
      </w:divBdr>
    </w:div>
    <w:div w:id="112754473">
      <w:bodyDiv w:val="1"/>
      <w:marLeft w:val="0"/>
      <w:marRight w:val="0"/>
      <w:marTop w:val="0"/>
      <w:marBottom w:val="0"/>
      <w:divBdr>
        <w:top w:val="none" w:sz="0" w:space="0" w:color="auto"/>
        <w:left w:val="none" w:sz="0" w:space="0" w:color="auto"/>
        <w:bottom w:val="none" w:sz="0" w:space="0" w:color="auto"/>
        <w:right w:val="none" w:sz="0" w:space="0" w:color="auto"/>
      </w:divBdr>
    </w:div>
    <w:div w:id="695614860">
      <w:bodyDiv w:val="1"/>
      <w:marLeft w:val="0"/>
      <w:marRight w:val="0"/>
      <w:marTop w:val="0"/>
      <w:marBottom w:val="0"/>
      <w:divBdr>
        <w:top w:val="none" w:sz="0" w:space="0" w:color="auto"/>
        <w:left w:val="none" w:sz="0" w:space="0" w:color="auto"/>
        <w:bottom w:val="none" w:sz="0" w:space="0" w:color="auto"/>
        <w:right w:val="none" w:sz="0" w:space="0" w:color="auto"/>
      </w:divBdr>
    </w:div>
    <w:div w:id="775370445">
      <w:bodyDiv w:val="1"/>
      <w:marLeft w:val="0"/>
      <w:marRight w:val="0"/>
      <w:marTop w:val="0"/>
      <w:marBottom w:val="0"/>
      <w:divBdr>
        <w:top w:val="none" w:sz="0" w:space="0" w:color="auto"/>
        <w:left w:val="none" w:sz="0" w:space="0" w:color="auto"/>
        <w:bottom w:val="none" w:sz="0" w:space="0" w:color="auto"/>
        <w:right w:val="none" w:sz="0" w:space="0" w:color="auto"/>
      </w:divBdr>
    </w:div>
    <w:div w:id="784272941">
      <w:bodyDiv w:val="1"/>
      <w:marLeft w:val="0"/>
      <w:marRight w:val="0"/>
      <w:marTop w:val="0"/>
      <w:marBottom w:val="0"/>
      <w:divBdr>
        <w:top w:val="none" w:sz="0" w:space="0" w:color="auto"/>
        <w:left w:val="none" w:sz="0" w:space="0" w:color="auto"/>
        <w:bottom w:val="none" w:sz="0" w:space="0" w:color="auto"/>
        <w:right w:val="none" w:sz="0" w:space="0" w:color="auto"/>
      </w:divBdr>
    </w:div>
    <w:div w:id="1288581526">
      <w:bodyDiv w:val="1"/>
      <w:marLeft w:val="0"/>
      <w:marRight w:val="0"/>
      <w:marTop w:val="0"/>
      <w:marBottom w:val="0"/>
      <w:divBdr>
        <w:top w:val="none" w:sz="0" w:space="0" w:color="auto"/>
        <w:left w:val="none" w:sz="0" w:space="0" w:color="auto"/>
        <w:bottom w:val="none" w:sz="0" w:space="0" w:color="auto"/>
        <w:right w:val="none" w:sz="0" w:space="0" w:color="auto"/>
      </w:divBdr>
    </w:div>
    <w:div w:id="1711029204">
      <w:bodyDiv w:val="1"/>
      <w:marLeft w:val="0"/>
      <w:marRight w:val="0"/>
      <w:marTop w:val="0"/>
      <w:marBottom w:val="0"/>
      <w:divBdr>
        <w:top w:val="none" w:sz="0" w:space="0" w:color="auto"/>
        <w:left w:val="none" w:sz="0" w:space="0" w:color="auto"/>
        <w:bottom w:val="none" w:sz="0" w:space="0" w:color="auto"/>
        <w:right w:val="none" w:sz="0" w:space="0" w:color="auto"/>
      </w:divBdr>
    </w:div>
    <w:div w:id="1964844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ogle.co.uk/books/edition/Predictive_Policing/ZdstAQAAQBAJ?hl=en&amp;gbpv=0&amp;kptab=overview" TargetMode="External"/><Relationship Id="rId18" Type="http://schemas.openxmlformats.org/officeDocument/2006/relationships/hyperlink" Target="http://www2.westsussex.gov.uk/ds/cttee/ecs/ecs301117i4.pdf" TargetMode="External"/><Relationship Id="rId26" Type="http://schemas.openxmlformats.org/officeDocument/2006/relationships/hyperlink" Target="https://research.library.mun.ca/12911/1/thesis.pdf" TargetMode="External"/><Relationship Id="rId39" Type="http://schemas.openxmlformats.org/officeDocument/2006/relationships/header" Target="header1.xml"/><Relationship Id="rId21" Type="http://schemas.openxmlformats.org/officeDocument/2006/relationships/hyperlink" Target="https://www-tandfonline-com.ezproxy.uwtsd.ac.uk/doi/full/10.1080/1057610X.2016.1253989" TargetMode="External"/><Relationship Id="rId34" Type="http://schemas.openxmlformats.org/officeDocument/2006/relationships/hyperlink" Target="https://www.cps.gov.uk/legal-guidance/county-lines-offending/" TargetMode="External"/><Relationship Id="rId7" Type="http://schemas.openxmlformats.org/officeDocument/2006/relationships/hyperlink" Target="https://www.google.co.uk/books/edition/Problem_oriented_Policing_and_Partnershi/sRKaRundkgEC?hl=en&amp;gbpv=0" TargetMode="External"/><Relationship Id="rId2" Type="http://schemas.openxmlformats.org/officeDocument/2006/relationships/styles" Target="styles.xml"/><Relationship Id="rId16" Type="http://schemas.openxmlformats.org/officeDocument/2006/relationships/hyperlink" Target="https://www.counterterrorism.police.uk/head-of-counter-terrorism-policing-marks-neighbourhood-policing-week-of-action/" TargetMode="External"/><Relationship Id="rId20" Type="http://schemas.openxmlformats.org/officeDocument/2006/relationships/hyperlink" Target="https://homeofficemedia.blog.gov.uk/2019/11/05/factsheet-prevent-and-channel/" TargetMode="External"/><Relationship Id="rId29" Type="http://schemas.openxmlformats.org/officeDocument/2006/relationships/hyperlink" Target="https://www.hse.gov.uk/enforce/enforcementguide/investigation/witness-questioning.htm"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berties.eu/en/stories/predictive-policing/43679" TargetMode="External"/><Relationship Id="rId24" Type="http://schemas.openxmlformats.org/officeDocument/2006/relationships/hyperlink" Target="https://www.police-foundation.org.uk/2017/wp-content/uploads/2017/06/terrorism_review.pdf" TargetMode="External"/><Relationship Id="rId32" Type="http://schemas.openxmlformats.org/officeDocument/2006/relationships/hyperlink" Target="https://assets.corporatecompliance.org/Portals/1/PDF/Resources/past_handouts/Internal_Investigation/2020/January/S15%20Overcoming%20Bias%20in%20Investigations.pdf" TargetMode="External"/><Relationship Id="rId37" Type="http://schemas.openxmlformats.org/officeDocument/2006/relationships/hyperlink" Target="https://doi-org.ezproxy.uwtsd.ac.uk/10.1177/0306624X18806742"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unodc.org/e4j/zh/crime-prevention-criminal-justice/module-2/key-issues/1--definition-of-crime-prevention.html" TargetMode="External"/><Relationship Id="rId23" Type="http://schemas.openxmlformats.org/officeDocument/2006/relationships/hyperlink" Target="https://library.leeds.ac.uk/referencing-examples/9/leeds-harvard/92/e-book-online-or-via-e-book-reader" TargetMode="External"/><Relationship Id="rId28" Type="http://schemas.openxmlformats.org/officeDocument/2006/relationships/hyperlink" Target="https://profdev.college.police.uk/competency-values/impartiality/" TargetMode="External"/><Relationship Id="rId36" Type="http://schemas.openxmlformats.org/officeDocument/2006/relationships/hyperlink" Target="https://www.nationalcrimeagency.gov.uk/who-we-are/publications/254-guidance-for-ngos-on-how-to-identify-and-support-victims-of-criminal-exploitation/file" TargetMode="External"/><Relationship Id="rId10" Type="http://schemas.openxmlformats.org/officeDocument/2006/relationships/hyperlink" Target="https://www.gov.uk/government/statistics/proven-reoffending-statistics-april-to-june-2020/proven-reoffending-statistics-april-to-june-2020" TargetMode="External"/><Relationship Id="rId19" Type="http://schemas.openxmlformats.org/officeDocument/2006/relationships/hyperlink" Target="https://www.gov.uk/terrorism-national-emergency" TargetMode="External"/><Relationship Id="rId31" Type="http://schemas.openxmlformats.org/officeDocument/2006/relationships/hyperlink" Target="https://www.shrm.org/resourcesandtools/hr-topics/behavioral-competencies/ethical-practice/pages/become-aware-of-personal-bias-and-improve-ethical-practice-.aspx" TargetMode="External"/><Relationship Id="rId4" Type="http://schemas.openxmlformats.org/officeDocument/2006/relationships/webSettings" Target="webSettings.xml"/><Relationship Id="rId9" Type="http://schemas.openxmlformats.org/officeDocument/2006/relationships/hyperlink" Target="https://www.college.police.uk/research/what-works-policing-reduce-crime/targeted-approaches" TargetMode="External"/><Relationship Id="rId14" Type="http://schemas.openxmlformats.org/officeDocument/2006/relationships/hyperlink" Target="https://youthendowmentfund.org.uk/news/targeted-policing-in-high-crime-areas-reduces-youth-violence-research-finds/" TargetMode="External"/><Relationship Id="rId22" Type="http://schemas.openxmlformats.org/officeDocument/2006/relationships/hyperlink" Target="https://assets.publishing.service.gov.uk/government/uploads/system/uploads/attachment_data/file/1134986/Independent_Review_of_Prevent.pdf" TargetMode="External"/><Relationship Id="rId27" Type="http://schemas.openxmlformats.org/officeDocument/2006/relationships/hyperlink" Target="https://www.college.police.uk/app/investigation/investigative-interviewing/investigative-interviewing/" TargetMode="External"/><Relationship Id="rId30" Type="http://schemas.openxmlformats.org/officeDocument/2006/relationships/hyperlink" Target="http://dx.doi.org/10.1037/lhb0000287" TargetMode="External"/><Relationship Id="rId35" Type="http://schemas.openxmlformats.org/officeDocument/2006/relationships/hyperlink" Target="https://researchbriefings.files.parliament.uk/documents/CBP-9264/CBP-9264.pdf" TargetMode="External"/><Relationship Id="rId8" Type="http://schemas.openxmlformats.org/officeDocument/2006/relationships/hyperlink" Target="https://www.college.police.uk/research/crime-reduction-toolkit/problem-oriented-policing" TargetMode="External"/><Relationship Id="rId3" Type="http://schemas.openxmlformats.org/officeDocument/2006/relationships/settings" Target="settings.xml"/><Relationship Id="rId12" Type="http://schemas.openxmlformats.org/officeDocument/2006/relationships/hyperlink" Target="https://www.merriam-webster.com/dictionary/repeat%20offender" TargetMode="External"/><Relationship Id="rId17" Type="http://schemas.openxmlformats.org/officeDocument/2006/relationships/hyperlink" Target="https://www.counterterrorism.police.uk/what-we-do/" TargetMode="External"/><Relationship Id="rId25" Type="http://schemas.openxmlformats.org/officeDocument/2006/relationships/hyperlink" Target="https://pure.port.ac.uk/ws/portalfiles/portal/14427560/NMAQ_UoP_Thesis.pdf" TargetMode="External"/><Relationship Id="rId33" Type="http://schemas.openxmlformats.org/officeDocument/2006/relationships/hyperlink" Target="https://assets.childrenscommissioner.gov.uk/wpuploads/2019/02/CCO-Gangs.pdf" TargetMode="External"/><Relationship Id="rId38" Type="http://schemas.openxmlformats.org/officeDocument/2006/relationships/hyperlink" Target="https://moodle.uwtsd.ac.uk/pluginfile.php/586286/mod_resource/content/1/Harvard-eng_v.1.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12</Pages>
  <Words>5695</Words>
  <Characters>32463</Characters>
  <Application>Microsoft Office Word</Application>
  <DocSecurity>0</DocSecurity>
  <Lines>270</Lines>
  <Paragraphs>76</Paragraphs>
  <ScaleCrop>false</ScaleCrop>
  <Company/>
  <LinksUpToDate>false</LinksUpToDate>
  <CharactersWithSpaces>38082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Dafydd Beck</dc:creator>
  <cp:keywords/>
  <dc:description/>
  <cp:lastModifiedBy>Dafydd Beck</cp:lastModifiedBy>
  <cp:revision>3</cp:revision>
  <dcterms:created xsi:type="dcterms:W3CDTF">2023-06-04T12:19:00Z</dcterms:created>
  <dcterms:modified xsi:type="dcterms:W3CDTF">2023-06-04T12:22:00Z</dcterms:modified>
</cp:coreProperties>
</file>