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4BEBF6" w14:textId="34BFFBD7" w:rsidR="003F1D50" w:rsidRDefault="00F170D2" w:rsidP="00F170D2">
      <w:pPr>
        <w:jc w:val="center"/>
      </w:pPr>
      <w:r>
        <w:t>Explain why teacher subject knowledge is important in relation to teaching Language and Mathematics in primary schools in Wales.</w:t>
      </w:r>
    </w:p>
    <w:p w14:paraId="442D388D" w14:textId="20B7FB82" w:rsidR="005A4A89" w:rsidRDefault="005A4A89" w:rsidP="005A4A89">
      <w:r>
        <w:t xml:space="preserve">Teacher subject knowledge is vital to the teaching of Language and Mathematics in primary schools in Wales. </w:t>
      </w:r>
      <w:r w:rsidR="00C34918">
        <w:t xml:space="preserve">In fact, teacher subject knowledge is </w:t>
      </w:r>
      <w:bookmarkStart w:id="0" w:name="_GoBack"/>
      <w:bookmarkEnd w:id="0"/>
      <w:r w:rsidR="00C34918">
        <w:t xml:space="preserve">vital to the teaching of every aspect of the National Curriculum for both Foundation Phase and Key Stage 2. </w:t>
      </w:r>
      <w:r w:rsidR="00824E9A">
        <w:t>For</w:t>
      </w:r>
      <w:r w:rsidR="00213465">
        <w:t xml:space="preserve"> an individual to </w:t>
      </w:r>
      <w:r w:rsidR="00824E9A">
        <w:t>become a trainee teacher, they must meet certain requirements</w:t>
      </w:r>
      <w:r w:rsidR="00465C1A">
        <w:t>. A hopeful trainee teacher must have</w:t>
      </w:r>
      <w:r w:rsidR="00824E9A">
        <w:t xml:space="preserve"> a minimum of a B </w:t>
      </w:r>
      <w:r w:rsidR="00465C1A">
        <w:t xml:space="preserve">or equivalent </w:t>
      </w:r>
      <w:r w:rsidR="00824E9A">
        <w:t xml:space="preserve">in </w:t>
      </w:r>
      <w:r w:rsidR="00465C1A">
        <w:t xml:space="preserve">GCSE </w:t>
      </w:r>
      <w:r w:rsidR="00824E9A">
        <w:t xml:space="preserve">English and Mathematics. </w:t>
      </w:r>
      <w:r w:rsidR="00C73AD0">
        <w:t>This entry requirement already indicates that potential teachers need sound subject knowledge</w:t>
      </w:r>
      <w:r w:rsidR="00CA6DC7">
        <w:t xml:space="preserve"> and by having this requirement in place, subject knowledge is already be</w:t>
      </w:r>
      <w:r w:rsidR="00321C9E">
        <w:t>ing</w:t>
      </w:r>
      <w:r w:rsidR="00CA6DC7">
        <w:t xml:space="preserve"> ensured.</w:t>
      </w:r>
      <w:r w:rsidR="009B434C">
        <w:t xml:space="preserve"> </w:t>
      </w:r>
      <w:r w:rsidR="001F0CCD">
        <w:t xml:space="preserve">Subject knowledge and pedagogical knowledge are closely linked when it comes to the importance of being a good teacher. </w:t>
      </w:r>
      <w:r w:rsidR="009B434C">
        <w:t xml:space="preserve">Sir John Holman states, “good teaching depends on good subject knowledge and excellent pedagogical skills. You can’t do it without being in possession of both.” </w:t>
      </w:r>
      <w:r w:rsidR="007D6C57">
        <w:t>In Donaldson’s Success Futures report (2015), under the pedagogy aspect of teaching, he states that “good teaching and learning maintains a consistent focus on the overall purposes of the curriculum.” In order to have good teacher subject knowledge, a teacher must ensure that they understand the over</w:t>
      </w:r>
      <w:r w:rsidR="008966E4">
        <w:t>all</w:t>
      </w:r>
      <w:r w:rsidR="007D6C57">
        <w:t xml:space="preserve"> purposes of the curriculum to be able to deliver effective teaching to the learners. </w:t>
      </w:r>
    </w:p>
    <w:p w14:paraId="40D8E7A9" w14:textId="0CB09F03" w:rsidR="00AD3653" w:rsidRDefault="00B75521" w:rsidP="005A4A89">
      <w:r>
        <w:t>In this assignment I will be discussing subject knowledge</w:t>
      </w:r>
      <w:r w:rsidR="00B731C4">
        <w:t xml:space="preserve"> through the understanding of what I taught during </w:t>
      </w:r>
      <w:r w:rsidR="001E2BAA">
        <w:t>my recent Professional Teaching Experience (</w:t>
      </w:r>
      <w:r w:rsidR="00B731C4">
        <w:t>PTE</w:t>
      </w:r>
      <w:r w:rsidR="001E2BAA">
        <w:t>)</w:t>
      </w:r>
      <w:r w:rsidR="00B731C4">
        <w:t xml:space="preserve"> and the ways in which I delivered my teaching to ensure all pupils had a sound understanding. </w:t>
      </w:r>
      <w:r w:rsidR="00AA125C">
        <w:t xml:space="preserve">I will be discussing teacher subject knowledge in relation to teaching Language and Mathematics based on my PTE where I was in a </w:t>
      </w:r>
      <w:r w:rsidR="00E249FF">
        <w:t>reception</w:t>
      </w:r>
      <w:r w:rsidR="00AA125C">
        <w:t xml:space="preserve"> class. I had a class of t</w:t>
      </w:r>
      <w:r w:rsidR="00E249FF">
        <w:t>hirty-one</w:t>
      </w:r>
      <w:r w:rsidR="00AA125C">
        <w:t xml:space="preserve"> pupils aged </w:t>
      </w:r>
      <w:r w:rsidR="00E249FF">
        <w:t>four and five.</w:t>
      </w:r>
      <w:r w:rsidR="00AA125C">
        <w:t xml:space="preserve"> The class had children of a range of abilities, some of which had additional learning needs</w:t>
      </w:r>
      <w:r w:rsidR="00CB537F">
        <w:t xml:space="preserve"> which I had to </w:t>
      </w:r>
      <w:proofErr w:type="gramStart"/>
      <w:r w:rsidR="00EE41C3">
        <w:t>take into account</w:t>
      </w:r>
      <w:proofErr w:type="gramEnd"/>
      <w:r w:rsidR="00A35BA7">
        <w:t xml:space="preserve"> when planning my lessons</w:t>
      </w:r>
      <w:r w:rsidR="00AA125C">
        <w:t>.</w:t>
      </w:r>
      <w:r w:rsidR="00EA1C10">
        <w:t xml:space="preserve"> </w:t>
      </w:r>
      <w:r w:rsidR="00E249FF">
        <w:t xml:space="preserve">The theme in the classroom at the time of my placement was the film ‘Frozen.’ </w:t>
      </w:r>
      <w:r w:rsidR="00EE41C3">
        <w:t>Within th</w:t>
      </w:r>
      <w:r w:rsidR="00EA1C10">
        <w:t>e Language, Literacy and Communication Area of Learni</w:t>
      </w:r>
      <w:r w:rsidR="00E249FF">
        <w:t xml:space="preserve">ng the focus skill was to develop their </w:t>
      </w:r>
      <w:proofErr w:type="spellStart"/>
      <w:r w:rsidR="00E249FF">
        <w:t>oracy</w:t>
      </w:r>
      <w:proofErr w:type="spellEnd"/>
      <w:r w:rsidR="00E249FF">
        <w:t xml:space="preserve"> through </w:t>
      </w:r>
      <w:r w:rsidR="00F9214F">
        <w:t>using instructions to complete a practical activity</w:t>
      </w:r>
      <w:r w:rsidR="004B053D">
        <w:t xml:space="preserve"> of making a snowman</w:t>
      </w:r>
      <w:r w:rsidR="00F9214F">
        <w:t xml:space="preserve">. </w:t>
      </w:r>
      <w:r w:rsidR="004B053D">
        <w:t xml:space="preserve">They also had to be able to talk about how they made their snowman using the instructions given. </w:t>
      </w:r>
      <w:r w:rsidR="00F9214F">
        <w:t xml:space="preserve">The Foundation Phase Framework </w:t>
      </w:r>
      <w:r w:rsidR="002111A7">
        <w:t xml:space="preserve">(2015) </w:t>
      </w:r>
      <w:r w:rsidR="00F9214F">
        <w:t xml:space="preserve">states that children in reception should be able to </w:t>
      </w:r>
      <w:r w:rsidR="00E249FF">
        <w:t>‘talk</w:t>
      </w:r>
      <w:r w:rsidR="00F9214F">
        <w:t xml:space="preserve"> about things they have made or done, adding some description.’ </w:t>
      </w:r>
      <w:r w:rsidR="00E364FC">
        <w:t xml:space="preserve">The importance of communication </w:t>
      </w:r>
      <w:r w:rsidR="005178EC">
        <w:t xml:space="preserve">and </w:t>
      </w:r>
      <w:proofErr w:type="spellStart"/>
      <w:r w:rsidR="005178EC">
        <w:t>oracy</w:t>
      </w:r>
      <w:proofErr w:type="spellEnd"/>
      <w:r w:rsidR="005178EC">
        <w:t xml:space="preserve"> </w:t>
      </w:r>
      <w:r w:rsidR="00E364FC">
        <w:t>was first recognised by Vygotsky</w:t>
      </w:r>
      <w:r w:rsidR="00BF213A">
        <w:t xml:space="preserve"> who stated,</w:t>
      </w:r>
      <w:r w:rsidR="00E364FC">
        <w:t xml:space="preserve"> “it is through speech and action with others that we learn to reason and gain individual consciousness” (Vass &amp; Littleton, 2010 (p. 107)).</w:t>
      </w:r>
      <w:r w:rsidR="00BF213A">
        <w:t xml:space="preserve"> </w:t>
      </w:r>
      <w:r w:rsidR="00DF0CE8">
        <w:t xml:space="preserve">By the children working together in groups, they were developing their </w:t>
      </w:r>
      <w:proofErr w:type="spellStart"/>
      <w:r w:rsidR="00DF0CE8">
        <w:t>oracy</w:t>
      </w:r>
      <w:proofErr w:type="spellEnd"/>
      <w:r w:rsidR="00DF0CE8">
        <w:t xml:space="preserve"> and communication skills.</w:t>
      </w:r>
      <w:r w:rsidR="00E364FC">
        <w:t xml:space="preserve"> </w:t>
      </w:r>
      <w:r w:rsidR="002111A7">
        <w:t xml:space="preserve">Within the Mathematical Development Area of Learning, the skill being developed was to use number skills. The Foundation Phase Framework (2015) states that children in reception should be able to mentally recall ‘one more’ and ‘one less’ of a number within 10. </w:t>
      </w:r>
    </w:p>
    <w:p w14:paraId="269C8A2F" w14:textId="5F6B6F3B" w:rsidR="003B0184" w:rsidRDefault="0031427D" w:rsidP="005A4A89">
      <w:r>
        <w:t xml:space="preserve">Teacher subject knowledge includes being knowledgeable about the topic being taught. </w:t>
      </w:r>
      <w:r w:rsidR="003B0184">
        <w:t xml:space="preserve">Within the </w:t>
      </w:r>
      <w:r w:rsidR="002B7816">
        <w:t>Language</w:t>
      </w:r>
      <w:r w:rsidR="003B0184">
        <w:t>,</w:t>
      </w:r>
      <w:r w:rsidR="002B7816">
        <w:t xml:space="preserve"> Literacy and Communication Area of Learning,</w:t>
      </w:r>
      <w:r w:rsidR="003B0184">
        <w:t xml:space="preserve"> the children</w:t>
      </w:r>
      <w:r w:rsidR="002B7816">
        <w:t xml:space="preserve"> in my reception class</w:t>
      </w:r>
      <w:r w:rsidR="003B0184">
        <w:t xml:space="preserve"> completed an activity of building a snowman from given resources by following a set of instructions. </w:t>
      </w:r>
      <w:r w:rsidR="0030232E">
        <w:t>I chose to complete the teaching of instructions by</w:t>
      </w:r>
      <w:r w:rsidR="00DA6BC1">
        <w:t xml:space="preserve"> having the children</w:t>
      </w:r>
      <w:r w:rsidR="0030232E">
        <w:t xml:space="preserve"> build a snowman as it fitted in with the class theme of the film ‘Frozen.’ </w:t>
      </w:r>
      <w:r w:rsidR="003B0184">
        <w:t>I introduced the activity to the whole class on the carpet by going through previous instructions the children had c</w:t>
      </w:r>
      <w:r w:rsidR="00FF4518">
        <w:t>ompleted on how to make</w:t>
      </w:r>
      <w:r w:rsidR="003B0184">
        <w:t xml:space="preserve"> pancakes which they had done the </w:t>
      </w:r>
      <w:r w:rsidR="00084E3D">
        <w:t>previous week</w:t>
      </w:r>
      <w:r w:rsidR="003B0184">
        <w:t xml:space="preserve"> with the</w:t>
      </w:r>
      <w:r w:rsidR="00EE12C0">
        <w:t>ir</w:t>
      </w:r>
      <w:r w:rsidR="003B0184">
        <w:t xml:space="preserve"> class teacher. </w:t>
      </w:r>
      <w:r w:rsidR="00043B44">
        <w:t>This ensured that previous understanding was being challenged and this allowed me to gain an insight into which children would need extra support with the activity to ensure that every child had a sound understanding.</w:t>
      </w:r>
      <w:r w:rsidR="00E322B8">
        <w:t xml:space="preserve"> During this lesson</w:t>
      </w:r>
      <w:r w:rsidR="00043B44">
        <w:t xml:space="preserve"> </w:t>
      </w:r>
      <w:r w:rsidR="00E322B8">
        <w:t xml:space="preserve">I was able to build on the children’s prior learning and was able to understand when it </w:t>
      </w:r>
      <w:r w:rsidR="005B7956">
        <w:t>was</w:t>
      </w:r>
      <w:r w:rsidR="00E322B8">
        <w:t xml:space="preserve"> appropriate to make progressive steps. </w:t>
      </w:r>
      <w:r w:rsidR="0002475A">
        <w:t>During the introduction, t</w:t>
      </w:r>
      <w:r w:rsidR="007E1FFC">
        <w:t xml:space="preserve">he children were able to tell me how to organise instructions, </w:t>
      </w:r>
      <w:r w:rsidR="00F368DC">
        <w:t>for example;</w:t>
      </w:r>
      <w:r w:rsidR="007E1FFC">
        <w:t xml:space="preserve"> using numbers to indicate the order of the instructions as </w:t>
      </w:r>
      <w:r w:rsidR="007E1FFC">
        <w:lastRenderedPageBreak/>
        <w:t xml:space="preserve">well as </w:t>
      </w:r>
      <w:r w:rsidR="00EE12C0">
        <w:t xml:space="preserve">where to use </w:t>
      </w:r>
      <w:r w:rsidR="007E1FFC">
        <w:t>full stops and</w:t>
      </w:r>
      <w:r w:rsidR="00EE12C0">
        <w:t xml:space="preserve"> to identify</w:t>
      </w:r>
      <w:r w:rsidR="007E1FFC">
        <w:t xml:space="preserve"> bossy words. </w:t>
      </w:r>
      <w:r w:rsidR="00F476E5">
        <w:t xml:space="preserve">The ‘knowledge quartet’ is made up of four elements; Foundation, Transformation, Contingency and Connection. I had to ensure I had good understanding of how </w:t>
      </w:r>
      <w:r w:rsidR="00437D75">
        <w:t xml:space="preserve">the </w:t>
      </w:r>
      <w:r w:rsidR="00F476E5">
        <w:t xml:space="preserve">children learn and how they can be taught. </w:t>
      </w:r>
      <w:r w:rsidR="00031257">
        <w:t xml:space="preserve">Vygotsky’s </w:t>
      </w:r>
      <w:r w:rsidR="000E5B27">
        <w:t xml:space="preserve">Social Development theory </w:t>
      </w:r>
      <w:r w:rsidR="00031257">
        <w:t xml:space="preserve">(1978) explains how we can learn more from the presence of a more knowledgeable other. </w:t>
      </w:r>
      <w:r w:rsidR="005178CC">
        <w:t>The use of my explanation of the activity allowed the children to perform the task with my assistance</w:t>
      </w:r>
      <w:r w:rsidR="00C45C95">
        <w:t xml:space="preserve">, therefore, I was the more knowledgeable other. </w:t>
      </w:r>
      <w:r w:rsidR="00577B8D">
        <w:t>For me to be the more knowledgeable other, I had to ensure that I had sound subject knowledge</w:t>
      </w:r>
      <w:r w:rsidR="00146243">
        <w:t xml:space="preserve"> before teaching the lesson.</w:t>
      </w:r>
      <w:r w:rsidR="00577B8D">
        <w:t xml:space="preserve"> I did this by looking at both the Foundation Phase Framework (2015) and the Literacy and Numeracy Framework (2015)</w:t>
      </w:r>
      <w:r w:rsidR="00BB5053">
        <w:t xml:space="preserve"> to gain understanding of where the children should be in terms of the curriculum. I had to ensure </w:t>
      </w:r>
      <w:r w:rsidR="00146243">
        <w:t>t</w:t>
      </w:r>
      <w:r w:rsidR="005640F0">
        <w:t>he activity itself was completed in groups in terms of the children’s ability</w:t>
      </w:r>
      <w:r w:rsidR="00577B8D">
        <w:t xml:space="preserve"> </w:t>
      </w:r>
      <w:r w:rsidR="00C078FF">
        <w:t xml:space="preserve">to allow for the correct amount of support to be given. This also </w:t>
      </w:r>
      <w:r w:rsidR="00577B8D">
        <w:t xml:space="preserve">allowed for </w:t>
      </w:r>
      <w:r w:rsidR="00C078FF">
        <w:t xml:space="preserve">the children to experience </w:t>
      </w:r>
      <w:r w:rsidR="00577B8D">
        <w:t xml:space="preserve">social interaction </w:t>
      </w:r>
      <w:r w:rsidR="00D3045F">
        <w:t xml:space="preserve">which supports Vygotsky’s approach to social development. The children were able to interact with each other when listening to the instructions </w:t>
      </w:r>
      <w:r w:rsidR="00C078FF">
        <w:t xml:space="preserve">given </w:t>
      </w:r>
      <w:r w:rsidR="00937183">
        <w:t>and</w:t>
      </w:r>
      <w:r w:rsidR="00D3045F">
        <w:t xml:space="preserve"> when they had to come up with their own </w:t>
      </w:r>
      <w:r w:rsidR="00937183">
        <w:t xml:space="preserve">set of </w:t>
      </w:r>
      <w:r w:rsidR="00D3045F">
        <w:t>instructions</w:t>
      </w:r>
      <w:r w:rsidR="00937183">
        <w:t xml:space="preserve"> of how they built their snowman</w:t>
      </w:r>
      <w:r w:rsidR="00C078FF">
        <w:t>. This</w:t>
      </w:r>
      <w:r w:rsidR="00D3045F">
        <w:t xml:space="preserve"> supports the skill that </w:t>
      </w:r>
      <w:r w:rsidR="00D47514">
        <w:t>s</w:t>
      </w:r>
      <w:r w:rsidR="00260B82">
        <w:t xml:space="preserve">tates in the Foundation Phase Framework (2015) </w:t>
      </w:r>
      <w:r w:rsidR="001B7FE0">
        <w:t>that</w:t>
      </w:r>
      <w:r w:rsidR="00D47514">
        <w:t xml:space="preserve"> </w:t>
      </w:r>
      <w:r w:rsidR="00D3045F">
        <w:t>reception children should be able to ‘talk about things they have made or done, adding some description</w:t>
      </w:r>
      <w:r w:rsidR="00260B82">
        <w:t>.’</w:t>
      </w:r>
      <w:r w:rsidR="00C34918">
        <w:t xml:space="preserve"> </w:t>
      </w:r>
      <w:r w:rsidR="00F87D87">
        <w:t xml:space="preserve">Littleton &amp; Mercer (2010) states that </w:t>
      </w:r>
      <w:r w:rsidR="002B6C96">
        <w:t>‘</w:t>
      </w:r>
      <w:r w:rsidR="00F87D87">
        <w:t>helping pupils develop better oral language skills can help them become better at reasoning and learning both together and on their own</w:t>
      </w:r>
      <w:r w:rsidR="00A10CFB">
        <w:t>.</w:t>
      </w:r>
      <w:r w:rsidR="002B6C96">
        <w:t>’</w:t>
      </w:r>
      <w:r w:rsidR="00A10CFB">
        <w:t xml:space="preserve"> </w:t>
      </w:r>
      <w:r w:rsidR="00321C9E">
        <w:t>For</w:t>
      </w:r>
      <w:r w:rsidR="00A10CFB">
        <w:t xml:space="preserve"> pupils to achieve this, I needed to ensure that I had reasonable subject knowledge</w:t>
      </w:r>
      <w:r w:rsidR="00FE4CE8">
        <w:t xml:space="preserve"> for the lesson that I was planning to teach. I had to ensure that I had </w:t>
      </w:r>
      <w:r w:rsidR="004A6C94">
        <w:t>good understanding of</w:t>
      </w:r>
      <w:r w:rsidR="00FE4CE8">
        <w:t xml:space="preserve"> what I wanted the children to achieve and how I was going to get them to achieve this. </w:t>
      </w:r>
      <w:r w:rsidR="00D015EF">
        <w:t xml:space="preserve">I used Vygotsky’s scaffolding throughout the activity as this is about assigning tasks that are intriguing to the children with lessons designed to enrich cognitive and social skills. I achieved this by ensuring I had an activity set for the children which would grasp their attention and get them to talk about what they </w:t>
      </w:r>
      <w:r w:rsidR="004C71BF">
        <w:t xml:space="preserve">were </w:t>
      </w:r>
      <w:r w:rsidR="00D015EF">
        <w:t xml:space="preserve">doing with myself and their peers. </w:t>
      </w:r>
      <w:r w:rsidR="00AE1DE6">
        <w:t xml:space="preserve">The theory of scaffolding was introduced by Wood, Bruner and Ross (1976) which explains that scaffolding consists of the activities provided by the educator. Wood et al. (1976, p. 90) defines scaffolding as a process that “enables a child or novice to solve a task or achieve a goal that would be beyond his unassisted efforts.” Scaffolding requires an adult to be in control of what the children are learning and to support the children to help them achieve what they may not be able to achieve on their own. Again, this relates to Vygotsky’s More Knowledgeable Other </w:t>
      </w:r>
      <w:r w:rsidR="0044746C">
        <w:t xml:space="preserve">(1978) </w:t>
      </w:r>
      <w:r w:rsidR="00AE1DE6">
        <w:t xml:space="preserve">as it is seen as important to have a more knowledgeable other to help educate those who are less knowledgeable. I had to ensure that I had sound knowledge to be able to act as the more knowledgeable other for the children to allow them to reach their full potential in education. </w:t>
      </w:r>
    </w:p>
    <w:p w14:paraId="45C2809B" w14:textId="3973FFAD" w:rsidR="00EF50D0" w:rsidRDefault="00EF50D0" w:rsidP="005A4A89">
      <w:r>
        <w:t xml:space="preserve">The children had to follow a set of instructions which I had written out for them on how to build a snowman. The children had to identify where the full stop was placed, which words were the bossy words and how the instructions were indicating their order. </w:t>
      </w:r>
      <w:r w:rsidR="00F31D40">
        <w:t>I provided the children with the appropriate resources needed to make their snowmen such as; dough, straws and skittles.</w:t>
      </w:r>
      <w:r w:rsidR="00B0418F">
        <w:t xml:space="preserve"> After the children built their snowmen, they had to then talk me through how they did it. By getting the children to talk through what they did, they were meeting their </w:t>
      </w:r>
      <w:proofErr w:type="spellStart"/>
      <w:r w:rsidR="00B0418F">
        <w:t>oracy</w:t>
      </w:r>
      <w:proofErr w:type="spellEnd"/>
      <w:r w:rsidR="00B0418F">
        <w:t xml:space="preserve"> skill from the </w:t>
      </w:r>
      <w:r w:rsidR="00197347">
        <w:t xml:space="preserve">Foundation Phase Framework (2015) </w:t>
      </w:r>
      <w:r w:rsidR="00B0418F">
        <w:t xml:space="preserve">which states that the children should be able to ‘talk about things they have made or done, adding some description.’ Before teaching this lesson to my reception class, I had to make sure that the children were going to be able to achieve the skill from the </w:t>
      </w:r>
      <w:r w:rsidR="003A28CC">
        <w:t xml:space="preserve">Foundation Phase Framework </w:t>
      </w:r>
      <w:r w:rsidR="00B0418F">
        <w:t>(2015). I had to put this into my lesson plan and clearly indicate how the children were going to achieve the skill. This was on my consci</w:t>
      </w:r>
      <w:r w:rsidR="00C96CE5">
        <w:t>ence</w:t>
      </w:r>
      <w:r w:rsidR="00B0418F">
        <w:t xml:space="preserve"> throughout this lesson as it was my responsibility to ensure the children were achieving in line with the curriculum. </w:t>
      </w:r>
      <w:r w:rsidR="00EE272A">
        <w:t xml:space="preserve">The children of the higher ability groups had to help me write up our own set of instructions on how to build a snowman based on what they did to build their snowman. </w:t>
      </w:r>
      <w:r w:rsidR="0099301A">
        <w:t xml:space="preserve">For the lower ability children, I had them end the </w:t>
      </w:r>
      <w:r w:rsidR="0099301A">
        <w:lastRenderedPageBreak/>
        <w:t xml:space="preserve">session </w:t>
      </w:r>
      <w:r w:rsidR="000862FD">
        <w:t>by</w:t>
      </w:r>
      <w:r w:rsidR="0099301A">
        <w:t xml:space="preserve"> telling me what they did to build their snowman, again, indicating the bossy words used. </w:t>
      </w:r>
      <w:r w:rsidR="00CF5CA5">
        <w:t xml:space="preserve">The outcome of the activity varied between the groups of children, with some children finding it quite straightforward considering it was planned to be in line with their expected level in the curriculum. </w:t>
      </w:r>
      <w:r w:rsidR="009F421A">
        <w:t xml:space="preserve">I think that I had </w:t>
      </w:r>
      <w:r w:rsidR="004B44F1">
        <w:t xml:space="preserve">planned and delivered the session well to the children and I was pleased with the outcomes of the activity. </w:t>
      </w:r>
    </w:p>
    <w:p w14:paraId="17585AC7" w14:textId="58B21C7F" w:rsidR="00943FF7" w:rsidRDefault="00FD230A" w:rsidP="005A4A89">
      <w:r>
        <w:t>The subject knowledge that I needed to ensure I had for this activity was straightforward. I think this because I have a strong subject knowledge in Language and Literacy as I ha</w:t>
      </w:r>
      <w:r w:rsidR="00DF3D5E">
        <w:t>ve</w:t>
      </w:r>
      <w:r>
        <w:t xml:space="preserve"> studied this myself at A-level. </w:t>
      </w:r>
      <w:r w:rsidR="00AB40EC">
        <w:t>As well as this, t</w:t>
      </w:r>
      <w:r>
        <w:t xml:space="preserve">he fact that the class teacher had done instruction work with the children prior to this lesson made it easier for me to teach this lesson. The children had a reasonable understanding already on the use of instructions and what instructions include in terms of literacy and language. </w:t>
      </w:r>
      <w:r w:rsidR="00612890">
        <w:t>The children were able to work well and achieve what I had planned for them to achieve during this lesson.</w:t>
      </w:r>
      <w:r w:rsidR="00F476E5">
        <w:t xml:space="preserve"> </w:t>
      </w:r>
    </w:p>
    <w:p w14:paraId="6B2406DE" w14:textId="4B905E41" w:rsidR="00FD230A" w:rsidRDefault="00943FF7" w:rsidP="005A4A89">
      <w:r w:rsidRPr="00943FF7">
        <w:t xml:space="preserve">Within the Mathematical Development Area of Learning, the skill being developed was to use number skills. The Foundation Phase Framework (2015) states that children in reception should be able to </w:t>
      </w:r>
      <w:r w:rsidR="00DE58C3">
        <w:t>‘</w:t>
      </w:r>
      <w:r w:rsidRPr="00943FF7">
        <w:t>mentally recall ‘one more’ and ‘one less’ of a number within 10.</w:t>
      </w:r>
      <w:r w:rsidR="00DE58C3">
        <w:t>’</w:t>
      </w:r>
      <w:r>
        <w:t xml:space="preserve"> The class teacher had introduced ‘one more’ and ‘one less’ to the whole class whilst they were sat on the carpet. </w:t>
      </w:r>
      <w:r w:rsidR="008B45D4">
        <w:t xml:space="preserve">The teacher had used mathematics songs for the children to listen to and follow as well as using a number line to show ‘one more’ and ‘one less’ of a number within 10. The teacher had the children to answer questions based on the introduction of ‘one more’ and ‘one less.’ </w:t>
      </w:r>
      <w:r>
        <w:t xml:space="preserve">From this, the children completed their mathematics activity within their groups of ability with me. </w:t>
      </w:r>
      <w:r w:rsidR="00381359">
        <w:t xml:space="preserve">I used </w:t>
      </w:r>
      <w:proofErr w:type="spellStart"/>
      <w:r w:rsidR="00381359">
        <w:t>numicon</w:t>
      </w:r>
      <w:proofErr w:type="spellEnd"/>
      <w:r w:rsidR="00381359">
        <w:t xml:space="preserve"> pieces to teach the principle of ‘one more’ and ‘one less’ to the children. </w:t>
      </w:r>
      <w:r w:rsidR="00456F22">
        <w:t>As part of the ‘knowledge quartet,’ I had to use the Transformation element. I demonstrated what I wanted the children to</w:t>
      </w:r>
      <w:r w:rsidR="00B31FBD">
        <w:t xml:space="preserve"> do</w:t>
      </w:r>
      <w:r w:rsidR="00456F22">
        <w:t xml:space="preserve"> whilst explaining what I was doing. This ensured that I was able to get the children to understand what was expected of them. I also had to ensure that I selected appropriate materials to support my teaching. </w:t>
      </w:r>
      <w:r w:rsidR="00381359">
        <w:t xml:space="preserve">The use of learning materials </w:t>
      </w:r>
      <w:r w:rsidR="00A514C6">
        <w:t>is</w:t>
      </w:r>
      <w:r w:rsidR="00381359">
        <w:t xml:space="preserve"> important to children’s learning as it can increase children’s understanding of what is being taught. </w:t>
      </w:r>
      <w:r w:rsidR="00A514C6">
        <w:t xml:space="preserve">The use of </w:t>
      </w:r>
      <w:r w:rsidR="003105D1">
        <w:t xml:space="preserve">the </w:t>
      </w:r>
      <w:proofErr w:type="spellStart"/>
      <w:r w:rsidR="003105D1">
        <w:t>numicon</w:t>
      </w:r>
      <w:proofErr w:type="spellEnd"/>
      <w:r w:rsidR="003105D1">
        <w:t xml:space="preserve"> pieces during my mathematics lesson helped the children gauge the concept of ‘one more’ and ‘one less’ as they were visually able to picture adding on one and taking away one. </w:t>
      </w:r>
      <w:r w:rsidR="00C86F79">
        <w:t xml:space="preserve">Piaget’s Theory of Cognitive Development (1936) is about how “a child constructs a mental model of the world.” According to his theory, children should not be taught certain concepts until they have reached the appropriate stage of cognitive development. Piaget’s discovery learning is the idea that ‘children learn best through doing and actively exploring’ (1952). </w:t>
      </w:r>
      <w:r w:rsidR="003432BB">
        <w:t>I had planned the mathematics lesson to support Piaget’s theory as I agree that children learn best through doing. I had ensured that I had planned the teaching to involve a practical activity for the children to complete</w:t>
      </w:r>
      <w:r w:rsidR="00BA72B3">
        <w:t xml:space="preserve"> in order to improve their number skills. </w:t>
      </w:r>
      <w:r w:rsidR="003432BB">
        <w:t xml:space="preserve">The children were given a </w:t>
      </w:r>
      <w:proofErr w:type="spellStart"/>
      <w:r w:rsidR="003432BB">
        <w:t>numicon</w:t>
      </w:r>
      <w:proofErr w:type="spellEnd"/>
      <w:r w:rsidR="003432BB">
        <w:t xml:space="preserve"> piece, each child with a different number, wh</w:t>
      </w:r>
      <w:r w:rsidR="00EB3B12">
        <w:t>ere</w:t>
      </w:r>
      <w:r w:rsidR="003432BB">
        <w:t xml:space="preserve"> they had to work out what ‘one more’ and ‘one less’ was of the number they were given. The children of higher ability had to write ‘one more’ and ‘one less’ of the number onto a whiteboard which also allowed them to work </w:t>
      </w:r>
      <w:r w:rsidR="00371AE0">
        <w:t xml:space="preserve">on </w:t>
      </w:r>
      <w:r w:rsidR="003432BB">
        <w:t>writing their number</w:t>
      </w:r>
      <w:r w:rsidR="0020395B">
        <w:t xml:space="preserve">s. </w:t>
      </w:r>
      <w:r w:rsidR="00371AE0">
        <w:t xml:space="preserve">For the lower ability children, they had to say what ‘one more’ and ‘one less’ of their number was. </w:t>
      </w:r>
      <w:r w:rsidR="0020395B">
        <w:t xml:space="preserve">By differentiating between the higher and lower ability groups, I was able to offer alternative explanations and examples which links to the element of Contingency from the ‘knowledge quartet.’ </w:t>
      </w:r>
      <w:r w:rsidR="004C38AD">
        <w:t xml:space="preserve">The children </w:t>
      </w:r>
      <w:r w:rsidR="00864EDF">
        <w:t>had to</w:t>
      </w:r>
      <w:r w:rsidR="004C38AD">
        <w:t xml:space="preserve"> physically add on one single </w:t>
      </w:r>
      <w:proofErr w:type="spellStart"/>
      <w:r w:rsidR="004C38AD">
        <w:t>numicon</w:t>
      </w:r>
      <w:proofErr w:type="spellEnd"/>
      <w:r w:rsidR="004C38AD">
        <w:t xml:space="preserve"> piece to their original </w:t>
      </w:r>
      <w:proofErr w:type="spellStart"/>
      <w:r w:rsidR="004C38AD">
        <w:t>numicon</w:t>
      </w:r>
      <w:proofErr w:type="spellEnd"/>
      <w:r w:rsidR="004C38AD">
        <w:t xml:space="preserve"> piece which meant that they could see that they were adding on ‘one more.’</w:t>
      </w:r>
      <w:r w:rsidR="00140CC0">
        <w:t xml:space="preserve"> To work out ‘one less’ of their </w:t>
      </w:r>
      <w:proofErr w:type="spellStart"/>
      <w:r w:rsidR="00140CC0">
        <w:t>numicon</w:t>
      </w:r>
      <w:proofErr w:type="spellEnd"/>
      <w:r w:rsidR="00140CC0">
        <w:t xml:space="preserve"> piece, they had to use their fingers to cover one of the circles in the </w:t>
      </w:r>
      <w:proofErr w:type="spellStart"/>
      <w:r w:rsidR="00140CC0">
        <w:t>numicon</w:t>
      </w:r>
      <w:proofErr w:type="spellEnd"/>
      <w:r w:rsidR="00140CC0">
        <w:t xml:space="preserve"> piece. </w:t>
      </w:r>
      <w:r w:rsidR="00B25B10">
        <w:t xml:space="preserve">Bruner (1966) proposed three models of representations, one of which is the Iconic representation. </w:t>
      </w:r>
      <w:r w:rsidR="008E3033">
        <w:t xml:space="preserve">He claims that this takes place between 1-6 years old. The Iconic representation is where information is stored visually in the form of images. </w:t>
      </w:r>
      <w:r w:rsidR="00175FC0">
        <w:t>The</w:t>
      </w:r>
      <w:r w:rsidR="008E3033">
        <w:t xml:space="preserve"> use of the visual of ‘one more’ and ‘one less’ of a number using the </w:t>
      </w:r>
      <w:proofErr w:type="spellStart"/>
      <w:r w:rsidR="008E3033">
        <w:t>numicon</w:t>
      </w:r>
      <w:proofErr w:type="spellEnd"/>
      <w:r w:rsidR="008E3033">
        <w:t xml:space="preserve"> pieces supports Bruner’s Iconic representation theory. </w:t>
      </w:r>
      <w:r w:rsidR="00EE0F09">
        <w:t xml:space="preserve">It </w:t>
      </w:r>
      <w:r w:rsidR="00EE0F09">
        <w:lastRenderedPageBreak/>
        <w:t xml:space="preserve">was important that I had sound subject knowledge before teaching this lesson as I had to ensure that I knew exactly what I wanted the children to learn as well as ensuring that they were achieving in line with the curriculum. </w:t>
      </w:r>
      <w:r w:rsidR="00FB7A3F">
        <w:t xml:space="preserve">Whilst planning this lesson I had looked through a handbook on how to teach mathematics using </w:t>
      </w:r>
      <w:proofErr w:type="spellStart"/>
      <w:r w:rsidR="00FB7A3F">
        <w:t>numicon</w:t>
      </w:r>
      <w:proofErr w:type="spellEnd"/>
      <w:r w:rsidR="00FB7A3F">
        <w:t xml:space="preserve"> to help myself gain a better knowledge of using </w:t>
      </w:r>
      <w:proofErr w:type="spellStart"/>
      <w:r w:rsidR="00FB7A3F">
        <w:t>numicon</w:t>
      </w:r>
      <w:proofErr w:type="spellEnd"/>
      <w:r w:rsidR="00FB7A3F">
        <w:t xml:space="preserve"> pieces for my lesson. By using the handbook on how to teach mathematics using </w:t>
      </w:r>
      <w:proofErr w:type="spellStart"/>
      <w:r w:rsidR="00FB7A3F">
        <w:t>numicon</w:t>
      </w:r>
      <w:proofErr w:type="spellEnd"/>
      <w:r w:rsidR="00FB7A3F">
        <w:t xml:space="preserve"> pieces, I was ensuring that I knew how to effectively deliver a session involving </w:t>
      </w:r>
      <w:proofErr w:type="spellStart"/>
      <w:r w:rsidR="00FB7A3F">
        <w:t>numicon</w:t>
      </w:r>
      <w:proofErr w:type="spellEnd"/>
      <w:r w:rsidR="00FB7A3F">
        <w:t xml:space="preserve"> pieces. This links to the importance of teacher subject knowledge as </w:t>
      </w:r>
      <w:r w:rsidR="00884A2F">
        <w:t xml:space="preserve">I had taken the time to educate myself on how to use mathematics resources to teach the National Curriculum to the children in my class. I had to ensure that I was confident in what I was going to be teaching to ensure that the children were achieving what I wanted them to achieve. </w:t>
      </w:r>
    </w:p>
    <w:p w14:paraId="66E99CBC" w14:textId="1559CCB9" w:rsidR="00EB5ECC" w:rsidRDefault="00032E09" w:rsidP="005A4A89">
      <w:r>
        <w:t>Understanding Mathematics for Young Children (2017) expresses t</w:t>
      </w:r>
      <w:r w:rsidR="00EB5ECC">
        <w:t xml:space="preserve">he importance of teaching mathematics in the foundation phase </w:t>
      </w:r>
      <w:r w:rsidR="002B02F7">
        <w:t xml:space="preserve">as this </w:t>
      </w:r>
      <w:r w:rsidR="00EB5ECC">
        <w:t xml:space="preserve">is what </w:t>
      </w:r>
      <w:r w:rsidR="00EB5BA3">
        <w:t>‘</w:t>
      </w:r>
      <w:r w:rsidR="00EB5ECC">
        <w:t xml:space="preserve">lays the foundations for later experiences of </w:t>
      </w:r>
      <w:r w:rsidR="004C6A45">
        <w:t>number.</w:t>
      </w:r>
      <w:r w:rsidR="00EB5BA3">
        <w:t>’</w:t>
      </w:r>
      <w:r w:rsidR="004C6A45">
        <w:t xml:space="preserve"> The book says, “the principle is simply that the next number after any given number is always one more. </w:t>
      </w:r>
      <w:proofErr w:type="gramStart"/>
      <w:r w:rsidR="004C6A45">
        <w:t>So</w:t>
      </w:r>
      <w:proofErr w:type="gramEnd"/>
      <w:r w:rsidR="004C6A45">
        <w:t xml:space="preserve"> seven is one more than six, because it is the </w:t>
      </w:r>
      <w:r w:rsidR="00B568C0">
        <w:t>next number after six.” Having also read through this book during my Professional Teaching Experience, it helped me gain more knowledge on understanding mathematics and how to teach it. This meant that I was ensuring I had sound subject knowledge before teaching the lesson to the children meaning that I was able to deliver an effective lesson.</w:t>
      </w:r>
      <w:r w:rsidR="008D12EE">
        <w:t xml:space="preserve"> </w:t>
      </w:r>
    </w:p>
    <w:p w14:paraId="594914BE" w14:textId="3C543796" w:rsidR="0052217B" w:rsidRDefault="0052217B" w:rsidP="005A4A89">
      <w:r>
        <w:t xml:space="preserve">The </w:t>
      </w:r>
      <w:r w:rsidR="00FA3EBB">
        <w:t xml:space="preserve">use of my personal subject knowledge affected the children’s learning as I knew what I was teaching and how to teach it when teaching both the language skill and the mathematics skills. I was able to choose appropriate activities for the children to complete in order to achieve the chosen skill. I had differentiated the activities for the higher and lower ability groups in both the language and mathematics lessons. I was able to adapt my delivery of the lessons to meet the needs of each learner to allow for every child to achieve. My attitude </w:t>
      </w:r>
      <w:r w:rsidR="00D44F5E">
        <w:t>and beliefs influenced my teaching positively as I had to ensure that I had good subject knowledge of what I was going to be teaching</w:t>
      </w:r>
      <w:r w:rsidR="00ED37E1">
        <w:t xml:space="preserve"> which I did through looking at handbooks etc. </w:t>
      </w:r>
      <w:r w:rsidR="00D44F5E">
        <w:t xml:space="preserve">I had to ensure I was using appropriate and accurate terminology when teaching the children to ensure that they were aware of key words and elements of the lesson I was teaching. </w:t>
      </w:r>
      <w:r w:rsidR="001D2D46">
        <w:t xml:space="preserve">I did this by altering my explanations so that each child could understand the activity they needed to </w:t>
      </w:r>
      <w:r w:rsidR="00B335D7">
        <w:t xml:space="preserve">complete, and I continuously used key words throughout </w:t>
      </w:r>
      <w:r w:rsidR="00E66095">
        <w:t>both lessons</w:t>
      </w:r>
      <w:r w:rsidR="00B335D7">
        <w:t xml:space="preserve">. </w:t>
      </w:r>
      <w:r w:rsidR="001E6F5A">
        <w:t>In Donaldson’s Successful Futures (2015), he states that “good teaching and learning sets tasks and selects resources that build on previous knowledge and experience and engage interest.” Taking this into account, I had to ensure that I was focusing on the tasks I was setting for the children along with the resources they would be using. I did this in both the teaching of the language and mathematics skills which I believe is a good example of my pedagogical skills.</w:t>
      </w:r>
      <w:r w:rsidR="0000226F">
        <w:t xml:space="preserve"> </w:t>
      </w:r>
      <w:r w:rsidR="00394124">
        <w:t xml:space="preserve">Like I said earlier on in this essay, sound subject knowledge and good pedagogical skills are both needed in order to make a good teacher. </w:t>
      </w:r>
      <w:r w:rsidR="0000226F">
        <w:t xml:space="preserve">Teacher subject knowledge is vital to teaching as without it, the learners would not be able to achieve the skills which are set out for them in the National Curriculum. Having teacher subject knowledge allows for good teaching to take place and therefore, will ensure effective learning for all learners. </w:t>
      </w:r>
    </w:p>
    <w:p w14:paraId="1DD5F59F" w14:textId="77777777" w:rsidR="00B568C0" w:rsidRDefault="00B568C0" w:rsidP="005A4A89"/>
    <w:p w14:paraId="233D3824" w14:textId="77777777" w:rsidR="00EF50D0" w:rsidRDefault="00EF50D0" w:rsidP="005A4A89">
      <w:pPr>
        <w:rPr>
          <w:u w:val="single"/>
        </w:rPr>
      </w:pPr>
    </w:p>
    <w:p w14:paraId="4B174AEC" w14:textId="77777777" w:rsidR="00EF50D0" w:rsidRDefault="00EF50D0" w:rsidP="005A4A89">
      <w:pPr>
        <w:rPr>
          <w:u w:val="single"/>
        </w:rPr>
      </w:pPr>
    </w:p>
    <w:p w14:paraId="01F2601C" w14:textId="77777777" w:rsidR="00EF50D0" w:rsidRDefault="00EF50D0" w:rsidP="005A4A89">
      <w:pPr>
        <w:rPr>
          <w:u w:val="single"/>
        </w:rPr>
      </w:pPr>
    </w:p>
    <w:p w14:paraId="403F5F23" w14:textId="77777777" w:rsidR="003E0E11" w:rsidRDefault="003E0E11" w:rsidP="005A4A89">
      <w:pPr>
        <w:rPr>
          <w:u w:val="single"/>
        </w:rPr>
      </w:pPr>
    </w:p>
    <w:p w14:paraId="0408BA6F" w14:textId="619585EA" w:rsidR="00B75521" w:rsidRPr="00D94A32" w:rsidRDefault="00AD3653" w:rsidP="005A4A89">
      <w:r w:rsidRPr="00AD3653">
        <w:rPr>
          <w:u w:val="single"/>
        </w:rPr>
        <w:lastRenderedPageBreak/>
        <w:t>Reference list</w:t>
      </w:r>
      <w:r w:rsidR="002274CD" w:rsidRPr="00AD3653">
        <w:rPr>
          <w:u w:val="single"/>
        </w:rPr>
        <w:t xml:space="preserve"> </w:t>
      </w:r>
    </w:p>
    <w:p w14:paraId="58DA8C99" w14:textId="55177322" w:rsidR="00AD3653" w:rsidRDefault="00AD3653" w:rsidP="005A4A89">
      <w:r>
        <w:t xml:space="preserve">Department for Education and Skills (2015) </w:t>
      </w:r>
      <w:r>
        <w:rPr>
          <w:i/>
        </w:rPr>
        <w:t xml:space="preserve">Foundation Phase Framework (Revised 2015). </w:t>
      </w:r>
      <w:r>
        <w:t xml:space="preserve">Cardiff: Welsh Government. Available at: </w:t>
      </w:r>
      <w:hyperlink r:id="rId7" w:history="1">
        <w:r w:rsidRPr="005A6A70">
          <w:rPr>
            <w:rStyle w:val="Hyperlink"/>
          </w:rPr>
          <w:t>https://learning.gov.wales/docs/learningwales/publications/150803-fp-framework-en.pdf</w:t>
        </w:r>
      </w:hyperlink>
      <w:r>
        <w:t xml:space="preserve"> </w:t>
      </w:r>
    </w:p>
    <w:p w14:paraId="3D5595A9" w14:textId="08B70C69" w:rsidR="0064556B" w:rsidRPr="0064556B" w:rsidRDefault="0064556B" w:rsidP="00BF4E81">
      <w:pPr>
        <w:rPr>
          <w:rFonts w:cstheme="minorHAnsi"/>
        </w:rPr>
      </w:pPr>
      <w:r w:rsidRPr="0064556B">
        <w:rPr>
          <w:rFonts w:cstheme="minorHAnsi"/>
          <w:shd w:val="clear" w:color="auto" w:fill="FFFFFF"/>
        </w:rPr>
        <w:t xml:space="preserve">Vass, E &amp; Littleton, K 2010, </w:t>
      </w:r>
      <w:r w:rsidRPr="0064556B">
        <w:rPr>
          <w:rFonts w:cstheme="minorHAnsi"/>
        </w:rPr>
        <w:t>Peer collaboration and learning in the classroom</w:t>
      </w:r>
      <w:r w:rsidRPr="0064556B">
        <w:rPr>
          <w:rFonts w:cstheme="minorHAnsi"/>
          <w:shd w:val="clear" w:color="auto" w:fill="FFFFFF"/>
        </w:rPr>
        <w:t xml:space="preserve">. in K Littleton, C Wood &amp; J </w:t>
      </w:r>
      <w:proofErr w:type="spellStart"/>
      <w:r w:rsidRPr="0064556B">
        <w:rPr>
          <w:rFonts w:cstheme="minorHAnsi"/>
          <w:shd w:val="clear" w:color="auto" w:fill="FFFFFF"/>
        </w:rPr>
        <w:t>Kleine</w:t>
      </w:r>
      <w:proofErr w:type="spellEnd"/>
      <w:r w:rsidRPr="0064556B">
        <w:rPr>
          <w:rFonts w:cstheme="minorHAnsi"/>
          <w:shd w:val="clear" w:color="auto" w:fill="FFFFFF"/>
        </w:rPr>
        <w:t xml:space="preserve"> </w:t>
      </w:r>
      <w:proofErr w:type="spellStart"/>
      <w:r w:rsidRPr="0064556B">
        <w:rPr>
          <w:rFonts w:cstheme="minorHAnsi"/>
          <w:shd w:val="clear" w:color="auto" w:fill="FFFFFF"/>
        </w:rPr>
        <w:t>Staarman</w:t>
      </w:r>
      <w:proofErr w:type="spellEnd"/>
      <w:r w:rsidRPr="0064556B">
        <w:rPr>
          <w:rFonts w:cstheme="minorHAnsi"/>
          <w:shd w:val="clear" w:color="auto" w:fill="FFFFFF"/>
        </w:rPr>
        <w:t xml:space="preserve"> (eds), </w:t>
      </w:r>
      <w:r w:rsidRPr="0064556B">
        <w:rPr>
          <w:rStyle w:val="Emphasis"/>
          <w:rFonts w:cstheme="minorHAnsi"/>
        </w:rPr>
        <w:t>International Handbook of Psychology in Education.</w:t>
      </w:r>
      <w:r w:rsidRPr="0064556B">
        <w:rPr>
          <w:rFonts w:cstheme="minorHAnsi"/>
          <w:shd w:val="clear" w:color="auto" w:fill="FFFFFF"/>
        </w:rPr>
        <w:t xml:space="preserve"> Emerald Group Publishing Ltd., Bingley.</w:t>
      </w:r>
    </w:p>
    <w:p w14:paraId="32914468" w14:textId="7E58536A" w:rsidR="00CE745E" w:rsidRPr="00CE745E" w:rsidRDefault="00CE745E" w:rsidP="00BF4E81">
      <w:pPr>
        <w:rPr>
          <w:rFonts w:cstheme="minorHAnsi"/>
        </w:rPr>
      </w:pPr>
      <w:r w:rsidRPr="00CE745E">
        <w:rPr>
          <w:rFonts w:cstheme="minorHAnsi"/>
          <w:color w:val="171717"/>
          <w:shd w:val="clear" w:color="auto" w:fill="FFFFFF"/>
        </w:rPr>
        <w:t xml:space="preserve">Littleton, K. &amp; </w:t>
      </w:r>
      <w:r w:rsidRPr="006D7693">
        <w:rPr>
          <w:rStyle w:val="Strong"/>
          <w:rFonts w:cstheme="minorHAnsi"/>
          <w:b w:val="0"/>
          <w:color w:val="171717"/>
        </w:rPr>
        <w:t>Mercer, N.</w:t>
      </w:r>
      <w:r w:rsidRPr="00CE745E">
        <w:rPr>
          <w:rStyle w:val="Strong"/>
          <w:rFonts w:cstheme="minorHAnsi"/>
          <w:color w:val="171717"/>
        </w:rPr>
        <w:t xml:space="preserve"> </w:t>
      </w:r>
      <w:r w:rsidRPr="00CE745E">
        <w:rPr>
          <w:rFonts w:cstheme="minorHAnsi"/>
          <w:color w:val="171717"/>
          <w:shd w:val="clear" w:color="auto" w:fill="FFFFFF"/>
        </w:rPr>
        <w:t xml:space="preserve">(2010) The significance of educational dialogues between primary school children. In C. Howe and K. Littleton (eds), </w:t>
      </w:r>
      <w:r w:rsidRPr="00CE745E">
        <w:rPr>
          <w:rStyle w:val="Emphasis"/>
          <w:rFonts w:cstheme="minorHAnsi"/>
          <w:color w:val="171717"/>
        </w:rPr>
        <w:t>Educational Dialogues</w:t>
      </w:r>
      <w:r w:rsidRPr="00CE745E">
        <w:rPr>
          <w:rFonts w:cstheme="minorHAnsi"/>
          <w:color w:val="171717"/>
          <w:shd w:val="clear" w:color="auto" w:fill="FFFFFF"/>
        </w:rPr>
        <w:t>. London: Routledge.</w:t>
      </w:r>
    </w:p>
    <w:p w14:paraId="34A1E729" w14:textId="14C3B206" w:rsidR="00623348" w:rsidRPr="00623348" w:rsidRDefault="00623348" w:rsidP="00BF4E81">
      <w:pPr>
        <w:rPr>
          <w:rFonts w:cstheme="minorHAnsi"/>
        </w:rPr>
      </w:pPr>
      <w:r w:rsidRPr="00623348">
        <w:rPr>
          <w:rFonts w:cstheme="minorHAnsi"/>
          <w:color w:val="000000"/>
          <w:shd w:val="clear" w:color="auto" w:fill="FFFFFF"/>
        </w:rPr>
        <w:t xml:space="preserve">Vygotsky, L. S. (1978). </w:t>
      </w:r>
      <w:r w:rsidRPr="00623348">
        <w:rPr>
          <w:rStyle w:val="Emphasis"/>
          <w:rFonts w:cstheme="minorHAnsi"/>
          <w:color w:val="000000"/>
        </w:rPr>
        <w:t>Mind in society: The development of higher psychological processes</w:t>
      </w:r>
      <w:r w:rsidRPr="00623348">
        <w:rPr>
          <w:rFonts w:cstheme="minorHAnsi"/>
          <w:color w:val="000000"/>
          <w:shd w:val="clear" w:color="auto" w:fill="FFFFFF"/>
        </w:rPr>
        <w:t xml:space="preserve">. Cambridge, MA: Harvard University Press. </w:t>
      </w:r>
    </w:p>
    <w:p w14:paraId="0E7B2248" w14:textId="1BF31395" w:rsidR="00F170D2" w:rsidRDefault="00623348" w:rsidP="00F170D2">
      <w:pPr>
        <w:rPr>
          <w:rFonts w:cstheme="minorHAnsi"/>
          <w:color w:val="000000"/>
          <w:shd w:val="clear" w:color="auto" w:fill="FFFFFF"/>
        </w:rPr>
      </w:pPr>
      <w:r w:rsidRPr="00623348">
        <w:rPr>
          <w:rFonts w:cstheme="minorHAnsi"/>
          <w:color w:val="000000"/>
          <w:shd w:val="clear" w:color="auto" w:fill="FFFFFF"/>
        </w:rPr>
        <w:t xml:space="preserve">Wood, D., Bruner, J., &amp; Ross, G. (1976). The role of tutoring in problem solving. </w:t>
      </w:r>
      <w:r w:rsidRPr="00623348">
        <w:rPr>
          <w:rStyle w:val="Emphasis"/>
          <w:rFonts w:cstheme="minorHAnsi"/>
          <w:color w:val="000000"/>
        </w:rPr>
        <w:t>Journal of Child Psychology and Child Psychiatry</w:t>
      </w:r>
      <w:r w:rsidRPr="00623348">
        <w:rPr>
          <w:rFonts w:cstheme="minorHAnsi"/>
          <w:color w:val="000000"/>
          <w:shd w:val="clear" w:color="auto" w:fill="FFFFFF"/>
        </w:rPr>
        <w:t>, 17, 89−100.</w:t>
      </w:r>
    </w:p>
    <w:p w14:paraId="5742FA5E" w14:textId="54494CA2" w:rsidR="000D2BDE" w:rsidRDefault="000D2BDE" w:rsidP="00F170D2">
      <w:pPr>
        <w:rPr>
          <w:rFonts w:cstheme="minorHAnsi"/>
          <w:color w:val="000000"/>
          <w:szCs w:val="26"/>
          <w:shd w:val="clear" w:color="auto" w:fill="FFFFFF"/>
        </w:rPr>
      </w:pPr>
      <w:r w:rsidRPr="000D2BDE">
        <w:rPr>
          <w:rFonts w:cstheme="minorHAnsi"/>
          <w:color w:val="000000"/>
          <w:szCs w:val="26"/>
          <w:shd w:val="clear" w:color="auto" w:fill="FFFFFF"/>
        </w:rPr>
        <w:t xml:space="preserve">Piaget, J., &amp; Cook, M. T. (1952). </w:t>
      </w:r>
      <w:r w:rsidRPr="000D2BDE">
        <w:rPr>
          <w:rStyle w:val="Emphasis"/>
          <w:rFonts w:cstheme="minorHAnsi"/>
          <w:color w:val="000000"/>
          <w:szCs w:val="26"/>
        </w:rPr>
        <w:t>The origins of intelligence in children</w:t>
      </w:r>
      <w:r w:rsidRPr="000D2BDE">
        <w:rPr>
          <w:rFonts w:cstheme="minorHAnsi"/>
          <w:color w:val="000000"/>
          <w:szCs w:val="26"/>
          <w:shd w:val="clear" w:color="auto" w:fill="FFFFFF"/>
        </w:rPr>
        <w:t>. New York, NY: International University Press.</w:t>
      </w:r>
    </w:p>
    <w:p w14:paraId="1B0DC9BB" w14:textId="24F24521" w:rsidR="000D2BDE" w:rsidRDefault="00B07F6E" w:rsidP="00F170D2">
      <w:pPr>
        <w:rPr>
          <w:rFonts w:cstheme="minorHAnsi"/>
          <w:color w:val="000000"/>
          <w:szCs w:val="26"/>
          <w:shd w:val="clear" w:color="auto" w:fill="FFFFFF"/>
        </w:rPr>
      </w:pPr>
      <w:r w:rsidRPr="00B07F6E">
        <w:rPr>
          <w:rFonts w:cstheme="minorHAnsi"/>
          <w:color w:val="000000"/>
          <w:szCs w:val="26"/>
          <w:shd w:val="clear" w:color="auto" w:fill="FFFFFF"/>
        </w:rPr>
        <w:t xml:space="preserve">Piaget, J. (1936). </w:t>
      </w:r>
      <w:r w:rsidRPr="00B07F6E">
        <w:rPr>
          <w:rStyle w:val="Emphasis"/>
          <w:rFonts w:cstheme="minorHAnsi"/>
          <w:color w:val="000000"/>
          <w:szCs w:val="26"/>
        </w:rPr>
        <w:t>Origins of intelligence in the child.</w:t>
      </w:r>
      <w:r w:rsidRPr="00B07F6E">
        <w:rPr>
          <w:rFonts w:cstheme="minorHAnsi"/>
          <w:color w:val="000000"/>
          <w:szCs w:val="26"/>
          <w:shd w:val="clear" w:color="auto" w:fill="FFFFFF"/>
        </w:rPr>
        <w:t xml:space="preserve"> London: Routledge &amp; Kegan Paul.</w:t>
      </w:r>
    </w:p>
    <w:p w14:paraId="7B0CED53" w14:textId="77777777" w:rsidR="00004CB2" w:rsidRDefault="009E08CF" w:rsidP="009E08CF">
      <w:pPr>
        <w:tabs>
          <w:tab w:val="left" w:pos="8038"/>
        </w:tabs>
        <w:rPr>
          <w:rFonts w:cstheme="minorHAnsi"/>
          <w:color w:val="000000"/>
          <w:szCs w:val="42"/>
          <w:shd w:val="clear" w:color="auto" w:fill="FFFFFF"/>
        </w:rPr>
      </w:pPr>
      <w:r w:rsidRPr="009E08CF">
        <w:rPr>
          <w:rFonts w:cstheme="minorHAnsi"/>
          <w:color w:val="000000"/>
          <w:szCs w:val="42"/>
          <w:shd w:val="clear" w:color="auto" w:fill="FFFFFF"/>
        </w:rPr>
        <w:t>Bruner, J. S. (1966).</w:t>
      </w:r>
      <w:r w:rsidRPr="009E08CF">
        <w:rPr>
          <w:rStyle w:val="Emphasis"/>
          <w:rFonts w:cstheme="minorHAnsi"/>
          <w:color w:val="000000"/>
          <w:szCs w:val="42"/>
        </w:rPr>
        <w:t xml:space="preserve"> Toward a theory of instruction</w:t>
      </w:r>
      <w:r w:rsidRPr="009E08CF">
        <w:rPr>
          <w:rFonts w:cstheme="minorHAnsi"/>
          <w:color w:val="000000"/>
          <w:szCs w:val="42"/>
          <w:shd w:val="clear" w:color="auto" w:fill="FFFFFF"/>
        </w:rPr>
        <w:t xml:space="preserve">, Cambridge, Mass.: </w:t>
      </w:r>
      <w:proofErr w:type="spellStart"/>
      <w:r w:rsidRPr="009E08CF">
        <w:rPr>
          <w:rFonts w:cstheme="minorHAnsi"/>
          <w:color w:val="000000"/>
          <w:szCs w:val="42"/>
          <w:shd w:val="clear" w:color="auto" w:fill="FFFFFF"/>
        </w:rPr>
        <w:t>Belkapp</w:t>
      </w:r>
      <w:proofErr w:type="spellEnd"/>
      <w:r w:rsidRPr="009E08CF">
        <w:rPr>
          <w:rFonts w:cstheme="minorHAnsi"/>
          <w:color w:val="000000"/>
          <w:szCs w:val="42"/>
          <w:shd w:val="clear" w:color="auto" w:fill="FFFFFF"/>
        </w:rPr>
        <w:t xml:space="preserve"> Press.</w:t>
      </w:r>
    </w:p>
    <w:p w14:paraId="7D52BC3B" w14:textId="5E8D8B48" w:rsidR="009E08CF" w:rsidRDefault="00004CB2" w:rsidP="009E08CF">
      <w:pPr>
        <w:tabs>
          <w:tab w:val="left" w:pos="8038"/>
        </w:tabs>
        <w:rPr>
          <w:rFonts w:cstheme="minorHAnsi"/>
          <w:color w:val="000000"/>
          <w:szCs w:val="42"/>
          <w:shd w:val="clear" w:color="auto" w:fill="FFFFFF"/>
        </w:rPr>
      </w:pPr>
      <w:r w:rsidRPr="00004CB2">
        <w:rPr>
          <w:rFonts w:cstheme="minorHAnsi"/>
          <w:color w:val="000000"/>
          <w:szCs w:val="42"/>
          <w:shd w:val="clear" w:color="auto" w:fill="FFFFFF"/>
        </w:rPr>
        <w:t xml:space="preserve">McLeod, S. A. (2018, Feb 05). </w:t>
      </w:r>
      <w:r w:rsidRPr="00004CB2">
        <w:rPr>
          <w:rStyle w:val="Emphasis"/>
          <w:rFonts w:cstheme="minorHAnsi"/>
          <w:color w:val="000000"/>
          <w:szCs w:val="42"/>
        </w:rPr>
        <w:t>Bruner</w:t>
      </w:r>
      <w:r w:rsidRPr="00004CB2">
        <w:rPr>
          <w:rFonts w:cstheme="minorHAnsi"/>
          <w:color w:val="000000"/>
          <w:szCs w:val="42"/>
          <w:shd w:val="clear" w:color="auto" w:fill="FFFFFF"/>
        </w:rPr>
        <w:t xml:space="preserve">. Retrieved from Retrieved from </w:t>
      </w:r>
      <w:hyperlink r:id="rId8" w:history="1">
        <w:r w:rsidRPr="004600B5">
          <w:rPr>
            <w:rStyle w:val="Hyperlink"/>
            <w:rFonts w:cstheme="minorHAnsi"/>
            <w:szCs w:val="42"/>
            <w:shd w:val="clear" w:color="auto" w:fill="FFFFFF"/>
          </w:rPr>
          <w:t>https://www.simplypsychology.org/bruner.html</w:t>
        </w:r>
      </w:hyperlink>
      <w:r>
        <w:rPr>
          <w:rFonts w:cstheme="minorHAnsi"/>
          <w:color w:val="000000"/>
          <w:szCs w:val="42"/>
          <w:shd w:val="clear" w:color="auto" w:fill="FFFFFF"/>
        </w:rPr>
        <w:t xml:space="preserve"> </w:t>
      </w:r>
      <w:r w:rsidR="009E08CF" w:rsidRPr="00004CB2">
        <w:rPr>
          <w:rFonts w:cstheme="minorHAnsi"/>
          <w:color w:val="000000"/>
          <w:szCs w:val="42"/>
          <w:shd w:val="clear" w:color="auto" w:fill="FFFFFF"/>
        </w:rPr>
        <w:tab/>
      </w:r>
    </w:p>
    <w:p w14:paraId="6B6BA7E7" w14:textId="77777777" w:rsidR="00AD2C24" w:rsidRPr="00F106F0" w:rsidRDefault="00AD2C24" w:rsidP="00AD2C24">
      <w:pPr>
        <w:rPr>
          <w:u w:val="single"/>
        </w:rPr>
      </w:pPr>
      <w:r w:rsidRPr="00F106F0">
        <w:t xml:space="preserve">Donaldson, G. (2015) </w:t>
      </w:r>
      <w:r w:rsidRPr="00F106F0">
        <w:rPr>
          <w:i/>
        </w:rPr>
        <w:t>Successful Futures – Independent Review of Curriculum and Assessment Arrangements in Wales.</w:t>
      </w:r>
      <w:r w:rsidRPr="00F106F0">
        <w:t xml:space="preserve"> Cardiff: Welsh Government. Available at: </w:t>
      </w:r>
      <w:hyperlink r:id="rId9" w:history="1">
        <w:r w:rsidRPr="00F106F0">
          <w:rPr>
            <w:rStyle w:val="Hyperlink"/>
          </w:rPr>
          <w:t>https://gov.wales/docs/dcells/publications/150225-successful-futures-en.pdf</w:t>
        </w:r>
      </w:hyperlink>
      <w:r w:rsidRPr="00F106F0">
        <w:t xml:space="preserve"> </w:t>
      </w:r>
    </w:p>
    <w:p w14:paraId="77253F04" w14:textId="77777777" w:rsidR="00AD2C24" w:rsidRPr="00004CB2" w:rsidRDefault="00AD2C24" w:rsidP="009E08CF">
      <w:pPr>
        <w:tabs>
          <w:tab w:val="left" w:pos="8038"/>
        </w:tabs>
        <w:rPr>
          <w:rFonts w:cstheme="minorHAnsi"/>
          <w:color w:val="000000"/>
          <w:szCs w:val="42"/>
          <w:shd w:val="clear" w:color="auto" w:fill="FFFFFF"/>
        </w:rPr>
      </w:pPr>
    </w:p>
    <w:p w14:paraId="64AD857A" w14:textId="77777777" w:rsidR="00004CB2" w:rsidRPr="009E08CF" w:rsidRDefault="00004CB2" w:rsidP="009E08CF">
      <w:pPr>
        <w:tabs>
          <w:tab w:val="left" w:pos="8038"/>
        </w:tabs>
        <w:rPr>
          <w:rFonts w:cstheme="minorHAnsi"/>
          <w:sz w:val="2"/>
        </w:rPr>
      </w:pPr>
    </w:p>
    <w:sectPr w:rsidR="00004CB2" w:rsidRPr="009E08C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BF1D4B" w14:textId="77777777" w:rsidR="005653D2" w:rsidRDefault="005653D2" w:rsidP="00CA4858">
      <w:pPr>
        <w:spacing w:after="0" w:line="240" w:lineRule="auto"/>
      </w:pPr>
      <w:r>
        <w:separator/>
      </w:r>
    </w:p>
  </w:endnote>
  <w:endnote w:type="continuationSeparator" w:id="0">
    <w:p w14:paraId="156B105A" w14:textId="77777777" w:rsidR="005653D2" w:rsidRDefault="005653D2" w:rsidP="00CA4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24B76A" w14:textId="77777777" w:rsidR="005653D2" w:rsidRDefault="005653D2" w:rsidP="00CA4858">
      <w:pPr>
        <w:spacing w:after="0" w:line="240" w:lineRule="auto"/>
      </w:pPr>
      <w:r>
        <w:separator/>
      </w:r>
    </w:p>
  </w:footnote>
  <w:footnote w:type="continuationSeparator" w:id="0">
    <w:p w14:paraId="3A158CD1" w14:textId="77777777" w:rsidR="005653D2" w:rsidRDefault="005653D2" w:rsidP="00CA48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4BA4B3" w14:textId="27D8E4D5" w:rsidR="00CA4858" w:rsidRPr="00CA4858" w:rsidRDefault="00CA4858">
    <w:pPr>
      <w:pStyle w:val="Header"/>
    </w:pPr>
    <w:r w:rsidRPr="00CA4858">
      <w:t>Kelsey Tucker- 1800913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40297B"/>
    <w:multiLevelType w:val="hybridMultilevel"/>
    <w:tmpl w:val="34DEA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0D2"/>
    <w:rsid w:val="0000226F"/>
    <w:rsid w:val="00004CB2"/>
    <w:rsid w:val="000100BC"/>
    <w:rsid w:val="0002475A"/>
    <w:rsid w:val="00031257"/>
    <w:rsid w:val="00032E09"/>
    <w:rsid w:val="00043B44"/>
    <w:rsid w:val="00084E3D"/>
    <w:rsid w:val="000862FD"/>
    <w:rsid w:val="00092873"/>
    <w:rsid w:val="000D2BDE"/>
    <w:rsid w:val="000E5B27"/>
    <w:rsid w:val="000F51EF"/>
    <w:rsid w:val="00140CC0"/>
    <w:rsid w:val="00146243"/>
    <w:rsid w:val="00152497"/>
    <w:rsid w:val="00175FC0"/>
    <w:rsid w:val="00197347"/>
    <w:rsid w:val="001A0ECE"/>
    <w:rsid w:val="001B7FE0"/>
    <w:rsid w:val="001D2D46"/>
    <w:rsid w:val="001E2BAA"/>
    <w:rsid w:val="001E6F5A"/>
    <w:rsid w:val="001F0CCD"/>
    <w:rsid w:val="0020395B"/>
    <w:rsid w:val="002111A7"/>
    <w:rsid w:val="00213465"/>
    <w:rsid w:val="00222564"/>
    <w:rsid w:val="002274CD"/>
    <w:rsid w:val="00260B82"/>
    <w:rsid w:val="002B02F7"/>
    <w:rsid w:val="002B6C96"/>
    <w:rsid w:val="002B7816"/>
    <w:rsid w:val="0030232E"/>
    <w:rsid w:val="003105D1"/>
    <w:rsid w:val="0031427D"/>
    <w:rsid w:val="00314C47"/>
    <w:rsid w:val="00321C9E"/>
    <w:rsid w:val="003432BB"/>
    <w:rsid w:val="00371AE0"/>
    <w:rsid w:val="00381359"/>
    <w:rsid w:val="00394124"/>
    <w:rsid w:val="003A0B1A"/>
    <w:rsid w:val="003A28CC"/>
    <w:rsid w:val="003B0184"/>
    <w:rsid w:val="003B3AB3"/>
    <w:rsid w:val="003D32DB"/>
    <w:rsid w:val="003E0E11"/>
    <w:rsid w:val="00437D75"/>
    <w:rsid w:val="0044746C"/>
    <w:rsid w:val="00456F22"/>
    <w:rsid w:val="004645D3"/>
    <w:rsid w:val="00465C1A"/>
    <w:rsid w:val="004A6C94"/>
    <w:rsid w:val="004B053D"/>
    <w:rsid w:val="004B44F1"/>
    <w:rsid w:val="004C38AD"/>
    <w:rsid w:val="004C6A45"/>
    <w:rsid w:val="004C71BF"/>
    <w:rsid w:val="0050391A"/>
    <w:rsid w:val="005178CC"/>
    <w:rsid w:val="005178EC"/>
    <w:rsid w:val="0052217B"/>
    <w:rsid w:val="005640F0"/>
    <w:rsid w:val="005653D2"/>
    <w:rsid w:val="00577B8D"/>
    <w:rsid w:val="005A4A89"/>
    <w:rsid w:val="005B7956"/>
    <w:rsid w:val="005D23E3"/>
    <w:rsid w:val="00612890"/>
    <w:rsid w:val="00623348"/>
    <w:rsid w:val="0063276B"/>
    <w:rsid w:val="0064556B"/>
    <w:rsid w:val="00646603"/>
    <w:rsid w:val="0067632B"/>
    <w:rsid w:val="00691B1E"/>
    <w:rsid w:val="006D7693"/>
    <w:rsid w:val="00707B2C"/>
    <w:rsid w:val="00786A16"/>
    <w:rsid w:val="007A1411"/>
    <w:rsid w:val="007D6C57"/>
    <w:rsid w:val="007E1FFC"/>
    <w:rsid w:val="00824E9A"/>
    <w:rsid w:val="00864EDF"/>
    <w:rsid w:val="00884A2F"/>
    <w:rsid w:val="008966E4"/>
    <w:rsid w:val="008B45D4"/>
    <w:rsid w:val="008D12EE"/>
    <w:rsid w:val="008E3033"/>
    <w:rsid w:val="00904BB7"/>
    <w:rsid w:val="00937183"/>
    <w:rsid w:val="00943FF7"/>
    <w:rsid w:val="00953CA4"/>
    <w:rsid w:val="00966B02"/>
    <w:rsid w:val="0099301A"/>
    <w:rsid w:val="009B434C"/>
    <w:rsid w:val="009E08CF"/>
    <w:rsid w:val="009F421A"/>
    <w:rsid w:val="00A10CFB"/>
    <w:rsid w:val="00A35BA7"/>
    <w:rsid w:val="00A514C6"/>
    <w:rsid w:val="00A6730B"/>
    <w:rsid w:val="00A678DC"/>
    <w:rsid w:val="00AA125C"/>
    <w:rsid w:val="00AB40EC"/>
    <w:rsid w:val="00AC7432"/>
    <w:rsid w:val="00AD2C24"/>
    <w:rsid w:val="00AD3653"/>
    <w:rsid w:val="00AE1DE6"/>
    <w:rsid w:val="00AE5592"/>
    <w:rsid w:val="00AF3561"/>
    <w:rsid w:val="00B0418F"/>
    <w:rsid w:val="00B07F6E"/>
    <w:rsid w:val="00B25B10"/>
    <w:rsid w:val="00B31FBD"/>
    <w:rsid w:val="00B335D7"/>
    <w:rsid w:val="00B568C0"/>
    <w:rsid w:val="00B731C4"/>
    <w:rsid w:val="00B75521"/>
    <w:rsid w:val="00BA72B3"/>
    <w:rsid w:val="00BB5053"/>
    <w:rsid w:val="00BF213A"/>
    <w:rsid w:val="00BF4E81"/>
    <w:rsid w:val="00C02564"/>
    <w:rsid w:val="00C078FF"/>
    <w:rsid w:val="00C34918"/>
    <w:rsid w:val="00C45C95"/>
    <w:rsid w:val="00C73AD0"/>
    <w:rsid w:val="00C86F79"/>
    <w:rsid w:val="00C96CE5"/>
    <w:rsid w:val="00CA4858"/>
    <w:rsid w:val="00CA6DC7"/>
    <w:rsid w:val="00CB537F"/>
    <w:rsid w:val="00CE745E"/>
    <w:rsid w:val="00CE7894"/>
    <w:rsid w:val="00CF5CA5"/>
    <w:rsid w:val="00D015EF"/>
    <w:rsid w:val="00D3045F"/>
    <w:rsid w:val="00D44F5E"/>
    <w:rsid w:val="00D47514"/>
    <w:rsid w:val="00D94A32"/>
    <w:rsid w:val="00DA6BC1"/>
    <w:rsid w:val="00DE58C3"/>
    <w:rsid w:val="00DF0CE8"/>
    <w:rsid w:val="00DF3D5E"/>
    <w:rsid w:val="00E249FF"/>
    <w:rsid w:val="00E322B8"/>
    <w:rsid w:val="00E364FC"/>
    <w:rsid w:val="00E66095"/>
    <w:rsid w:val="00EA1C10"/>
    <w:rsid w:val="00EB3B12"/>
    <w:rsid w:val="00EB5BA3"/>
    <w:rsid w:val="00EB5ECC"/>
    <w:rsid w:val="00ED37E1"/>
    <w:rsid w:val="00EE0F09"/>
    <w:rsid w:val="00EE12C0"/>
    <w:rsid w:val="00EE272A"/>
    <w:rsid w:val="00EE41C3"/>
    <w:rsid w:val="00EF50D0"/>
    <w:rsid w:val="00F106F0"/>
    <w:rsid w:val="00F1084F"/>
    <w:rsid w:val="00F170D2"/>
    <w:rsid w:val="00F31D40"/>
    <w:rsid w:val="00F368DC"/>
    <w:rsid w:val="00F476E5"/>
    <w:rsid w:val="00F85A2A"/>
    <w:rsid w:val="00F87D87"/>
    <w:rsid w:val="00F9214F"/>
    <w:rsid w:val="00FA3EBB"/>
    <w:rsid w:val="00FB7A3F"/>
    <w:rsid w:val="00FD230A"/>
    <w:rsid w:val="00FE274C"/>
    <w:rsid w:val="00FE4CE8"/>
    <w:rsid w:val="00FF4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584DE"/>
  <w15:chartTrackingRefBased/>
  <w15:docId w15:val="{C7447460-3B81-4BB8-B148-EE59454FC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3653"/>
    <w:rPr>
      <w:color w:val="0563C1" w:themeColor="hyperlink"/>
      <w:u w:val="single"/>
    </w:rPr>
  </w:style>
  <w:style w:type="character" w:styleId="UnresolvedMention">
    <w:name w:val="Unresolved Mention"/>
    <w:basedOn w:val="DefaultParagraphFont"/>
    <w:uiPriority w:val="99"/>
    <w:semiHidden/>
    <w:unhideWhenUsed/>
    <w:rsid w:val="00AD3653"/>
    <w:rPr>
      <w:color w:val="605E5C"/>
      <w:shd w:val="clear" w:color="auto" w:fill="E1DFDD"/>
    </w:rPr>
  </w:style>
  <w:style w:type="character" w:styleId="FollowedHyperlink">
    <w:name w:val="FollowedHyperlink"/>
    <w:basedOn w:val="DefaultParagraphFont"/>
    <w:uiPriority w:val="99"/>
    <w:semiHidden/>
    <w:unhideWhenUsed/>
    <w:rsid w:val="00C02564"/>
    <w:rPr>
      <w:color w:val="954F72" w:themeColor="followedHyperlink"/>
      <w:u w:val="single"/>
    </w:rPr>
  </w:style>
  <w:style w:type="character" w:styleId="Emphasis">
    <w:name w:val="Emphasis"/>
    <w:basedOn w:val="DefaultParagraphFont"/>
    <w:uiPriority w:val="20"/>
    <w:qFormat/>
    <w:rsid w:val="00623348"/>
    <w:rPr>
      <w:i/>
      <w:iCs/>
    </w:rPr>
  </w:style>
  <w:style w:type="paragraph" w:styleId="ListParagraph">
    <w:name w:val="List Paragraph"/>
    <w:basedOn w:val="Normal"/>
    <w:uiPriority w:val="34"/>
    <w:qFormat/>
    <w:rsid w:val="00AD2C24"/>
    <w:pPr>
      <w:ind w:left="720"/>
      <w:contextualSpacing/>
    </w:pPr>
  </w:style>
  <w:style w:type="character" w:styleId="Strong">
    <w:name w:val="Strong"/>
    <w:basedOn w:val="DefaultParagraphFont"/>
    <w:uiPriority w:val="22"/>
    <w:qFormat/>
    <w:rsid w:val="00CE745E"/>
    <w:rPr>
      <w:b/>
      <w:bCs/>
    </w:rPr>
  </w:style>
  <w:style w:type="paragraph" w:styleId="Header">
    <w:name w:val="header"/>
    <w:basedOn w:val="Normal"/>
    <w:link w:val="HeaderChar"/>
    <w:uiPriority w:val="99"/>
    <w:unhideWhenUsed/>
    <w:rsid w:val="00CA48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858"/>
  </w:style>
  <w:style w:type="paragraph" w:styleId="Footer">
    <w:name w:val="footer"/>
    <w:basedOn w:val="Normal"/>
    <w:link w:val="FooterChar"/>
    <w:uiPriority w:val="99"/>
    <w:unhideWhenUsed/>
    <w:rsid w:val="00CA48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8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runer.html" TargetMode="External"/><Relationship Id="rId3" Type="http://schemas.openxmlformats.org/officeDocument/2006/relationships/settings" Target="settings.xml"/><Relationship Id="rId7" Type="http://schemas.openxmlformats.org/officeDocument/2006/relationships/hyperlink" Target="https://learning.gov.wales/docs/learningwales/publications/150803-fp-framework-en.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gov.wales/docs/dcells/publications/150225-successful-futur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836</TotalTime>
  <Pages>5</Pages>
  <Words>2802</Words>
  <Characters>15974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Laptop</dc:creator>
  <cp:keywords/>
  <dc:description/>
  <cp:lastModifiedBy>HP Laptop</cp:lastModifiedBy>
  <cp:revision>162</cp:revision>
  <dcterms:created xsi:type="dcterms:W3CDTF">2019-04-16T14:33:00Z</dcterms:created>
  <dcterms:modified xsi:type="dcterms:W3CDTF">2019-04-27T15:03:00Z</dcterms:modified>
</cp:coreProperties>
</file>