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3175" w14:textId="7F9E65F4" w:rsidR="00566F9E" w:rsidRPr="00566F9E" w:rsidRDefault="00566F9E" w:rsidP="00566F9E">
      <w:pPr>
        <w:spacing w:line="360" w:lineRule="auto"/>
        <w:rPr>
          <w:rFonts w:ascii="Arial" w:hAnsi="Arial" w:cs="Arial"/>
          <w:b/>
          <w:bCs/>
          <w:sz w:val="24"/>
          <w:szCs w:val="24"/>
          <w:lang w:val="it-IT"/>
        </w:rPr>
      </w:pPr>
      <w:r w:rsidRPr="00566F9E">
        <w:rPr>
          <w:rFonts w:ascii="Arial" w:hAnsi="Arial" w:cs="Arial"/>
          <w:b/>
          <w:bCs/>
          <w:sz w:val="24"/>
          <w:szCs w:val="24"/>
          <w:lang w:val="it-IT"/>
        </w:rPr>
        <w:t xml:space="preserve">Name: </w:t>
      </w:r>
      <w:r w:rsidRPr="00566F9E">
        <w:rPr>
          <w:rFonts w:ascii="Arial" w:hAnsi="Arial" w:cs="Arial"/>
          <w:b/>
          <w:bCs/>
          <w:sz w:val="24"/>
          <w:szCs w:val="24"/>
          <w:lang w:val="it-IT"/>
        </w:rPr>
        <w:t>Ana Maria Estera Mandache</w:t>
      </w:r>
    </w:p>
    <w:p w14:paraId="57DC0619" w14:textId="780E6D62"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 xml:space="preserve">Student Number: </w:t>
      </w:r>
      <w:r w:rsidRPr="00566F9E">
        <w:rPr>
          <w:rFonts w:ascii="Arial" w:hAnsi="Arial" w:cs="Arial"/>
          <w:b/>
          <w:bCs/>
          <w:sz w:val="24"/>
          <w:szCs w:val="24"/>
        </w:rPr>
        <w:t>2334689</w:t>
      </w:r>
    </w:p>
    <w:p w14:paraId="4FC79CF2" w14:textId="2CEEB9CF"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Module Code and Title: Psychological Classifications and Provisions</w:t>
      </w:r>
      <w:r w:rsidRPr="00566F9E">
        <w:rPr>
          <w:rFonts w:ascii="Arial" w:hAnsi="Arial" w:cs="Arial"/>
          <w:b/>
          <w:bCs/>
          <w:sz w:val="24"/>
          <w:szCs w:val="24"/>
        </w:rPr>
        <w:t xml:space="preserve"> </w:t>
      </w:r>
      <w:r w:rsidRPr="00566F9E">
        <w:rPr>
          <w:rFonts w:ascii="Arial" w:hAnsi="Arial" w:cs="Arial"/>
          <w:b/>
          <w:bCs/>
          <w:sz w:val="24"/>
          <w:szCs w:val="24"/>
        </w:rPr>
        <w:t>BMHP6029</w:t>
      </w:r>
    </w:p>
    <w:p w14:paraId="3E7E5438" w14:textId="2EE2D9BB" w:rsidR="00FF0F83"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 xml:space="preserve">Assignment Title: Component 2 – Written Assignment (Report)  </w:t>
      </w:r>
    </w:p>
    <w:p w14:paraId="08ACA5DD" w14:textId="3F709050" w:rsidR="00566F9E" w:rsidRDefault="00566F9E" w:rsidP="00566F9E">
      <w:pPr>
        <w:spacing w:line="360" w:lineRule="auto"/>
        <w:rPr>
          <w:rFonts w:ascii="Arial" w:hAnsi="Arial" w:cs="Arial"/>
          <w:b/>
          <w:bCs/>
          <w:sz w:val="24"/>
          <w:szCs w:val="24"/>
        </w:rPr>
      </w:pPr>
      <w:r w:rsidRPr="00566F9E">
        <w:rPr>
          <w:rFonts w:ascii="Arial" w:hAnsi="Arial" w:cs="Arial"/>
          <w:b/>
          <w:bCs/>
          <w:sz w:val="24"/>
          <w:szCs w:val="24"/>
        </w:rPr>
        <w:t>Critical Examination of Autism Spectrum Disorder in ICD-11</w:t>
      </w:r>
    </w:p>
    <w:p w14:paraId="77D4293C" w14:textId="77777777" w:rsidR="00566F9E" w:rsidRDefault="00566F9E" w:rsidP="00566F9E">
      <w:pPr>
        <w:spacing w:line="360" w:lineRule="auto"/>
        <w:rPr>
          <w:rFonts w:ascii="Arial" w:hAnsi="Arial" w:cs="Arial"/>
          <w:b/>
          <w:bCs/>
          <w:sz w:val="24"/>
          <w:szCs w:val="24"/>
        </w:rPr>
      </w:pPr>
    </w:p>
    <w:p w14:paraId="05F0393B" w14:textId="77777777" w:rsidR="00566F9E" w:rsidRDefault="00566F9E" w:rsidP="00566F9E">
      <w:pPr>
        <w:spacing w:line="360" w:lineRule="auto"/>
        <w:rPr>
          <w:rFonts w:ascii="Arial" w:hAnsi="Arial" w:cs="Arial"/>
          <w:b/>
          <w:bCs/>
          <w:sz w:val="24"/>
          <w:szCs w:val="24"/>
        </w:rPr>
      </w:pPr>
    </w:p>
    <w:p w14:paraId="30CBACD3" w14:textId="77777777" w:rsidR="00566F9E" w:rsidRDefault="00566F9E" w:rsidP="00566F9E">
      <w:pPr>
        <w:spacing w:line="360" w:lineRule="auto"/>
        <w:rPr>
          <w:rFonts w:ascii="Arial" w:hAnsi="Arial" w:cs="Arial"/>
          <w:b/>
          <w:bCs/>
          <w:sz w:val="24"/>
          <w:szCs w:val="24"/>
        </w:rPr>
      </w:pPr>
    </w:p>
    <w:p w14:paraId="13DB3005" w14:textId="77777777" w:rsidR="00566F9E" w:rsidRDefault="00566F9E" w:rsidP="00566F9E">
      <w:pPr>
        <w:spacing w:line="360" w:lineRule="auto"/>
        <w:rPr>
          <w:rFonts w:ascii="Arial" w:hAnsi="Arial" w:cs="Arial"/>
          <w:b/>
          <w:bCs/>
          <w:sz w:val="24"/>
          <w:szCs w:val="24"/>
        </w:rPr>
      </w:pPr>
    </w:p>
    <w:p w14:paraId="29DFEB8A" w14:textId="77777777" w:rsidR="00566F9E" w:rsidRDefault="00566F9E" w:rsidP="00566F9E">
      <w:pPr>
        <w:spacing w:line="360" w:lineRule="auto"/>
        <w:rPr>
          <w:rFonts w:ascii="Arial" w:hAnsi="Arial" w:cs="Arial"/>
          <w:b/>
          <w:bCs/>
          <w:sz w:val="24"/>
          <w:szCs w:val="24"/>
        </w:rPr>
      </w:pPr>
    </w:p>
    <w:p w14:paraId="71662D6D" w14:textId="77777777" w:rsidR="00566F9E" w:rsidRDefault="00566F9E" w:rsidP="00566F9E">
      <w:pPr>
        <w:spacing w:line="360" w:lineRule="auto"/>
        <w:rPr>
          <w:rFonts w:ascii="Arial" w:hAnsi="Arial" w:cs="Arial"/>
          <w:b/>
          <w:bCs/>
          <w:sz w:val="24"/>
          <w:szCs w:val="24"/>
        </w:rPr>
      </w:pPr>
    </w:p>
    <w:p w14:paraId="5A59C66D" w14:textId="77777777" w:rsidR="00566F9E" w:rsidRDefault="00566F9E" w:rsidP="00566F9E">
      <w:pPr>
        <w:spacing w:line="360" w:lineRule="auto"/>
        <w:rPr>
          <w:rFonts w:ascii="Arial" w:hAnsi="Arial" w:cs="Arial"/>
          <w:b/>
          <w:bCs/>
          <w:sz w:val="24"/>
          <w:szCs w:val="24"/>
        </w:rPr>
      </w:pPr>
    </w:p>
    <w:p w14:paraId="3D3F0DA2" w14:textId="77777777" w:rsidR="00566F9E" w:rsidRDefault="00566F9E" w:rsidP="00566F9E">
      <w:pPr>
        <w:spacing w:line="360" w:lineRule="auto"/>
        <w:rPr>
          <w:rFonts w:ascii="Arial" w:hAnsi="Arial" w:cs="Arial"/>
          <w:b/>
          <w:bCs/>
          <w:sz w:val="24"/>
          <w:szCs w:val="24"/>
        </w:rPr>
      </w:pPr>
    </w:p>
    <w:p w14:paraId="5027F0DA" w14:textId="77777777" w:rsidR="00566F9E" w:rsidRDefault="00566F9E" w:rsidP="00566F9E">
      <w:pPr>
        <w:spacing w:line="360" w:lineRule="auto"/>
        <w:rPr>
          <w:rFonts w:ascii="Arial" w:hAnsi="Arial" w:cs="Arial"/>
          <w:b/>
          <w:bCs/>
          <w:sz w:val="24"/>
          <w:szCs w:val="24"/>
        </w:rPr>
      </w:pPr>
    </w:p>
    <w:p w14:paraId="39175DFA" w14:textId="77777777" w:rsidR="00566F9E" w:rsidRDefault="00566F9E" w:rsidP="00566F9E">
      <w:pPr>
        <w:spacing w:line="360" w:lineRule="auto"/>
        <w:rPr>
          <w:rFonts w:ascii="Arial" w:hAnsi="Arial" w:cs="Arial"/>
          <w:b/>
          <w:bCs/>
          <w:sz w:val="24"/>
          <w:szCs w:val="24"/>
        </w:rPr>
      </w:pPr>
    </w:p>
    <w:p w14:paraId="66C7A2AC" w14:textId="77777777" w:rsidR="00566F9E" w:rsidRDefault="00566F9E" w:rsidP="00566F9E">
      <w:pPr>
        <w:spacing w:line="360" w:lineRule="auto"/>
        <w:rPr>
          <w:rFonts w:ascii="Arial" w:hAnsi="Arial" w:cs="Arial"/>
          <w:b/>
          <w:bCs/>
          <w:sz w:val="24"/>
          <w:szCs w:val="24"/>
        </w:rPr>
      </w:pPr>
    </w:p>
    <w:p w14:paraId="2B5B643C" w14:textId="77777777" w:rsidR="00566F9E" w:rsidRDefault="00566F9E" w:rsidP="00566F9E">
      <w:pPr>
        <w:spacing w:line="360" w:lineRule="auto"/>
        <w:rPr>
          <w:rFonts w:ascii="Arial" w:hAnsi="Arial" w:cs="Arial"/>
          <w:b/>
          <w:bCs/>
          <w:sz w:val="24"/>
          <w:szCs w:val="24"/>
        </w:rPr>
      </w:pPr>
    </w:p>
    <w:p w14:paraId="4C74C1D7" w14:textId="77777777" w:rsidR="00566F9E" w:rsidRDefault="00566F9E" w:rsidP="00566F9E">
      <w:pPr>
        <w:spacing w:line="360" w:lineRule="auto"/>
        <w:rPr>
          <w:rFonts w:ascii="Arial" w:hAnsi="Arial" w:cs="Arial"/>
          <w:b/>
          <w:bCs/>
          <w:sz w:val="24"/>
          <w:szCs w:val="24"/>
        </w:rPr>
      </w:pPr>
    </w:p>
    <w:p w14:paraId="6364556A" w14:textId="77777777" w:rsidR="00566F9E" w:rsidRDefault="00566F9E" w:rsidP="00566F9E">
      <w:pPr>
        <w:spacing w:line="360" w:lineRule="auto"/>
        <w:rPr>
          <w:rFonts w:ascii="Arial" w:hAnsi="Arial" w:cs="Arial"/>
          <w:b/>
          <w:bCs/>
          <w:sz w:val="24"/>
          <w:szCs w:val="24"/>
        </w:rPr>
      </w:pPr>
    </w:p>
    <w:p w14:paraId="40DA66EB" w14:textId="77777777" w:rsidR="00566F9E" w:rsidRDefault="00566F9E" w:rsidP="00566F9E">
      <w:pPr>
        <w:spacing w:line="360" w:lineRule="auto"/>
        <w:rPr>
          <w:rFonts w:ascii="Arial" w:hAnsi="Arial" w:cs="Arial"/>
          <w:b/>
          <w:bCs/>
          <w:sz w:val="24"/>
          <w:szCs w:val="24"/>
        </w:rPr>
      </w:pPr>
    </w:p>
    <w:p w14:paraId="5E9A4627" w14:textId="77777777" w:rsidR="00566F9E" w:rsidRDefault="00566F9E" w:rsidP="00566F9E">
      <w:pPr>
        <w:spacing w:line="360" w:lineRule="auto"/>
        <w:rPr>
          <w:rFonts w:ascii="Arial" w:hAnsi="Arial" w:cs="Arial"/>
          <w:b/>
          <w:bCs/>
          <w:sz w:val="24"/>
          <w:szCs w:val="24"/>
        </w:rPr>
      </w:pPr>
    </w:p>
    <w:p w14:paraId="20CA5F1B" w14:textId="77777777" w:rsidR="00566F9E" w:rsidRDefault="00566F9E" w:rsidP="00566F9E">
      <w:pPr>
        <w:spacing w:line="360" w:lineRule="auto"/>
        <w:rPr>
          <w:rFonts w:ascii="Arial" w:hAnsi="Arial" w:cs="Arial"/>
          <w:b/>
          <w:bCs/>
          <w:sz w:val="24"/>
          <w:szCs w:val="24"/>
        </w:rPr>
      </w:pPr>
    </w:p>
    <w:p w14:paraId="74833CB5" w14:textId="77777777" w:rsidR="00566F9E" w:rsidRDefault="00566F9E" w:rsidP="00566F9E">
      <w:pPr>
        <w:spacing w:line="360" w:lineRule="auto"/>
        <w:rPr>
          <w:rFonts w:ascii="Arial" w:hAnsi="Arial" w:cs="Arial"/>
          <w:b/>
          <w:bCs/>
          <w:sz w:val="24"/>
          <w:szCs w:val="24"/>
        </w:rPr>
      </w:pPr>
    </w:p>
    <w:p w14:paraId="0C5C4E4B" w14:textId="77777777" w:rsidR="00566F9E" w:rsidRDefault="00566F9E" w:rsidP="00566F9E">
      <w:pPr>
        <w:spacing w:line="360" w:lineRule="auto"/>
        <w:rPr>
          <w:rFonts w:ascii="Arial" w:hAnsi="Arial" w:cs="Arial"/>
          <w:b/>
          <w:bCs/>
          <w:sz w:val="24"/>
          <w:szCs w:val="24"/>
        </w:rPr>
      </w:pPr>
    </w:p>
    <w:p w14:paraId="4825EE7C" w14:textId="34750E88" w:rsidR="00566F9E" w:rsidRDefault="00566F9E" w:rsidP="00566F9E">
      <w:pPr>
        <w:spacing w:line="360" w:lineRule="auto"/>
        <w:rPr>
          <w:rFonts w:ascii="Arial" w:hAnsi="Arial" w:cs="Arial"/>
          <w:b/>
          <w:bCs/>
          <w:sz w:val="24"/>
          <w:szCs w:val="24"/>
        </w:rPr>
      </w:pPr>
      <w:r w:rsidRPr="00566F9E">
        <w:rPr>
          <w:rFonts w:ascii="Arial" w:hAnsi="Arial" w:cs="Arial"/>
          <w:b/>
          <w:bCs/>
          <w:sz w:val="24"/>
          <w:szCs w:val="24"/>
        </w:rPr>
        <w:lastRenderedPageBreak/>
        <w:t>Table of Contents</w:t>
      </w:r>
    </w:p>
    <w:p w14:paraId="59575F88" w14:textId="210FFDA6"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Introduction</w:t>
      </w:r>
    </w:p>
    <w:p w14:paraId="4FE340BA" w14:textId="409A9587"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Classification and Diagnosis of Autism Spectrum Disorder</w:t>
      </w:r>
    </w:p>
    <w:p w14:paraId="63E9CC81" w14:textId="0FD63CC0"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Treatment and Rehabilitation of Autism Spectrum Disorder</w:t>
      </w:r>
    </w:p>
    <w:p w14:paraId="135B666D" w14:textId="2FBDC978"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Current Debates and Emerging Issues</w:t>
      </w:r>
    </w:p>
    <w:p w14:paraId="160419FC" w14:textId="506219B6"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Recommendations</w:t>
      </w:r>
    </w:p>
    <w:p w14:paraId="20AAEC38" w14:textId="0661AFC3"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Conclusion</w:t>
      </w:r>
    </w:p>
    <w:p w14:paraId="14A40169" w14:textId="71457742" w:rsidR="00566F9E" w:rsidRDefault="00566F9E" w:rsidP="00566F9E">
      <w:pPr>
        <w:pStyle w:val="ListParagraph"/>
        <w:numPr>
          <w:ilvl w:val="0"/>
          <w:numId w:val="1"/>
        </w:numPr>
        <w:spacing w:line="360" w:lineRule="auto"/>
        <w:rPr>
          <w:rFonts w:ascii="Arial" w:hAnsi="Arial" w:cs="Arial"/>
          <w:b/>
          <w:bCs/>
          <w:sz w:val="24"/>
          <w:szCs w:val="24"/>
        </w:rPr>
      </w:pPr>
      <w:r w:rsidRPr="00566F9E">
        <w:rPr>
          <w:rFonts w:ascii="Arial" w:hAnsi="Arial" w:cs="Arial"/>
          <w:b/>
          <w:bCs/>
          <w:sz w:val="24"/>
          <w:szCs w:val="24"/>
        </w:rPr>
        <w:t>References</w:t>
      </w:r>
    </w:p>
    <w:p w14:paraId="59FDF551" w14:textId="0B1C7418" w:rsidR="00566F9E" w:rsidRDefault="00566F9E" w:rsidP="00566F9E">
      <w:pPr>
        <w:spacing w:line="360" w:lineRule="auto"/>
        <w:rPr>
          <w:rFonts w:ascii="Arial" w:hAnsi="Arial" w:cs="Arial"/>
          <w:b/>
          <w:bCs/>
          <w:sz w:val="24"/>
          <w:szCs w:val="24"/>
        </w:rPr>
      </w:pPr>
    </w:p>
    <w:p w14:paraId="5D9E7596" w14:textId="77777777" w:rsidR="00566F9E" w:rsidRDefault="00566F9E">
      <w:pPr>
        <w:rPr>
          <w:rFonts w:ascii="Arial" w:hAnsi="Arial" w:cs="Arial"/>
          <w:b/>
          <w:bCs/>
          <w:sz w:val="24"/>
          <w:szCs w:val="24"/>
        </w:rPr>
      </w:pPr>
      <w:r>
        <w:rPr>
          <w:rFonts w:ascii="Arial" w:hAnsi="Arial" w:cs="Arial"/>
          <w:b/>
          <w:bCs/>
          <w:sz w:val="24"/>
          <w:szCs w:val="24"/>
        </w:rPr>
        <w:br w:type="page"/>
      </w:r>
    </w:p>
    <w:p w14:paraId="7B8BE1C5" w14:textId="77777777" w:rsidR="00566F9E" w:rsidRDefault="00566F9E" w:rsidP="00566F9E">
      <w:pPr>
        <w:pStyle w:val="ListParagraph"/>
        <w:numPr>
          <w:ilvl w:val="0"/>
          <w:numId w:val="2"/>
        </w:numPr>
        <w:spacing w:line="360" w:lineRule="auto"/>
        <w:rPr>
          <w:rFonts w:ascii="Arial" w:hAnsi="Arial" w:cs="Arial"/>
          <w:b/>
          <w:bCs/>
          <w:sz w:val="24"/>
          <w:szCs w:val="24"/>
        </w:rPr>
      </w:pPr>
      <w:r w:rsidRPr="00566F9E">
        <w:rPr>
          <w:rFonts w:ascii="Arial" w:hAnsi="Arial" w:cs="Arial"/>
          <w:b/>
          <w:bCs/>
          <w:sz w:val="24"/>
          <w:szCs w:val="24"/>
        </w:rPr>
        <w:lastRenderedPageBreak/>
        <w:t>Introduction</w:t>
      </w:r>
    </w:p>
    <w:p w14:paraId="72D8ABEC" w14:textId="16C415FA"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Autism Spectrum Disorder (ASD) is a multifaceted neurodevelopmental condition characterized by persistent difficulties in social communication and interaction, coupled with restricted, repetitive </w:t>
      </w:r>
      <w:proofErr w:type="spellStart"/>
      <w:r w:rsidRPr="00566F9E">
        <w:rPr>
          <w:rFonts w:ascii="Arial" w:hAnsi="Arial" w:cs="Arial"/>
          <w:sz w:val="24"/>
          <w:szCs w:val="24"/>
        </w:rPr>
        <w:t>behaviors</w:t>
      </w:r>
      <w:proofErr w:type="spellEnd"/>
      <w:r w:rsidRPr="00566F9E">
        <w:rPr>
          <w:rFonts w:ascii="Arial" w:hAnsi="Arial" w:cs="Arial"/>
          <w:sz w:val="24"/>
          <w:szCs w:val="24"/>
        </w:rPr>
        <w:t xml:space="preserve"> and interests. Over the past few decades, our understanding of autism has evolved from narrow, categorical diagnoses to a broad spectrum acknowledging the heterogeneity of presentations and neurobiological underpinnings (Kapp, 2020).</w:t>
      </w:r>
    </w:p>
    <w:p w14:paraId="7D488181"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The shift reflects ongoing debates about how best to classify, diagnose, and support autistic individuals, emphasizing the importance of respecting neurodiversity while ensuring access to effective interventions. The ICD-11, published by the World Health Organization (WHO, 2022), introduces a spectrum-based classification of autism, aligning with contemporary scientific and social perspectives.</w:t>
      </w:r>
    </w:p>
    <w:p w14:paraId="65FF3837" w14:textId="619D2CF8" w:rsidR="00566F9E" w:rsidRDefault="00566F9E" w:rsidP="00566F9E">
      <w:pPr>
        <w:spacing w:line="360" w:lineRule="auto"/>
        <w:rPr>
          <w:rFonts w:ascii="Arial" w:hAnsi="Arial" w:cs="Arial"/>
          <w:sz w:val="24"/>
          <w:szCs w:val="24"/>
        </w:rPr>
      </w:pPr>
      <w:r w:rsidRPr="00566F9E">
        <w:rPr>
          <w:rFonts w:ascii="Arial" w:hAnsi="Arial" w:cs="Arial"/>
          <w:sz w:val="24"/>
          <w:szCs w:val="24"/>
        </w:rPr>
        <w:t>This report critically examines how ASD is classified in ICD-11, explores current treatment and rehabilitation strategies, discusses ongoing debates—particularly around neurodivergence—and offers evidence-based recommendations for future practice and policy.</w:t>
      </w:r>
    </w:p>
    <w:p w14:paraId="340E4D6D" w14:textId="77777777" w:rsidR="00566F9E" w:rsidRDefault="00566F9E" w:rsidP="00566F9E">
      <w:pPr>
        <w:spacing w:line="360" w:lineRule="auto"/>
        <w:rPr>
          <w:rFonts w:ascii="Arial" w:hAnsi="Arial" w:cs="Arial"/>
          <w:sz w:val="24"/>
          <w:szCs w:val="24"/>
        </w:rPr>
      </w:pPr>
    </w:p>
    <w:p w14:paraId="2536603E" w14:textId="77777777" w:rsidR="00566F9E" w:rsidRPr="00566F9E" w:rsidRDefault="00566F9E" w:rsidP="00566F9E">
      <w:pPr>
        <w:pStyle w:val="ListParagraph"/>
        <w:numPr>
          <w:ilvl w:val="0"/>
          <w:numId w:val="2"/>
        </w:numPr>
        <w:spacing w:line="360" w:lineRule="auto"/>
        <w:rPr>
          <w:rFonts w:ascii="Arial" w:hAnsi="Arial" w:cs="Arial"/>
          <w:b/>
          <w:bCs/>
          <w:sz w:val="24"/>
          <w:szCs w:val="24"/>
        </w:rPr>
      </w:pPr>
      <w:r w:rsidRPr="00566F9E">
        <w:rPr>
          <w:rFonts w:ascii="Arial" w:hAnsi="Arial" w:cs="Arial"/>
          <w:b/>
          <w:bCs/>
          <w:sz w:val="24"/>
          <w:szCs w:val="24"/>
        </w:rPr>
        <w:t>Classification and Diagnosis of Autism Spectrum Disorder</w:t>
      </w:r>
    </w:p>
    <w:p w14:paraId="3216F60D" w14:textId="77777777" w:rsidR="00566F9E" w:rsidRPr="00566F9E" w:rsidRDefault="00566F9E" w:rsidP="00566F9E">
      <w:pPr>
        <w:spacing w:line="360" w:lineRule="auto"/>
        <w:ind w:left="360"/>
        <w:rPr>
          <w:rFonts w:ascii="Arial" w:hAnsi="Arial" w:cs="Arial"/>
          <w:b/>
          <w:bCs/>
          <w:sz w:val="24"/>
          <w:szCs w:val="24"/>
        </w:rPr>
      </w:pPr>
      <w:r w:rsidRPr="00566F9E">
        <w:rPr>
          <w:rFonts w:ascii="Arial" w:hAnsi="Arial" w:cs="Arial"/>
          <w:b/>
          <w:bCs/>
          <w:sz w:val="24"/>
          <w:szCs w:val="24"/>
        </w:rPr>
        <w:t>2.1 Classification in ICD-11</w:t>
      </w:r>
    </w:p>
    <w:p w14:paraId="35EA2E29"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In ICD-11, autism spectrum disorder is situated within the chapter "Mental, Behavioural or Neurodevelopmental Disorders" (WHO, 2022). Unlike ICD-10, which distinguished between childhood autism, Asperger's syndrome, and other pervasive developmental disorders, ICD-11 consolidates these under a single, spectrum-based diagnosis—Autism Spectrum Disorder. </w:t>
      </w:r>
    </w:p>
    <w:p w14:paraId="73F9A1C6"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This reflects advances in neurodevelopmental research indicating that autism exists along a continuum of traits and symptoms that vary in severity and presentation (Lord et al., 2020). The ICD-11 emphasizes a dimensional approach, recognizing that the core features—deficits in social communication and restricted </w:t>
      </w:r>
      <w:proofErr w:type="spellStart"/>
      <w:r w:rsidRPr="00566F9E">
        <w:rPr>
          <w:rFonts w:ascii="Arial" w:hAnsi="Arial" w:cs="Arial"/>
          <w:sz w:val="24"/>
          <w:szCs w:val="24"/>
        </w:rPr>
        <w:t>behaviors</w:t>
      </w:r>
      <w:proofErr w:type="spellEnd"/>
      <w:r w:rsidRPr="00566F9E">
        <w:rPr>
          <w:rFonts w:ascii="Arial" w:hAnsi="Arial" w:cs="Arial"/>
          <w:sz w:val="24"/>
          <w:szCs w:val="24"/>
        </w:rPr>
        <w:t>—can manifest differently across individuals, and that these differences should be accommodated within a flexible diagnostic framework.</w:t>
      </w:r>
    </w:p>
    <w:p w14:paraId="4AC022B0"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lastRenderedPageBreak/>
        <w:t>The terminology used, including "disorder," remains subject to debate. Critics argue that framing autism as a disorder can reinforce stigma, while supporters contend that a clear diagnosis facilitates access to support services. Nonetheless, the classification's alignment with neurodiversity principles remains a topic of discussion within clinical and social spheres (Silberman, 2015).</w:t>
      </w:r>
    </w:p>
    <w:p w14:paraId="47FF9A38"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2.2 Diagnostic Criteria and Processes</w:t>
      </w:r>
    </w:p>
    <w:p w14:paraId="3DBA11B8" w14:textId="46939AC8"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The ICD-11 defines ASD based on specific criteria emphasizing persistent deficits and their developmental onset. Key features include:</w:t>
      </w:r>
    </w:p>
    <w:p w14:paraId="264687ED" w14:textId="77777777" w:rsidR="00566F9E" w:rsidRPr="00566F9E" w:rsidRDefault="00566F9E" w:rsidP="00566F9E">
      <w:pPr>
        <w:pStyle w:val="ListParagraph"/>
        <w:numPr>
          <w:ilvl w:val="0"/>
          <w:numId w:val="3"/>
        </w:numPr>
        <w:spacing w:line="360" w:lineRule="auto"/>
        <w:rPr>
          <w:rFonts w:ascii="Arial" w:hAnsi="Arial" w:cs="Arial"/>
          <w:sz w:val="24"/>
          <w:szCs w:val="24"/>
        </w:rPr>
      </w:pPr>
      <w:r w:rsidRPr="00566F9E">
        <w:rPr>
          <w:rFonts w:ascii="Arial" w:hAnsi="Arial" w:cs="Arial"/>
          <w:sz w:val="24"/>
          <w:szCs w:val="24"/>
        </w:rPr>
        <w:t>Difficulties in social-emotional reciprocity, non-verbal communication, and developing or maintaining relationships.</w:t>
      </w:r>
    </w:p>
    <w:p w14:paraId="001A6231" w14:textId="2A3CDB16" w:rsidR="00566F9E" w:rsidRPr="00566F9E" w:rsidRDefault="00566F9E" w:rsidP="00566F9E">
      <w:pPr>
        <w:pStyle w:val="ListParagraph"/>
        <w:numPr>
          <w:ilvl w:val="0"/>
          <w:numId w:val="3"/>
        </w:numPr>
        <w:spacing w:line="360" w:lineRule="auto"/>
        <w:rPr>
          <w:rFonts w:ascii="Arial" w:hAnsi="Arial" w:cs="Arial"/>
          <w:sz w:val="24"/>
          <w:szCs w:val="24"/>
        </w:rPr>
      </w:pPr>
      <w:r w:rsidRPr="00566F9E">
        <w:rPr>
          <w:rFonts w:ascii="Arial" w:hAnsi="Arial" w:cs="Arial"/>
          <w:sz w:val="24"/>
          <w:szCs w:val="24"/>
        </w:rPr>
        <w:t xml:space="preserve">Restricted, repetitive </w:t>
      </w:r>
      <w:proofErr w:type="spellStart"/>
      <w:r w:rsidRPr="00566F9E">
        <w:rPr>
          <w:rFonts w:ascii="Arial" w:hAnsi="Arial" w:cs="Arial"/>
          <w:sz w:val="24"/>
          <w:szCs w:val="24"/>
        </w:rPr>
        <w:t>behaviors</w:t>
      </w:r>
      <w:proofErr w:type="spellEnd"/>
      <w:r w:rsidRPr="00566F9E">
        <w:rPr>
          <w:rFonts w:ascii="Arial" w:hAnsi="Arial" w:cs="Arial"/>
          <w:sz w:val="24"/>
          <w:szCs w:val="24"/>
        </w:rPr>
        <w:t>, interests, or activities, including sensory sensitivities.</w:t>
      </w:r>
    </w:p>
    <w:p w14:paraId="0F35B3F7"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Diagnosis involves comprehensive clinical assessments, developmental history, and standardized tools such as the Autism Diagnostic Observation Schedule (ADOS) and Autism Diagnostic Interview-Revised (ADI-R) (Lord et al., 2020). </w:t>
      </w:r>
    </w:p>
    <w:p w14:paraId="1A45CD1F"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Multidisciplinary teams—including psychologists, psychiatrists, speech-language therapists, and occupational therapists—collaborate to ensure accurate diagnosis and to determine the level of support needed. Given the spectrum nature of ASD, clinicians assess not only symptom presence but also severity and impact on daily functioning, aligning with ICD-11’s dimensional approach (American Psychiatric Association, 2013).</w:t>
      </w:r>
    </w:p>
    <w:p w14:paraId="02DADD90"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2.3 Critical Analysis of Classification</w:t>
      </w:r>
    </w:p>
    <w:p w14:paraId="217284EF"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The ICD-11’s adoption of a spectrum model aligns with current neurobiological research, which indicates diverse genetic, neuroanatomical, and neurochemical pathways contributing to autism (Lombardo et al., 2019). This approach promotes individualized assessment, reducing the one-size-fits-all problem inherent in earlier categorical models.</w:t>
      </w:r>
    </w:p>
    <w:p w14:paraId="41628386"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However, some critics argue that this model may introduce diagnostic ambiguity, complicating service delivery and research comparability (Kapp, 2020). The use of the term "disorder" also remains contentious, as many advocates emphasize the </w:t>
      </w:r>
      <w:r w:rsidRPr="00566F9E">
        <w:rPr>
          <w:rFonts w:ascii="Arial" w:hAnsi="Arial" w:cs="Arial"/>
          <w:sz w:val="24"/>
          <w:szCs w:val="24"/>
        </w:rPr>
        <w:lastRenderedPageBreak/>
        <w:t xml:space="preserve">neurodiversity paradigm—viewing autism as a natural variation rather than solely a pathology (Silberman, 2015). </w:t>
      </w:r>
    </w:p>
    <w:p w14:paraId="26C2F088" w14:textId="7B5C7F42" w:rsidR="00566F9E" w:rsidRDefault="00566F9E" w:rsidP="00566F9E">
      <w:pPr>
        <w:spacing w:line="360" w:lineRule="auto"/>
        <w:rPr>
          <w:rFonts w:ascii="Arial" w:hAnsi="Arial" w:cs="Arial"/>
          <w:sz w:val="24"/>
          <w:szCs w:val="24"/>
        </w:rPr>
      </w:pPr>
      <w:r w:rsidRPr="00566F9E">
        <w:rPr>
          <w:rFonts w:ascii="Arial" w:hAnsi="Arial" w:cs="Arial"/>
          <w:sz w:val="24"/>
          <w:szCs w:val="24"/>
        </w:rPr>
        <w:t>The ICD-11’s classifications thus reflect ongoing tensions between medical and social models of autism, underscoring the importance of balancing clinical utility with respect for neurodiverse identities.</w:t>
      </w:r>
    </w:p>
    <w:p w14:paraId="66348BDD" w14:textId="77777777" w:rsidR="00566F9E" w:rsidRDefault="00566F9E" w:rsidP="00566F9E">
      <w:pPr>
        <w:spacing w:line="360" w:lineRule="auto"/>
        <w:rPr>
          <w:rFonts w:ascii="Arial" w:hAnsi="Arial" w:cs="Arial"/>
          <w:sz w:val="24"/>
          <w:szCs w:val="24"/>
        </w:rPr>
      </w:pPr>
    </w:p>
    <w:p w14:paraId="273CA200" w14:textId="7C8CFAEC" w:rsidR="00566F9E" w:rsidRPr="00566F9E" w:rsidRDefault="00566F9E" w:rsidP="00566F9E">
      <w:pPr>
        <w:spacing w:line="360" w:lineRule="auto"/>
        <w:rPr>
          <w:rFonts w:ascii="Arial" w:hAnsi="Arial" w:cs="Arial"/>
          <w:b/>
          <w:bCs/>
          <w:sz w:val="24"/>
          <w:szCs w:val="24"/>
        </w:rPr>
      </w:pPr>
      <w:r>
        <w:rPr>
          <w:rFonts w:ascii="Arial" w:hAnsi="Arial" w:cs="Arial"/>
          <w:b/>
          <w:bCs/>
          <w:sz w:val="24"/>
          <w:szCs w:val="24"/>
        </w:rPr>
        <w:t>3. T</w:t>
      </w:r>
      <w:r w:rsidRPr="00566F9E">
        <w:rPr>
          <w:rFonts w:ascii="Arial" w:hAnsi="Arial" w:cs="Arial"/>
          <w:b/>
          <w:bCs/>
          <w:sz w:val="24"/>
          <w:szCs w:val="24"/>
        </w:rPr>
        <w:t>reatment and Rehabilitation of Autism Spectrum Disorder</w:t>
      </w:r>
    </w:p>
    <w:p w14:paraId="5C1F9126"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3.1 Standard Treatment Approaches</w:t>
      </w:r>
    </w:p>
    <w:p w14:paraId="42103828"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While no cure exists for ASD, multiple evidence-based interventions aim to improve functioning and quality of life. </w:t>
      </w:r>
      <w:proofErr w:type="spellStart"/>
      <w:r w:rsidRPr="00566F9E">
        <w:rPr>
          <w:rFonts w:ascii="Arial" w:hAnsi="Arial" w:cs="Arial"/>
          <w:sz w:val="24"/>
          <w:szCs w:val="24"/>
        </w:rPr>
        <w:t>Behavioral</w:t>
      </w:r>
      <w:proofErr w:type="spellEnd"/>
      <w:r w:rsidRPr="00566F9E">
        <w:rPr>
          <w:rFonts w:ascii="Arial" w:hAnsi="Arial" w:cs="Arial"/>
          <w:sz w:val="24"/>
          <w:szCs w:val="24"/>
        </w:rPr>
        <w:t xml:space="preserve"> therapies, particularly Applied </w:t>
      </w:r>
      <w:proofErr w:type="spellStart"/>
      <w:r w:rsidRPr="00566F9E">
        <w:rPr>
          <w:rFonts w:ascii="Arial" w:hAnsi="Arial" w:cs="Arial"/>
          <w:sz w:val="24"/>
          <w:szCs w:val="24"/>
        </w:rPr>
        <w:t>Behavior</w:t>
      </w:r>
      <w:proofErr w:type="spellEnd"/>
      <w:r w:rsidRPr="00566F9E">
        <w:rPr>
          <w:rFonts w:ascii="Arial" w:hAnsi="Arial" w:cs="Arial"/>
          <w:sz w:val="24"/>
          <w:szCs w:val="24"/>
        </w:rPr>
        <w:t xml:space="preserve"> Analysis (ABA), have demonstrated efficacy in enhancing communication, social skills, and adaptive </w:t>
      </w:r>
      <w:proofErr w:type="spellStart"/>
      <w:r w:rsidRPr="00566F9E">
        <w:rPr>
          <w:rFonts w:ascii="Arial" w:hAnsi="Arial" w:cs="Arial"/>
          <w:sz w:val="24"/>
          <w:szCs w:val="24"/>
        </w:rPr>
        <w:t>behaviors</w:t>
      </w:r>
      <w:proofErr w:type="spellEnd"/>
      <w:r w:rsidRPr="00566F9E">
        <w:rPr>
          <w:rFonts w:ascii="Arial" w:hAnsi="Arial" w:cs="Arial"/>
          <w:sz w:val="24"/>
          <w:szCs w:val="24"/>
        </w:rPr>
        <w:t xml:space="preserve"> (Rogers &amp; Vismara, 2018). </w:t>
      </w:r>
    </w:p>
    <w:p w14:paraId="0347347F"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Speech and language therapy addresses communication deficits, employing techniques ranging from traditional speech therapy to augmentative and alternative communication (AAC) systems. Occupational therapy targets sensory processing difficulties and daily living skills, often integrating sensory integration approaches.</w:t>
      </w:r>
    </w:p>
    <w:p w14:paraId="5DB59712"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Pharmacological interventions are primarily used to manage co-occurring conditions such as irritability, hyperactivity, or anxiety. Medications like risperidone and aripiprazole are FDA-approved for irritability but do not modify core autistic traits (</w:t>
      </w:r>
      <w:proofErr w:type="spellStart"/>
      <w:r w:rsidRPr="00566F9E">
        <w:rPr>
          <w:rFonts w:ascii="Arial" w:hAnsi="Arial" w:cs="Arial"/>
          <w:sz w:val="24"/>
          <w:szCs w:val="24"/>
        </w:rPr>
        <w:t>Ozonoff</w:t>
      </w:r>
      <w:proofErr w:type="spellEnd"/>
      <w:r w:rsidRPr="00566F9E">
        <w:rPr>
          <w:rFonts w:ascii="Arial" w:hAnsi="Arial" w:cs="Arial"/>
          <w:sz w:val="24"/>
          <w:szCs w:val="24"/>
        </w:rPr>
        <w:t xml:space="preserve"> et al., 2015).</w:t>
      </w:r>
    </w:p>
    <w:p w14:paraId="1A716A75"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3.2 Rehabilitation Measures in Practice</w:t>
      </w:r>
    </w:p>
    <w:p w14:paraId="0C0DB79D"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The ICD-11 stresses early intervention, with a focus on tailored, multidisciplinary approaches that support developmental gains. Evidence suggests that early, intensive </w:t>
      </w:r>
      <w:proofErr w:type="spellStart"/>
      <w:r w:rsidRPr="00566F9E">
        <w:rPr>
          <w:rFonts w:ascii="Arial" w:hAnsi="Arial" w:cs="Arial"/>
          <w:sz w:val="24"/>
          <w:szCs w:val="24"/>
        </w:rPr>
        <w:t>behavioral</w:t>
      </w:r>
      <w:proofErr w:type="spellEnd"/>
      <w:r w:rsidRPr="00566F9E">
        <w:rPr>
          <w:rFonts w:ascii="Arial" w:hAnsi="Arial" w:cs="Arial"/>
          <w:sz w:val="24"/>
          <w:szCs w:val="24"/>
        </w:rPr>
        <w:t xml:space="preserve"> and developmental therapies can improve language, social skills, and adaptive functioning (Lord et al., 2020). </w:t>
      </w:r>
    </w:p>
    <w:p w14:paraId="0549C2DA"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Community-based programs, social skills training, parent-mediated interventions, and inclusive education are integral components in modern rehabilitation strategies. Emphasizing neurodiversity, some programs aim to foster acceptance and self-advocacy, moving away from normalization paradigms (Silberman, 2015).</w:t>
      </w:r>
    </w:p>
    <w:p w14:paraId="79C4DD3D"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lastRenderedPageBreak/>
        <w:t>3.3 Effectiveness and Limitations</w:t>
      </w:r>
    </w:p>
    <w:p w14:paraId="10686845"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While early interventions like ABA have demonstrated benefits, outcomes are highly individual and influenced by factors such as severity, co-occurring conditions, and family support. Critics argue that </w:t>
      </w:r>
      <w:proofErr w:type="spellStart"/>
      <w:r w:rsidRPr="00566F9E">
        <w:rPr>
          <w:rFonts w:ascii="Arial" w:hAnsi="Arial" w:cs="Arial"/>
          <w:sz w:val="24"/>
          <w:szCs w:val="24"/>
        </w:rPr>
        <w:t>behavioral</w:t>
      </w:r>
      <w:proofErr w:type="spellEnd"/>
      <w:r w:rsidRPr="00566F9E">
        <w:rPr>
          <w:rFonts w:ascii="Arial" w:hAnsi="Arial" w:cs="Arial"/>
          <w:sz w:val="24"/>
          <w:szCs w:val="24"/>
        </w:rPr>
        <w:t xml:space="preserve"> approaches may prioritize compliance over personal autonomy and identity, raising ethical concerns (Kapp, 2020). </w:t>
      </w:r>
    </w:p>
    <w:p w14:paraId="0E326441" w14:textId="1074E354" w:rsidR="00566F9E" w:rsidRDefault="00566F9E" w:rsidP="00566F9E">
      <w:pPr>
        <w:spacing w:line="360" w:lineRule="auto"/>
        <w:rPr>
          <w:rFonts w:ascii="Arial" w:hAnsi="Arial" w:cs="Arial"/>
          <w:sz w:val="24"/>
          <w:szCs w:val="24"/>
        </w:rPr>
      </w:pPr>
      <w:r w:rsidRPr="00566F9E">
        <w:rPr>
          <w:rFonts w:ascii="Arial" w:hAnsi="Arial" w:cs="Arial"/>
          <w:sz w:val="24"/>
          <w:szCs w:val="24"/>
        </w:rPr>
        <w:t>Resource limitations pose challenges worldwide, limiting access in many regions. Additionally, the heterogeneity within the spectrum necessitates more personalized, flexible intervention models that respect individual differences and promote self-determination (</w:t>
      </w:r>
      <w:proofErr w:type="spellStart"/>
      <w:r w:rsidRPr="00566F9E">
        <w:rPr>
          <w:rFonts w:ascii="Arial" w:hAnsi="Arial" w:cs="Arial"/>
          <w:sz w:val="24"/>
          <w:szCs w:val="24"/>
        </w:rPr>
        <w:t>Falkmer</w:t>
      </w:r>
      <w:proofErr w:type="spellEnd"/>
      <w:r w:rsidRPr="00566F9E">
        <w:rPr>
          <w:rFonts w:ascii="Arial" w:hAnsi="Arial" w:cs="Arial"/>
          <w:sz w:val="24"/>
          <w:szCs w:val="24"/>
        </w:rPr>
        <w:t xml:space="preserve"> et al., 2019).</w:t>
      </w:r>
    </w:p>
    <w:p w14:paraId="4B502285" w14:textId="77777777" w:rsidR="00566F9E" w:rsidRDefault="00566F9E" w:rsidP="00566F9E">
      <w:pPr>
        <w:spacing w:line="360" w:lineRule="auto"/>
        <w:rPr>
          <w:rFonts w:ascii="Arial" w:hAnsi="Arial" w:cs="Arial"/>
          <w:sz w:val="24"/>
          <w:szCs w:val="24"/>
        </w:rPr>
      </w:pPr>
    </w:p>
    <w:p w14:paraId="14DB9F25"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4. Current Debates and Emerging Issues</w:t>
      </w:r>
    </w:p>
    <w:p w14:paraId="48751673"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4.1 Classification and Diagnostic Debates</w:t>
      </w:r>
    </w:p>
    <w:p w14:paraId="4EEB029B"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The spectrum model has improved recognition of individual differences but has also introduced concerns about diagnostic dilution and heterogeneity. Some experts advocate for subtyping based on neurobiological markers, while others caution against over-medicalization and loss of neurodiverse identities (Kapp, 2020).</w:t>
      </w:r>
    </w:p>
    <w:p w14:paraId="28CFE36E"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4.2 The Role of Neurodivergence</w:t>
      </w:r>
    </w:p>
    <w:p w14:paraId="4A54B4BF"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The neurodiversity movement challenges the dominant medical model, emphasizing acceptance, accommodation, and recognition of autistic strengths (Silberman, 2015). Critics argue that framing autism solely as a disorder neglects the positive aspects of neurodiversity, affecting policy and clinical approaches (</w:t>
      </w:r>
      <w:proofErr w:type="spellStart"/>
      <w:r w:rsidRPr="00566F9E">
        <w:rPr>
          <w:rFonts w:ascii="Arial" w:hAnsi="Arial" w:cs="Arial"/>
          <w:sz w:val="24"/>
          <w:szCs w:val="24"/>
        </w:rPr>
        <w:t>Happé</w:t>
      </w:r>
      <w:proofErr w:type="spellEnd"/>
      <w:r w:rsidRPr="00566F9E">
        <w:rPr>
          <w:rFonts w:ascii="Arial" w:hAnsi="Arial" w:cs="Arial"/>
          <w:sz w:val="24"/>
          <w:szCs w:val="24"/>
        </w:rPr>
        <w:t xml:space="preserve"> &amp; Frith, 2020). The debate influences intervention strategies, with a growing emphasis on support and empowerment rather than normalization.</w:t>
      </w:r>
    </w:p>
    <w:p w14:paraId="2EA6EFA9"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t>4.3 Reclassification and Future Directions</w:t>
      </w:r>
    </w:p>
    <w:p w14:paraId="5544EBED" w14:textId="77777777" w:rsidR="00566F9E" w:rsidRPr="00566F9E" w:rsidRDefault="00566F9E" w:rsidP="00566F9E">
      <w:pPr>
        <w:spacing w:line="360" w:lineRule="auto"/>
        <w:rPr>
          <w:rFonts w:ascii="Arial" w:hAnsi="Arial" w:cs="Arial"/>
          <w:sz w:val="24"/>
          <w:szCs w:val="24"/>
        </w:rPr>
      </w:pPr>
      <w:r w:rsidRPr="00566F9E">
        <w:rPr>
          <w:rFonts w:ascii="Arial" w:hAnsi="Arial" w:cs="Arial"/>
          <w:sz w:val="24"/>
          <w:szCs w:val="24"/>
        </w:rPr>
        <w:t xml:space="preserve">Advances in genetics and neuroimaging have prompted discussions about incorporating biological markers into ASD classification, potentially leading to subtypes or risk profiles. These developments could refine diagnosis but also pose ethical questions regarding stigma, genetic determinism, and discrimination (Lombardo et al., 2019). Future revisions of ICD and DSM may reflect these insights, emphasizing dimensional and biological approaches alongside </w:t>
      </w:r>
      <w:proofErr w:type="spellStart"/>
      <w:r w:rsidRPr="00566F9E">
        <w:rPr>
          <w:rFonts w:ascii="Arial" w:hAnsi="Arial" w:cs="Arial"/>
          <w:sz w:val="24"/>
          <w:szCs w:val="24"/>
        </w:rPr>
        <w:t>behavioral</w:t>
      </w:r>
      <w:proofErr w:type="spellEnd"/>
      <w:r w:rsidRPr="00566F9E">
        <w:rPr>
          <w:rFonts w:ascii="Arial" w:hAnsi="Arial" w:cs="Arial"/>
          <w:sz w:val="24"/>
          <w:szCs w:val="24"/>
        </w:rPr>
        <w:t xml:space="preserve"> criteria.</w:t>
      </w:r>
    </w:p>
    <w:p w14:paraId="501BD284" w14:textId="77777777" w:rsidR="00566F9E" w:rsidRPr="00566F9E" w:rsidRDefault="00566F9E" w:rsidP="00566F9E">
      <w:pPr>
        <w:spacing w:line="360" w:lineRule="auto"/>
        <w:rPr>
          <w:rFonts w:ascii="Arial" w:hAnsi="Arial" w:cs="Arial"/>
          <w:b/>
          <w:bCs/>
          <w:sz w:val="24"/>
          <w:szCs w:val="24"/>
        </w:rPr>
      </w:pPr>
      <w:r w:rsidRPr="00566F9E">
        <w:rPr>
          <w:rFonts w:ascii="Arial" w:hAnsi="Arial" w:cs="Arial"/>
          <w:b/>
          <w:bCs/>
          <w:sz w:val="24"/>
          <w:szCs w:val="24"/>
        </w:rPr>
        <w:lastRenderedPageBreak/>
        <w:t>4.4 Practice and Policy Implications</w:t>
      </w:r>
    </w:p>
    <w:p w14:paraId="7C0971B3" w14:textId="5667EF9D" w:rsidR="00566F9E" w:rsidRDefault="00566F9E" w:rsidP="00566F9E">
      <w:pPr>
        <w:spacing w:line="360" w:lineRule="auto"/>
        <w:rPr>
          <w:rFonts w:ascii="Arial" w:hAnsi="Arial" w:cs="Arial"/>
          <w:sz w:val="24"/>
          <w:szCs w:val="24"/>
        </w:rPr>
      </w:pPr>
      <w:r w:rsidRPr="00566F9E">
        <w:rPr>
          <w:rFonts w:ascii="Arial" w:hAnsi="Arial" w:cs="Arial"/>
          <w:sz w:val="24"/>
          <w:szCs w:val="24"/>
        </w:rPr>
        <w:t>Debates impact funding priorities, educational policies, and clinical practices. Embracing neurodiversity can promote more inclusive environments, but may challenge existing service models rooted in deficit-based paradigms. Policymakers must balance scientific advances with ethical considerations, ensuring equitable access and respect for individual identities (Kapp, 2020).</w:t>
      </w:r>
    </w:p>
    <w:p w14:paraId="0FBBB163" w14:textId="77777777" w:rsidR="00566F9E" w:rsidRDefault="00566F9E" w:rsidP="00566F9E">
      <w:pPr>
        <w:spacing w:line="360" w:lineRule="auto"/>
        <w:rPr>
          <w:rFonts w:ascii="Arial" w:hAnsi="Arial" w:cs="Arial"/>
          <w:sz w:val="24"/>
          <w:szCs w:val="24"/>
        </w:rPr>
      </w:pPr>
    </w:p>
    <w:p w14:paraId="5CE426CA" w14:textId="77777777" w:rsidR="009F00F4" w:rsidRPr="009F00F4" w:rsidRDefault="009F00F4" w:rsidP="009F00F4">
      <w:pPr>
        <w:spacing w:line="360" w:lineRule="auto"/>
        <w:rPr>
          <w:rFonts w:ascii="Arial" w:hAnsi="Arial" w:cs="Arial"/>
          <w:b/>
          <w:bCs/>
          <w:sz w:val="24"/>
          <w:szCs w:val="24"/>
        </w:rPr>
      </w:pPr>
      <w:r w:rsidRPr="009F00F4">
        <w:rPr>
          <w:rFonts w:ascii="Arial" w:hAnsi="Arial" w:cs="Arial"/>
          <w:b/>
          <w:bCs/>
          <w:sz w:val="24"/>
          <w:szCs w:val="24"/>
        </w:rPr>
        <w:t>5. Recommendations</w:t>
      </w:r>
    </w:p>
    <w:p w14:paraId="37B10713"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To advance the understanding, classification, and support of individuals with ASD, the following evidence-based recommendations are proposed:</w:t>
      </w:r>
    </w:p>
    <w:p w14:paraId="1D6928C4"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a) Embrace and Promote Neurodiversity-Affirming Practices</w:t>
      </w:r>
    </w:p>
    <w:p w14:paraId="664D97E8"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Shift from solely deficit-focused models towards neurodiversity-affirming approaches that recognize and respect autistic individuals’ strengths, preferences, and identities. This involves incorporating the neurodiversity paradigm into clinical practice, education, and policy, emphasizing acceptance, self-advocacy, and accommodations that enable autistic people to thrive (Kapp, 2020). Training clinicians, educators, and policymakers in neurodiversity principles will foster environments that value diversity rather than pathologize it.</w:t>
      </w:r>
    </w:p>
    <w:p w14:paraId="49C97BAB"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b) Prioritize Early and Precise Diagnosis</w:t>
      </w:r>
    </w:p>
    <w:p w14:paraId="519A2789"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Invest in accessible, culturally sensitive, and early diagnostic services, particularly in underserved and marginalized communities. Early identification (preferably in preschool years) allows timely intervention, which has been shown to improve developmental outcomes and reduce secondary difficulties (</w:t>
      </w:r>
      <w:proofErr w:type="spellStart"/>
      <w:r w:rsidRPr="009F00F4">
        <w:rPr>
          <w:rFonts w:ascii="Arial" w:hAnsi="Arial" w:cs="Arial"/>
          <w:sz w:val="24"/>
          <w:szCs w:val="24"/>
        </w:rPr>
        <w:t>Falkmer</w:t>
      </w:r>
      <w:proofErr w:type="spellEnd"/>
      <w:r w:rsidRPr="009F00F4">
        <w:rPr>
          <w:rFonts w:ascii="Arial" w:hAnsi="Arial" w:cs="Arial"/>
          <w:sz w:val="24"/>
          <w:szCs w:val="24"/>
        </w:rPr>
        <w:t xml:space="preserve"> et al., 2019). Development of culturally adapted screening tools and training for primary care providers will facilitate earlier recognition of ASD symptoms.</w:t>
      </w:r>
    </w:p>
    <w:p w14:paraId="21EB9980"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c) Develop Personalized and Holistic Interventions</w:t>
      </w:r>
    </w:p>
    <w:p w14:paraId="666C7819"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 xml:space="preserve">Recognize the heterogeneity within the spectrum by designing individualized intervention plans that combine </w:t>
      </w:r>
      <w:proofErr w:type="spellStart"/>
      <w:r w:rsidRPr="009F00F4">
        <w:rPr>
          <w:rFonts w:ascii="Arial" w:hAnsi="Arial" w:cs="Arial"/>
          <w:sz w:val="24"/>
          <w:szCs w:val="24"/>
        </w:rPr>
        <w:t>behavioral</w:t>
      </w:r>
      <w:proofErr w:type="spellEnd"/>
      <w:r w:rsidRPr="009F00F4">
        <w:rPr>
          <w:rFonts w:ascii="Arial" w:hAnsi="Arial" w:cs="Arial"/>
          <w:sz w:val="24"/>
          <w:szCs w:val="24"/>
        </w:rPr>
        <w:t>, developmental, sensory, and social support strategies. Incorporate family-</w:t>
      </w:r>
      <w:proofErr w:type="spellStart"/>
      <w:r w:rsidRPr="009F00F4">
        <w:rPr>
          <w:rFonts w:ascii="Arial" w:hAnsi="Arial" w:cs="Arial"/>
          <w:sz w:val="24"/>
          <w:szCs w:val="24"/>
        </w:rPr>
        <w:t>centered</w:t>
      </w:r>
      <w:proofErr w:type="spellEnd"/>
      <w:r w:rsidRPr="009F00F4">
        <w:rPr>
          <w:rFonts w:ascii="Arial" w:hAnsi="Arial" w:cs="Arial"/>
          <w:sz w:val="24"/>
          <w:szCs w:val="24"/>
        </w:rPr>
        <w:t xml:space="preserve"> practices and peer support systems to enhance generalization and sustainability of gains (Rogers &amp; Vismara, 2018). </w:t>
      </w:r>
      <w:r w:rsidRPr="009F00F4">
        <w:rPr>
          <w:rFonts w:ascii="Arial" w:hAnsi="Arial" w:cs="Arial"/>
          <w:sz w:val="24"/>
          <w:szCs w:val="24"/>
        </w:rPr>
        <w:lastRenderedPageBreak/>
        <w:t>Interventions should be flexible, adaptable, and respectful of autistic individuals’ preferences, aligning with neurodiversity principles.</w:t>
      </w:r>
    </w:p>
    <w:p w14:paraId="6A48448D"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d) Invest in Neurobiological and Genetic Research</w:t>
      </w:r>
    </w:p>
    <w:p w14:paraId="717ABD85"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 xml:space="preserve">Support research into identifying neurobiological, genetic, and biomarker-based indicators of ASD. Such advances could lead to more precise subtyping, early detection, and targeted therapies, moving beyond </w:t>
      </w:r>
      <w:proofErr w:type="spellStart"/>
      <w:r w:rsidRPr="009F00F4">
        <w:rPr>
          <w:rFonts w:ascii="Arial" w:hAnsi="Arial" w:cs="Arial"/>
          <w:sz w:val="24"/>
          <w:szCs w:val="24"/>
        </w:rPr>
        <w:t>behavioral</w:t>
      </w:r>
      <w:proofErr w:type="spellEnd"/>
      <w:r w:rsidRPr="009F00F4">
        <w:rPr>
          <w:rFonts w:ascii="Arial" w:hAnsi="Arial" w:cs="Arial"/>
          <w:sz w:val="24"/>
          <w:szCs w:val="24"/>
        </w:rPr>
        <w:t xml:space="preserve"> assessments alone (Lombardo et al., 2019). Ethical considerations must guide this research to prevent discrimination, stigma, or misuse of biological information.</w:t>
      </w:r>
    </w:p>
    <w:p w14:paraId="0CC59187"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e) Foster Inclusive Policies in Education and Employment</w:t>
      </w:r>
    </w:p>
    <w:p w14:paraId="126CA56A"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Promote policies that facilitate inclusive education systems and equitable employment opportunities for autistic individuals. This includes implementing reasonable accommodations, anti-discrimination laws, and awareness campaigns to combat stigma. Empowering autistic individuals to participate fully in society not only enhances their quality of life but also enriches communities with diverse talents and perspectives (Silberman, 2015).</w:t>
      </w:r>
    </w:p>
    <w:p w14:paraId="6D127DEA"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f) Engage Autistic Individuals and Stakeholders in Policy and Practice</w:t>
      </w:r>
    </w:p>
    <w:p w14:paraId="797572DD"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Ensure that autistic individuals, families, advocacy groups, and other stakeholders are actively involved in shaping diagnostic criteria, intervention programs, and policy frameworks. Their lived experiences provide critical insights that can improve relevance, effectiveness, and acceptability of services (Kapp, 2020). Participatory approaches foster a sense of agency and ensure that services align with actual needs and preferences.</w:t>
      </w:r>
    </w:p>
    <w:p w14:paraId="29C4880A"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g) Promote Ethical and Culturally Sensitive Research and Practice</w:t>
      </w:r>
    </w:p>
    <w:p w14:paraId="07260BB7" w14:textId="73A3B5EE" w:rsidR="00566F9E" w:rsidRDefault="009F00F4" w:rsidP="009F00F4">
      <w:pPr>
        <w:spacing w:line="360" w:lineRule="auto"/>
        <w:rPr>
          <w:rFonts w:ascii="Arial" w:hAnsi="Arial" w:cs="Arial"/>
          <w:sz w:val="24"/>
          <w:szCs w:val="24"/>
        </w:rPr>
      </w:pPr>
      <w:r w:rsidRPr="009F00F4">
        <w:rPr>
          <w:rFonts w:ascii="Arial" w:hAnsi="Arial" w:cs="Arial"/>
          <w:sz w:val="24"/>
          <w:szCs w:val="24"/>
        </w:rPr>
        <w:t>Maintain ethical standards that respect autonomy, privacy, and cultural diversity. Avoid reductionist or deterministic models that may stigmatize or marginalize autistic individuals. Emphasize balanced approaches that integrate scientific advances with respect for personal and cultural identities, fostering societal acceptance and reducing discrimination.</w:t>
      </w:r>
    </w:p>
    <w:p w14:paraId="0042C9FC" w14:textId="77777777" w:rsidR="009F00F4" w:rsidRDefault="009F00F4" w:rsidP="009F00F4">
      <w:pPr>
        <w:spacing w:line="360" w:lineRule="auto"/>
        <w:rPr>
          <w:rFonts w:ascii="Arial" w:hAnsi="Arial" w:cs="Arial"/>
          <w:sz w:val="24"/>
          <w:szCs w:val="24"/>
        </w:rPr>
      </w:pPr>
    </w:p>
    <w:p w14:paraId="72A59213" w14:textId="77777777" w:rsidR="009F00F4" w:rsidRDefault="009F00F4" w:rsidP="009F00F4">
      <w:pPr>
        <w:spacing w:line="360" w:lineRule="auto"/>
        <w:rPr>
          <w:rFonts w:ascii="Arial" w:hAnsi="Arial" w:cs="Arial"/>
          <w:sz w:val="24"/>
          <w:szCs w:val="24"/>
        </w:rPr>
      </w:pPr>
    </w:p>
    <w:p w14:paraId="4B2FC442" w14:textId="77777777" w:rsidR="009F00F4" w:rsidRPr="009F00F4" w:rsidRDefault="009F00F4" w:rsidP="009F00F4">
      <w:pPr>
        <w:spacing w:line="360" w:lineRule="auto"/>
        <w:rPr>
          <w:rFonts w:ascii="Arial" w:hAnsi="Arial" w:cs="Arial"/>
          <w:b/>
          <w:bCs/>
          <w:sz w:val="24"/>
          <w:szCs w:val="24"/>
        </w:rPr>
      </w:pPr>
      <w:r w:rsidRPr="009F00F4">
        <w:rPr>
          <w:rFonts w:ascii="Arial" w:hAnsi="Arial" w:cs="Arial"/>
          <w:b/>
          <w:bCs/>
          <w:sz w:val="24"/>
          <w:szCs w:val="24"/>
        </w:rPr>
        <w:lastRenderedPageBreak/>
        <w:t>6. Conclusion</w:t>
      </w:r>
    </w:p>
    <w:p w14:paraId="0288E7B4"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 xml:space="preserve">Autism Spectrum Disorder (ASD) is a complex, heterogeneous neurodevelopmental condition that challenges traditional categorical classifications, prompting a shift towards a spectrum-based understanding as reflected in the ICD-11. This evolution aligns with current neurobiological research highlighting the diversity of genetic, neuroanatomical, and </w:t>
      </w:r>
      <w:proofErr w:type="spellStart"/>
      <w:r w:rsidRPr="009F00F4">
        <w:rPr>
          <w:rFonts w:ascii="Arial" w:hAnsi="Arial" w:cs="Arial"/>
          <w:sz w:val="24"/>
          <w:szCs w:val="24"/>
        </w:rPr>
        <w:t>behavioral</w:t>
      </w:r>
      <w:proofErr w:type="spellEnd"/>
      <w:r w:rsidRPr="009F00F4">
        <w:rPr>
          <w:rFonts w:ascii="Arial" w:hAnsi="Arial" w:cs="Arial"/>
          <w:sz w:val="24"/>
          <w:szCs w:val="24"/>
        </w:rPr>
        <w:t xml:space="preserve"> profiles within the autistic community (Lombardo et al., 2019). The ICD-11’s inclusive and dimensional approach promotes more personalized assessments and supports, fostering a better understanding of individual differences.</w:t>
      </w:r>
    </w:p>
    <w:p w14:paraId="592DA20E"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 xml:space="preserve">Current treatment strategies, primarily </w:t>
      </w:r>
      <w:proofErr w:type="spellStart"/>
      <w:r w:rsidRPr="009F00F4">
        <w:rPr>
          <w:rFonts w:ascii="Arial" w:hAnsi="Arial" w:cs="Arial"/>
          <w:sz w:val="24"/>
          <w:szCs w:val="24"/>
        </w:rPr>
        <w:t>behavioral</w:t>
      </w:r>
      <w:proofErr w:type="spellEnd"/>
      <w:r w:rsidRPr="009F00F4">
        <w:rPr>
          <w:rFonts w:ascii="Arial" w:hAnsi="Arial" w:cs="Arial"/>
          <w:sz w:val="24"/>
          <w:szCs w:val="24"/>
        </w:rPr>
        <w:t xml:space="preserve"> and developmental interventions, have demonstrated effectiveness in improving communication, social skills, and adaptive functioning. However, their limitations—such as variable outcomes, access disparities, and ethical debates—underscore the need to adopt more holistic, flexible, and neurodiversity-affirming practices. Emphasizing early intervention is crucial for optimizing developmental trajectories, yet challenges in timely diagnosis remain, especially in underserved populations.</w:t>
      </w:r>
    </w:p>
    <w:p w14:paraId="46AEDFBC" w14:textId="77777777" w:rsidR="009F00F4" w:rsidRPr="009F00F4" w:rsidRDefault="009F00F4" w:rsidP="009F00F4">
      <w:pPr>
        <w:spacing w:line="360" w:lineRule="auto"/>
        <w:rPr>
          <w:rFonts w:ascii="Arial" w:hAnsi="Arial" w:cs="Arial"/>
          <w:sz w:val="24"/>
          <w:szCs w:val="24"/>
        </w:rPr>
      </w:pPr>
      <w:r w:rsidRPr="009F00F4">
        <w:rPr>
          <w:rFonts w:ascii="Arial" w:hAnsi="Arial" w:cs="Arial"/>
          <w:sz w:val="24"/>
          <w:szCs w:val="24"/>
        </w:rPr>
        <w:t>Ongoing debates around terminology, classification, and the role of neurodivergence reflect broader societal shifts towards acceptance and inclusion. The neurodiversity movement advocates for recognising autism as a natural human variation, emphasizing strengths and community participation rather than solely focusing on deficits (Silberman, 2015). These perspectives influence policy, clinical practice, and research, urging the field to balance scientific advances with ethical, cultural, and social considerations.</w:t>
      </w:r>
    </w:p>
    <w:p w14:paraId="79DAC8A7" w14:textId="3DCA0850" w:rsidR="009F00F4" w:rsidRDefault="009F00F4" w:rsidP="009F00F4">
      <w:pPr>
        <w:spacing w:line="360" w:lineRule="auto"/>
        <w:rPr>
          <w:rFonts w:ascii="Arial" w:hAnsi="Arial" w:cs="Arial"/>
          <w:sz w:val="24"/>
          <w:szCs w:val="24"/>
        </w:rPr>
      </w:pPr>
      <w:r w:rsidRPr="009F00F4">
        <w:rPr>
          <w:rFonts w:ascii="Arial" w:hAnsi="Arial" w:cs="Arial"/>
          <w:sz w:val="24"/>
          <w:szCs w:val="24"/>
        </w:rPr>
        <w:t xml:space="preserve">Looking ahead, future efforts should prioritize integrating biological research with </w:t>
      </w:r>
      <w:proofErr w:type="spellStart"/>
      <w:r w:rsidRPr="009F00F4">
        <w:rPr>
          <w:rFonts w:ascii="Arial" w:hAnsi="Arial" w:cs="Arial"/>
          <w:sz w:val="24"/>
          <w:szCs w:val="24"/>
        </w:rPr>
        <w:t>behavioral</w:t>
      </w:r>
      <w:proofErr w:type="spellEnd"/>
      <w:r w:rsidRPr="009F00F4">
        <w:rPr>
          <w:rFonts w:ascii="Arial" w:hAnsi="Arial" w:cs="Arial"/>
          <w:sz w:val="24"/>
          <w:szCs w:val="24"/>
        </w:rPr>
        <w:t xml:space="preserve"> assessments, fostering inclusive policies, and involving autistic individuals in decision-making processes. Embracing a respectful, person-</w:t>
      </w:r>
      <w:proofErr w:type="spellStart"/>
      <w:r w:rsidRPr="009F00F4">
        <w:rPr>
          <w:rFonts w:ascii="Arial" w:hAnsi="Arial" w:cs="Arial"/>
          <w:sz w:val="24"/>
          <w:szCs w:val="24"/>
        </w:rPr>
        <w:t>centered</w:t>
      </w:r>
      <w:proofErr w:type="spellEnd"/>
      <w:r w:rsidRPr="009F00F4">
        <w:rPr>
          <w:rFonts w:ascii="Arial" w:hAnsi="Arial" w:cs="Arial"/>
          <w:sz w:val="24"/>
          <w:szCs w:val="24"/>
        </w:rPr>
        <w:t xml:space="preserve"> approach that values neurodiversity will be vital in promoting societal acceptance, reducing stigma, and ensuring that support systems meet the diverse needs of autistic individuals across the lifespan. Only through such multifaceted, collaborative efforts can we build a more inclusive and equitable future for those on the autism spectrum.</w:t>
      </w:r>
    </w:p>
    <w:p w14:paraId="454B038F" w14:textId="77777777" w:rsidR="009F00F4" w:rsidRDefault="009F00F4" w:rsidP="009F00F4">
      <w:pPr>
        <w:spacing w:line="360" w:lineRule="auto"/>
        <w:rPr>
          <w:rFonts w:ascii="Arial" w:hAnsi="Arial" w:cs="Arial"/>
          <w:sz w:val="24"/>
          <w:szCs w:val="24"/>
        </w:rPr>
      </w:pPr>
    </w:p>
    <w:p w14:paraId="617EB17F" w14:textId="76661918" w:rsidR="009F00F4" w:rsidRPr="009F00F4" w:rsidRDefault="009F00F4" w:rsidP="009F00F4">
      <w:pPr>
        <w:spacing w:line="360" w:lineRule="auto"/>
        <w:rPr>
          <w:rFonts w:ascii="Arial" w:hAnsi="Arial" w:cs="Arial"/>
          <w:b/>
          <w:bCs/>
          <w:sz w:val="24"/>
          <w:szCs w:val="24"/>
        </w:rPr>
      </w:pPr>
      <w:r w:rsidRPr="009F00F4">
        <w:rPr>
          <w:rFonts w:ascii="Arial" w:hAnsi="Arial" w:cs="Arial"/>
          <w:b/>
          <w:bCs/>
          <w:sz w:val="24"/>
          <w:szCs w:val="24"/>
        </w:rPr>
        <w:lastRenderedPageBreak/>
        <w:t>7. References</w:t>
      </w:r>
    </w:p>
    <w:p w14:paraId="546C345F"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American Psychiatric Association. (2013). Diagnostic and Statistical Manual of Mental Disorders (5th ed.). Arlington, VA: American Psychiatric Publishing.</w:t>
      </w:r>
    </w:p>
    <w:p w14:paraId="5621F52E" w14:textId="77777777" w:rsidR="009F00F4" w:rsidRPr="009F00F4" w:rsidRDefault="009F00F4" w:rsidP="009F00F4">
      <w:pPr>
        <w:pStyle w:val="ListParagraph"/>
        <w:numPr>
          <w:ilvl w:val="0"/>
          <w:numId w:val="4"/>
        </w:numPr>
        <w:spacing w:line="360" w:lineRule="auto"/>
        <w:rPr>
          <w:rFonts w:ascii="Arial" w:hAnsi="Arial" w:cs="Arial"/>
          <w:sz w:val="24"/>
          <w:szCs w:val="24"/>
        </w:rPr>
      </w:pPr>
      <w:proofErr w:type="spellStart"/>
      <w:r w:rsidRPr="009F00F4">
        <w:rPr>
          <w:rFonts w:ascii="Arial" w:hAnsi="Arial" w:cs="Arial"/>
          <w:sz w:val="24"/>
          <w:szCs w:val="24"/>
        </w:rPr>
        <w:t>Falkmer</w:t>
      </w:r>
      <w:proofErr w:type="spellEnd"/>
      <w:r w:rsidRPr="009F00F4">
        <w:rPr>
          <w:rFonts w:ascii="Arial" w:hAnsi="Arial" w:cs="Arial"/>
          <w:sz w:val="24"/>
          <w:szCs w:val="24"/>
        </w:rPr>
        <w:t>, M., et al. (2019). The effectiveness of early intervention in autism spectrum disorder: A systematic review. Research in Developmental Disabilities, 91, 103–117.</w:t>
      </w:r>
    </w:p>
    <w:p w14:paraId="6FC7C94A"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Kapp, S. (2020). Autism and neurodiversity: A critical perspective. Journal of Autism and Developmental Disorders, 50(1), 123–135.</w:t>
      </w:r>
    </w:p>
    <w:p w14:paraId="5E820515"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Kapp, S., et al. (2019). Autism Spectrum Disorder. Cambridge University Press.</w:t>
      </w:r>
    </w:p>
    <w:p w14:paraId="3D09D15E" w14:textId="77777777" w:rsidR="009F00F4" w:rsidRPr="009F00F4" w:rsidRDefault="009F00F4" w:rsidP="009F00F4">
      <w:pPr>
        <w:pStyle w:val="ListParagraph"/>
        <w:numPr>
          <w:ilvl w:val="0"/>
          <w:numId w:val="4"/>
        </w:numPr>
        <w:spacing w:line="360" w:lineRule="auto"/>
        <w:rPr>
          <w:rFonts w:ascii="Arial" w:hAnsi="Arial" w:cs="Arial"/>
          <w:sz w:val="24"/>
          <w:szCs w:val="24"/>
          <w:lang w:val="fr-FR"/>
        </w:rPr>
      </w:pPr>
      <w:r w:rsidRPr="009F00F4">
        <w:rPr>
          <w:rFonts w:ascii="Arial" w:hAnsi="Arial" w:cs="Arial"/>
          <w:sz w:val="24"/>
          <w:szCs w:val="24"/>
          <w:lang w:val="it-IT"/>
        </w:rPr>
        <w:t xml:space="preserve">Lombardo, M. V., et al. </w:t>
      </w:r>
      <w:r w:rsidRPr="009F00F4">
        <w:rPr>
          <w:rFonts w:ascii="Arial" w:hAnsi="Arial" w:cs="Arial"/>
          <w:sz w:val="24"/>
          <w:szCs w:val="24"/>
        </w:rPr>
        <w:t xml:space="preserve">(2019). Neurobiological and genetic aspects of autism spectrum disorder. </w:t>
      </w:r>
      <w:r w:rsidRPr="009F00F4">
        <w:rPr>
          <w:rFonts w:ascii="Arial" w:hAnsi="Arial" w:cs="Arial"/>
          <w:sz w:val="24"/>
          <w:szCs w:val="24"/>
          <w:lang w:val="fr-FR"/>
        </w:rPr>
        <w:t xml:space="preserve">Nature </w:t>
      </w:r>
      <w:proofErr w:type="spellStart"/>
      <w:r w:rsidRPr="009F00F4">
        <w:rPr>
          <w:rFonts w:ascii="Arial" w:hAnsi="Arial" w:cs="Arial"/>
          <w:sz w:val="24"/>
          <w:szCs w:val="24"/>
          <w:lang w:val="fr-FR"/>
        </w:rPr>
        <w:t>Reviews</w:t>
      </w:r>
      <w:proofErr w:type="spellEnd"/>
      <w:r w:rsidRPr="009F00F4">
        <w:rPr>
          <w:rFonts w:ascii="Arial" w:hAnsi="Arial" w:cs="Arial"/>
          <w:sz w:val="24"/>
          <w:szCs w:val="24"/>
          <w:lang w:val="fr-FR"/>
        </w:rPr>
        <w:t xml:space="preserve"> Neuroscience, 20(4), 214–226.</w:t>
      </w:r>
    </w:p>
    <w:p w14:paraId="3CB1DBB7"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lang w:val="fr-FR"/>
        </w:rPr>
        <w:t xml:space="preserve">Lord, C., </w:t>
      </w:r>
      <w:proofErr w:type="spellStart"/>
      <w:r w:rsidRPr="009F00F4">
        <w:rPr>
          <w:rFonts w:ascii="Arial" w:hAnsi="Arial" w:cs="Arial"/>
          <w:sz w:val="24"/>
          <w:szCs w:val="24"/>
          <w:lang w:val="fr-FR"/>
        </w:rPr>
        <w:t>Brugha</w:t>
      </w:r>
      <w:proofErr w:type="spellEnd"/>
      <w:r w:rsidRPr="009F00F4">
        <w:rPr>
          <w:rFonts w:ascii="Arial" w:hAnsi="Arial" w:cs="Arial"/>
          <w:sz w:val="24"/>
          <w:szCs w:val="24"/>
          <w:lang w:val="fr-FR"/>
        </w:rPr>
        <w:t xml:space="preserve">, T., Charman, T., et al. </w:t>
      </w:r>
      <w:r w:rsidRPr="009F00F4">
        <w:rPr>
          <w:rFonts w:ascii="Arial" w:hAnsi="Arial" w:cs="Arial"/>
          <w:sz w:val="24"/>
          <w:szCs w:val="24"/>
        </w:rPr>
        <w:t>(2020). Autism Spectrum Disorder. In: Rutter, M., et al. (Eds.), Developmental Disorders: Evidence and Practice. Oxford University Press.</w:t>
      </w:r>
    </w:p>
    <w:p w14:paraId="0E46C9C9" w14:textId="77777777" w:rsidR="009F00F4" w:rsidRPr="009F00F4" w:rsidRDefault="009F00F4" w:rsidP="009F00F4">
      <w:pPr>
        <w:pStyle w:val="ListParagraph"/>
        <w:numPr>
          <w:ilvl w:val="0"/>
          <w:numId w:val="4"/>
        </w:numPr>
        <w:spacing w:line="360" w:lineRule="auto"/>
        <w:rPr>
          <w:rFonts w:ascii="Arial" w:hAnsi="Arial" w:cs="Arial"/>
          <w:sz w:val="24"/>
          <w:szCs w:val="24"/>
        </w:rPr>
      </w:pPr>
      <w:proofErr w:type="spellStart"/>
      <w:r w:rsidRPr="009F00F4">
        <w:rPr>
          <w:rFonts w:ascii="Arial" w:hAnsi="Arial" w:cs="Arial"/>
          <w:sz w:val="24"/>
          <w:szCs w:val="24"/>
        </w:rPr>
        <w:t>Ozonoff</w:t>
      </w:r>
      <w:proofErr w:type="spellEnd"/>
      <w:r w:rsidRPr="009F00F4">
        <w:rPr>
          <w:rFonts w:ascii="Arial" w:hAnsi="Arial" w:cs="Arial"/>
          <w:sz w:val="24"/>
          <w:szCs w:val="24"/>
        </w:rPr>
        <w:t>, S., et al. (2015). Medications for Autism Spectrum Disorder. Journal of Autism and Developmental Disorders, 45(8), 2548–2559.</w:t>
      </w:r>
    </w:p>
    <w:p w14:paraId="4CB7D060"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Rogers, S. J., &amp; Vismara, L. A. (2018). Evidence-Based Interventions for Autism Spectrum Disorder. Journal of Autism and Developmental Disorders, 48(5), 1627–1640.</w:t>
      </w:r>
    </w:p>
    <w:p w14:paraId="42C1E118"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 xml:space="preserve">Silberman, S. (2015). </w:t>
      </w:r>
      <w:proofErr w:type="spellStart"/>
      <w:r w:rsidRPr="009F00F4">
        <w:rPr>
          <w:rFonts w:ascii="Arial" w:hAnsi="Arial" w:cs="Arial"/>
          <w:sz w:val="24"/>
          <w:szCs w:val="24"/>
        </w:rPr>
        <w:t>NeuroTribes</w:t>
      </w:r>
      <w:proofErr w:type="spellEnd"/>
      <w:r w:rsidRPr="009F00F4">
        <w:rPr>
          <w:rFonts w:ascii="Arial" w:hAnsi="Arial" w:cs="Arial"/>
          <w:sz w:val="24"/>
          <w:szCs w:val="24"/>
        </w:rPr>
        <w:t>: The Legacy of Autism and the Future of Neurodiversity. Avery Publishing.</w:t>
      </w:r>
    </w:p>
    <w:p w14:paraId="22E536FA" w14:textId="77777777"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Szatmari, P., et al. (2019). Genetic and neurobiological aspects of autism spectrum disorder. Nature Reviews Disease Primers, 5, 57.</w:t>
      </w:r>
    </w:p>
    <w:p w14:paraId="10E99837" w14:textId="4E7AE5D1" w:rsidR="009F00F4" w:rsidRPr="009F00F4" w:rsidRDefault="009F00F4" w:rsidP="009F00F4">
      <w:pPr>
        <w:pStyle w:val="ListParagraph"/>
        <w:numPr>
          <w:ilvl w:val="0"/>
          <w:numId w:val="4"/>
        </w:numPr>
        <w:spacing w:line="360" w:lineRule="auto"/>
        <w:rPr>
          <w:rFonts w:ascii="Arial" w:hAnsi="Arial" w:cs="Arial"/>
          <w:sz w:val="24"/>
          <w:szCs w:val="24"/>
        </w:rPr>
      </w:pPr>
      <w:r w:rsidRPr="009F00F4">
        <w:rPr>
          <w:rFonts w:ascii="Arial" w:hAnsi="Arial" w:cs="Arial"/>
          <w:sz w:val="24"/>
          <w:szCs w:val="24"/>
        </w:rPr>
        <w:t>World Health Organization. (2022). ICD-11 for Mortality and Morbidity Statistics. Geneva: WHO.</w:t>
      </w:r>
    </w:p>
    <w:sectPr w:rsidR="009F00F4" w:rsidRPr="009F00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A5074"/>
    <w:multiLevelType w:val="hybridMultilevel"/>
    <w:tmpl w:val="5E323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8B2F46"/>
    <w:multiLevelType w:val="hybridMultilevel"/>
    <w:tmpl w:val="82D6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A49A6"/>
    <w:multiLevelType w:val="hybridMultilevel"/>
    <w:tmpl w:val="A82C4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07217C"/>
    <w:multiLevelType w:val="hybridMultilevel"/>
    <w:tmpl w:val="A41678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3279517">
    <w:abstractNumId w:val="0"/>
  </w:num>
  <w:num w:numId="2" w16cid:durableId="1376660467">
    <w:abstractNumId w:val="2"/>
  </w:num>
  <w:num w:numId="3" w16cid:durableId="1476337207">
    <w:abstractNumId w:val="3"/>
  </w:num>
  <w:num w:numId="4" w16cid:durableId="99760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9E"/>
    <w:rsid w:val="00045426"/>
    <w:rsid w:val="00566F9E"/>
    <w:rsid w:val="00762BB9"/>
    <w:rsid w:val="00883E95"/>
    <w:rsid w:val="0092451A"/>
    <w:rsid w:val="009F00F4"/>
    <w:rsid w:val="00C32F2E"/>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8433"/>
  <w15:chartTrackingRefBased/>
  <w15:docId w15:val="{9401EA50-EC13-4E8D-A413-106F3D01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F9E"/>
    <w:rPr>
      <w:rFonts w:eastAsiaTheme="majorEastAsia" w:cstheme="majorBidi"/>
      <w:color w:val="272727" w:themeColor="text1" w:themeTint="D8"/>
    </w:rPr>
  </w:style>
  <w:style w:type="paragraph" w:styleId="Title">
    <w:name w:val="Title"/>
    <w:basedOn w:val="Normal"/>
    <w:next w:val="Normal"/>
    <w:link w:val="TitleChar"/>
    <w:uiPriority w:val="10"/>
    <w:qFormat/>
    <w:rsid w:val="00566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F9E"/>
    <w:pPr>
      <w:spacing w:before="160"/>
      <w:jc w:val="center"/>
    </w:pPr>
    <w:rPr>
      <w:i/>
      <w:iCs/>
      <w:color w:val="404040" w:themeColor="text1" w:themeTint="BF"/>
    </w:rPr>
  </w:style>
  <w:style w:type="character" w:customStyle="1" w:styleId="QuoteChar">
    <w:name w:val="Quote Char"/>
    <w:basedOn w:val="DefaultParagraphFont"/>
    <w:link w:val="Quote"/>
    <w:uiPriority w:val="29"/>
    <w:rsid w:val="00566F9E"/>
    <w:rPr>
      <w:i/>
      <w:iCs/>
      <w:color w:val="404040" w:themeColor="text1" w:themeTint="BF"/>
    </w:rPr>
  </w:style>
  <w:style w:type="paragraph" w:styleId="ListParagraph">
    <w:name w:val="List Paragraph"/>
    <w:basedOn w:val="Normal"/>
    <w:uiPriority w:val="34"/>
    <w:qFormat/>
    <w:rsid w:val="00566F9E"/>
    <w:pPr>
      <w:ind w:left="720"/>
      <w:contextualSpacing/>
    </w:pPr>
  </w:style>
  <w:style w:type="character" w:styleId="IntenseEmphasis">
    <w:name w:val="Intense Emphasis"/>
    <w:basedOn w:val="DefaultParagraphFont"/>
    <w:uiPriority w:val="21"/>
    <w:qFormat/>
    <w:rsid w:val="00566F9E"/>
    <w:rPr>
      <w:i/>
      <w:iCs/>
      <w:color w:val="0F4761" w:themeColor="accent1" w:themeShade="BF"/>
    </w:rPr>
  </w:style>
  <w:style w:type="paragraph" w:styleId="IntenseQuote">
    <w:name w:val="Intense Quote"/>
    <w:basedOn w:val="Normal"/>
    <w:next w:val="Normal"/>
    <w:link w:val="IntenseQuoteChar"/>
    <w:uiPriority w:val="30"/>
    <w:qFormat/>
    <w:rsid w:val="00566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F9E"/>
    <w:rPr>
      <w:i/>
      <w:iCs/>
      <w:color w:val="0F4761" w:themeColor="accent1" w:themeShade="BF"/>
    </w:rPr>
  </w:style>
  <w:style w:type="character" w:styleId="IntenseReference">
    <w:name w:val="Intense Reference"/>
    <w:basedOn w:val="DefaultParagraphFont"/>
    <w:uiPriority w:val="32"/>
    <w:qFormat/>
    <w:rsid w:val="00566F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2026-07-20T01:14:00Z</dcterms:created>
  <dcterms:modified xsi:type="dcterms:W3CDTF">2026-07-20T01:33:00Z</dcterms:modified>
</cp:coreProperties>
</file>