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41B69" w:rsidRPr="003D4889" w:rsidRDefault="003D4889">
      <w:pPr>
        <w:rPr>
          <w:rFonts w:ascii="Tahoma" w:hAnsi="Tahoma" w:cs="Tahoma"/>
          <w:lang w:val="en-US"/>
        </w:rPr>
      </w:pPr>
      <w:r w:rsidRPr="003D4889">
        <w:rPr>
          <w:rFonts w:ascii="Tahoma" w:hAnsi="Tahoma" w:cs="Tahoma"/>
          <w:lang w:val="en-US"/>
        </w:rPr>
        <w:t>TASK 1</w:t>
      </w:r>
    </w:p>
    <w:p w:rsidR="003D4889" w:rsidRPr="003D4889" w:rsidRDefault="003370A5">
      <w:pPr>
        <w:rPr>
          <w:rFonts w:ascii="Tahoma" w:hAnsi="Tahoma" w:cs="Tahoma"/>
          <w:lang w:val="en-US"/>
        </w:rPr>
      </w:pPr>
      <w:r>
        <w:rPr>
          <w:rFonts w:ascii="Tahoma" w:hAnsi="Tahoma" w:cs="Tahoma"/>
          <w:lang w:val="en-US"/>
        </w:rPr>
        <w:t>ID: 2524366</w:t>
      </w:r>
    </w:p>
    <w:p w:rsidR="003D4889" w:rsidRPr="003D4889" w:rsidRDefault="003D4889">
      <w:pPr>
        <w:rPr>
          <w:rFonts w:ascii="Tahoma" w:hAnsi="Tahoma" w:cs="Tahoma"/>
          <w:lang w:val="en-US"/>
        </w:rPr>
      </w:pPr>
      <w:r w:rsidRPr="003D4889">
        <w:rPr>
          <w:rFonts w:ascii="Tahoma" w:hAnsi="Tahoma" w:cs="Tahoma"/>
          <w:lang w:val="en-US"/>
        </w:rPr>
        <w:t>BASHIRU DARE KOMOLAFE</w:t>
      </w:r>
    </w:p>
    <w:p w:rsidR="003D4889" w:rsidRPr="003D4889" w:rsidRDefault="003D4889">
      <w:pPr>
        <w:rPr>
          <w:rFonts w:ascii="Tahoma" w:hAnsi="Tahoma" w:cs="Tahoma"/>
          <w:lang w:val="en-US"/>
        </w:rPr>
      </w:pPr>
    </w:p>
    <w:p w:rsidR="003D4889" w:rsidRPr="003D4889" w:rsidRDefault="003D4889" w:rsidP="003D4889">
      <w:pPr>
        <w:spacing w:before="100" w:beforeAutospacing="1" w:after="100" w:afterAutospacing="1" w:line="240" w:lineRule="auto"/>
        <w:outlineLvl w:val="0"/>
        <w:rPr>
          <w:rFonts w:ascii="Tahoma" w:eastAsia="Times New Roman" w:hAnsi="Tahoma" w:cs="Tahoma"/>
          <w:b/>
          <w:bCs/>
          <w:kern w:val="36"/>
          <w:sz w:val="48"/>
          <w:szCs w:val="48"/>
          <w:lang w:eastAsia="en-GB"/>
          <w14:ligatures w14:val="none"/>
        </w:rPr>
      </w:pPr>
      <w:r w:rsidRPr="003D4889">
        <w:rPr>
          <w:rFonts w:ascii="Tahoma" w:eastAsia="Times New Roman" w:hAnsi="Tahoma" w:cs="Tahoma"/>
          <w:b/>
          <w:bCs/>
          <w:kern w:val="36"/>
          <w:sz w:val="48"/>
          <w:szCs w:val="48"/>
          <w:lang w:eastAsia="en-GB"/>
          <w14:ligatures w14:val="none"/>
        </w:rPr>
        <w:t>Adult Nursing: Role, Essential Skills and Development Strategies</w:t>
      </w:r>
    </w:p>
    <w:p w:rsidR="003D4889" w:rsidRPr="003D4889" w:rsidRDefault="003D4889" w:rsidP="003D4889">
      <w:pPr>
        <w:spacing w:before="100" w:beforeAutospacing="1" w:after="100" w:afterAutospacing="1" w:line="240" w:lineRule="auto"/>
        <w:outlineLvl w:val="1"/>
        <w:rPr>
          <w:rFonts w:ascii="Tahoma" w:eastAsia="Times New Roman" w:hAnsi="Tahoma" w:cs="Tahoma"/>
          <w:b/>
          <w:bCs/>
          <w:kern w:val="0"/>
          <w:sz w:val="36"/>
          <w:szCs w:val="36"/>
          <w:lang w:eastAsia="en-GB"/>
          <w14:ligatures w14:val="none"/>
        </w:rPr>
      </w:pPr>
      <w:r w:rsidRPr="003D4889">
        <w:rPr>
          <w:rFonts w:ascii="Tahoma" w:eastAsia="Times New Roman" w:hAnsi="Tahoma" w:cs="Tahoma"/>
          <w:b/>
          <w:bCs/>
          <w:kern w:val="0"/>
          <w:sz w:val="36"/>
          <w:szCs w:val="36"/>
          <w:lang w:eastAsia="en-GB"/>
          <w14:ligatures w14:val="none"/>
        </w:rPr>
        <w:t>Introduction</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Adult nursing is a fundamental role within the health and social care sector, focusing on providing care and support to individuals aged 18 and over who are experiencing acute or chronic health conditions. Adult nurses work in a variety of settings, including hospitals, community services, and residential care environments. Their role involves promoting health, preventing illness, and supporting recovery while maintaining patient dignity and wellbeing. According to the Nursing and Midwifery Council (2018), nurses must deliver safe, effective, and person-centred care. This essay will describe the role of an adult nurse, explain three essential skills required for this role—communication, clinical competence, and empathy—and discuss strategies to improve each of these skills.</w:t>
      </w:r>
    </w:p>
    <w:p w:rsidR="003D4889" w:rsidRPr="003D4889" w:rsidRDefault="003D4889" w:rsidP="003D4889">
      <w:pPr>
        <w:spacing w:after="0"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36"/>
          <w:szCs w:val="36"/>
          <w:lang w:eastAsia="en-GB"/>
          <w14:ligatures w14:val="none"/>
        </w:rPr>
        <w:t>Role of an Adult Nurse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An adult nurse is responsible for assessing, planning, implementing, and evaluating care for patients. This includes monitoring vital signs, administering medication, supporting rehabilitation, and educating patients about managing their health conditions. Adult nurses also collaborate with other healthcare professionals, such as doctors, physiotherapists, and social workers, to ensure a holistic approach to care.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For example, when caring for a patient recovering from surgery, an adult nurse must monitor their condition, manage pain levels, and prevent infection. They must also provide emotional support and ensure the patient understands their recovery plan. The National Health Service (2023) highlights that nurses play a central role in coordinating patient care and improving health outcomes. This demonstrates that the role requires both technical expertise and strong interpersonal skills.</w:t>
      </w:r>
    </w:p>
    <w:p w:rsidR="003D4889" w:rsidRPr="003D4889" w:rsidRDefault="003D4889" w:rsidP="003D4889">
      <w:pPr>
        <w:spacing w:before="100" w:beforeAutospacing="1" w:after="100" w:afterAutospacing="1" w:line="240" w:lineRule="auto"/>
        <w:outlineLvl w:val="1"/>
        <w:rPr>
          <w:rFonts w:ascii="Tahoma" w:eastAsia="Times New Roman" w:hAnsi="Tahoma" w:cs="Tahoma"/>
          <w:b/>
          <w:bCs/>
          <w:kern w:val="0"/>
          <w:sz w:val="36"/>
          <w:szCs w:val="36"/>
          <w:lang w:eastAsia="en-GB"/>
          <w14:ligatures w14:val="none"/>
        </w:rPr>
      </w:pPr>
      <w:r w:rsidRPr="003D4889">
        <w:rPr>
          <w:rFonts w:ascii="Tahoma" w:eastAsia="Times New Roman" w:hAnsi="Tahoma" w:cs="Tahoma"/>
          <w:b/>
          <w:bCs/>
          <w:kern w:val="0"/>
          <w:sz w:val="36"/>
          <w:szCs w:val="36"/>
          <w:lang w:eastAsia="en-GB"/>
          <w14:ligatures w14:val="none"/>
        </w:rPr>
        <w:t>Skill 1: Communication</w:t>
      </w:r>
    </w:p>
    <w:p w:rsid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Communication is a vital skill in adult nursing as it enables nurses to share information clearly and effectively with patients, families, and healthcare teams.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27"/>
          <w:szCs w:val="27"/>
          <w:lang w:eastAsia="en-GB"/>
          <w14:ligatures w14:val="none"/>
        </w:rPr>
        <w:t>Strategies to Improve Communication</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lastRenderedPageBreak/>
        <w:t xml:space="preserve">One strategy is </w:t>
      </w:r>
      <w:r w:rsidRPr="003D4889">
        <w:rPr>
          <w:rFonts w:ascii="Tahoma" w:eastAsia="Times New Roman" w:hAnsi="Tahoma" w:cs="Tahoma"/>
          <w:b/>
          <w:bCs/>
          <w:kern w:val="0"/>
          <w:lang w:eastAsia="en-GB"/>
          <w14:ligatures w14:val="none"/>
        </w:rPr>
        <w:t>active listening</w:t>
      </w:r>
      <w:r w:rsidRPr="003D4889">
        <w:rPr>
          <w:rFonts w:ascii="Tahoma" w:eastAsia="Times New Roman" w:hAnsi="Tahoma" w:cs="Tahoma"/>
          <w:kern w:val="0"/>
          <w:lang w:eastAsia="en-GB"/>
          <w14:ligatures w14:val="none"/>
        </w:rPr>
        <w:t>, which involves paying full attention to the speaker and responding appropriately. This helps nurses understand patient concerns more effectively.</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Another strategy is </w:t>
      </w:r>
      <w:r w:rsidRPr="003D4889">
        <w:rPr>
          <w:rFonts w:ascii="Tahoma" w:eastAsia="Times New Roman" w:hAnsi="Tahoma" w:cs="Tahoma"/>
          <w:b/>
          <w:bCs/>
          <w:kern w:val="0"/>
          <w:lang w:eastAsia="en-GB"/>
          <w14:ligatures w14:val="none"/>
        </w:rPr>
        <w:t>simulation training</w:t>
      </w:r>
      <w:r w:rsidRPr="003D4889">
        <w:rPr>
          <w:rFonts w:ascii="Tahoma" w:eastAsia="Times New Roman" w:hAnsi="Tahoma" w:cs="Tahoma"/>
          <w:kern w:val="0"/>
          <w:lang w:eastAsia="en-GB"/>
          <w14:ligatures w14:val="none"/>
        </w:rPr>
        <w:t xml:space="preserve">, </w:t>
      </w:r>
      <w:proofErr w:type="gramStart"/>
      <w:r w:rsidRPr="003D4889">
        <w:rPr>
          <w:rFonts w:ascii="Tahoma" w:eastAsia="Times New Roman" w:hAnsi="Tahoma" w:cs="Tahoma"/>
          <w:kern w:val="0"/>
          <w:lang w:eastAsia="en-GB"/>
          <w14:ligatures w14:val="none"/>
        </w:rPr>
        <w:t>where</w:t>
      </w:r>
      <w:proofErr w:type="gramEnd"/>
      <w:r w:rsidRPr="003D4889">
        <w:rPr>
          <w:rFonts w:ascii="Tahoma" w:eastAsia="Times New Roman" w:hAnsi="Tahoma" w:cs="Tahoma"/>
          <w:kern w:val="0"/>
          <w:lang w:eastAsia="en-GB"/>
          <w14:ligatures w14:val="none"/>
        </w:rPr>
        <w:t xml:space="preserve"> nurses practice communication in realistic scenarios. This can improve confidence when dealing with difficult conversations.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 third strategy is </w:t>
      </w:r>
      <w:r w:rsidRPr="003D4889">
        <w:rPr>
          <w:rFonts w:ascii="Tahoma" w:eastAsia="Times New Roman" w:hAnsi="Tahoma" w:cs="Tahoma"/>
          <w:b/>
          <w:bCs/>
          <w:kern w:val="0"/>
          <w:lang w:eastAsia="en-GB"/>
          <w14:ligatures w14:val="none"/>
        </w:rPr>
        <w:t>seeking feedback</w:t>
      </w:r>
      <w:r w:rsidRPr="003D4889">
        <w:rPr>
          <w:rFonts w:ascii="Tahoma" w:eastAsia="Times New Roman" w:hAnsi="Tahoma" w:cs="Tahoma"/>
          <w:kern w:val="0"/>
          <w:lang w:eastAsia="en-GB"/>
          <w14:ligatures w14:val="none"/>
        </w:rPr>
        <w:t xml:space="preserve"> from colleagues or mentors. Feedback helps identify areas for improvement, such as clarity or tone, and supports professional development.</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These strategies enhance communication by improving understanding, confidence, and the ability to convey information accurately.</w:t>
      </w:r>
    </w:p>
    <w:p w:rsidR="003D4889" w:rsidRPr="003D4889" w:rsidRDefault="003D4889" w:rsidP="003D4889">
      <w:pPr>
        <w:spacing w:after="0"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36"/>
          <w:szCs w:val="36"/>
          <w:lang w:eastAsia="en-GB"/>
          <w14:ligatures w14:val="none"/>
        </w:rPr>
        <w:t>Skill 2: Clinical Competence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Clinical competence refers to the ability to carry out nursing procedures safely and effectively. This includes administering medication, monitoring patient conditions, and using medical equipment.</w:t>
      </w:r>
    </w:p>
    <w:p w:rsidR="003D4889" w:rsidRPr="003D4889" w:rsidRDefault="003D4889" w:rsidP="003D4889">
      <w:pPr>
        <w:spacing w:before="100" w:beforeAutospacing="1" w:after="100" w:afterAutospacing="1" w:line="240" w:lineRule="auto"/>
        <w:outlineLvl w:val="2"/>
        <w:rPr>
          <w:rFonts w:ascii="Tahoma" w:eastAsia="Times New Roman" w:hAnsi="Tahoma" w:cs="Tahoma"/>
          <w:b/>
          <w:bCs/>
          <w:kern w:val="0"/>
          <w:sz w:val="27"/>
          <w:szCs w:val="27"/>
          <w:lang w:eastAsia="en-GB"/>
          <w14:ligatures w14:val="none"/>
        </w:rPr>
      </w:pPr>
      <w:r w:rsidRPr="003D4889">
        <w:rPr>
          <w:rFonts w:ascii="Tahoma" w:eastAsia="Times New Roman" w:hAnsi="Tahoma" w:cs="Tahoma"/>
          <w:b/>
          <w:bCs/>
          <w:kern w:val="0"/>
          <w:sz w:val="27"/>
          <w:szCs w:val="27"/>
          <w:lang w:eastAsia="en-GB"/>
          <w14:ligatures w14:val="none"/>
        </w:rPr>
        <w:t>Importance of Clinical Competence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Clinical competence is essential for ensuring patient safety. Errors in clinical practice can have serious or even life-threatening consequences. Nurses must follow strict procedures and guidelines to minimise risks.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For example, when administering medication, a nurse must check the correct patient, dosage, and timing. Failure to do so could result in harm to the patient. Additionally, nurses must be able to recognise signs of deterioration and respond quickly in emergencies.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The ability to perform clinical tasks confidently also improves efficiency and reduces stress in high-pressure environments.</w:t>
      </w:r>
    </w:p>
    <w:p w:rsidR="003D4889" w:rsidRPr="003D4889" w:rsidRDefault="003D4889" w:rsidP="003D4889">
      <w:pPr>
        <w:spacing w:before="100" w:beforeAutospacing="1" w:after="100" w:afterAutospacing="1" w:line="240" w:lineRule="auto"/>
        <w:outlineLvl w:val="2"/>
        <w:rPr>
          <w:rFonts w:ascii="Tahoma" w:eastAsia="Times New Roman" w:hAnsi="Tahoma" w:cs="Tahoma"/>
          <w:b/>
          <w:bCs/>
          <w:kern w:val="0"/>
          <w:sz w:val="27"/>
          <w:szCs w:val="27"/>
          <w:lang w:eastAsia="en-GB"/>
          <w14:ligatures w14:val="none"/>
        </w:rPr>
      </w:pPr>
      <w:r w:rsidRPr="003D4889">
        <w:rPr>
          <w:rFonts w:ascii="Tahoma" w:eastAsia="Times New Roman" w:hAnsi="Tahoma" w:cs="Tahoma"/>
          <w:b/>
          <w:bCs/>
          <w:kern w:val="0"/>
          <w:sz w:val="27"/>
          <w:szCs w:val="27"/>
          <w:lang w:eastAsia="en-GB"/>
          <w14:ligatures w14:val="none"/>
        </w:rPr>
        <w:t>Strategies to Improve Clinical Competence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One strategy is </w:t>
      </w:r>
      <w:r w:rsidRPr="003D4889">
        <w:rPr>
          <w:rFonts w:ascii="Tahoma" w:eastAsia="Times New Roman" w:hAnsi="Tahoma" w:cs="Tahoma"/>
          <w:b/>
          <w:bCs/>
          <w:kern w:val="0"/>
          <w:lang w:eastAsia="en-GB"/>
          <w14:ligatures w14:val="none"/>
        </w:rPr>
        <w:t>continuing professional development (CPD)</w:t>
      </w:r>
      <w:r w:rsidRPr="003D4889">
        <w:rPr>
          <w:rFonts w:ascii="Tahoma" w:eastAsia="Times New Roman" w:hAnsi="Tahoma" w:cs="Tahoma"/>
          <w:kern w:val="0"/>
          <w:lang w:eastAsia="en-GB"/>
          <w14:ligatures w14:val="none"/>
        </w:rPr>
        <w:t>, which involves attending training sessions and updating knowledge regularly. This ensures nurses stay informed about current best practices.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Another strategy is </w:t>
      </w:r>
      <w:r w:rsidRPr="003D4889">
        <w:rPr>
          <w:rFonts w:ascii="Tahoma" w:eastAsia="Times New Roman" w:hAnsi="Tahoma" w:cs="Tahoma"/>
          <w:b/>
          <w:bCs/>
          <w:kern w:val="0"/>
          <w:lang w:eastAsia="en-GB"/>
          <w14:ligatures w14:val="none"/>
        </w:rPr>
        <w:t>reflective practice</w:t>
      </w:r>
      <w:r w:rsidRPr="003D4889">
        <w:rPr>
          <w:rFonts w:ascii="Tahoma" w:eastAsia="Times New Roman" w:hAnsi="Tahoma" w:cs="Tahoma"/>
          <w:kern w:val="0"/>
          <w:lang w:eastAsia="en-GB"/>
          <w14:ligatures w14:val="none"/>
        </w:rPr>
        <w:t>, as described by Schön, Donald (1983). Reflecting on experiences allows nurses to evaluate their performance and identify areas for improvement.</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 third strategy is </w:t>
      </w:r>
      <w:r w:rsidRPr="003D4889">
        <w:rPr>
          <w:rFonts w:ascii="Tahoma" w:eastAsia="Times New Roman" w:hAnsi="Tahoma" w:cs="Tahoma"/>
          <w:b/>
          <w:bCs/>
          <w:kern w:val="0"/>
          <w:lang w:eastAsia="en-GB"/>
          <w14:ligatures w14:val="none"/>
        </w:rPr>
        <w:t>supervised practice</w:t>
      </w:r>
      <w:r w:rsidRPr="003D4889">
        <w:rPr>
          <w:rFonts w:ascii="Tahoma" w:eastAsia="Times New Roman" w:hAnsi="Tahoma" w:cs="Tahoma"/>
          <w:kern w:val="0"/>
          <w:lang w:eastAsia="en-GB"/>
          <w14:ligatures w14:val="none"/>
        </w:rPr>
        <w:t>, where less experienced nurses work under the guidance of senior staff. This provides support and helps build confidence while maintaining patient safety.</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lastRenderedPageBreak/>
        <w:t>These strategies improve clinical competence by strengthening knowledge, developing practical skills, and reducing the likelihood of errors.</w:t>
      </w:r>
    </w:p>
    <w:p w:rsidR="003D4889" w:rsidRPr="003D4889" w:rsidRDefault="003D4889" w:rsidP="003D4889">
      <w:pPr>
        <w:spacing w:after="0"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36"/>
          <w:szCs w:val="36"/>
          <w:lang w:eastAsia="en-GB"/>
          <w14:ligatures w14:val="none"/>
        </w:rPr>
        <w:t>Skill 3: Empathy</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Empathy is the ability to understand and share the feelings of others. It is a key component of compassionate, person-centred care.</w:t>
      </w:r>
    </w:p>
    <w:p w:rsidR="003D4889" w:rsidRPr="003D4889" w:rsidRDefault="003D4889" w:rsidP="003D4889">
      <w:pPr>
        <w:spacing w:before="100" w:beforeAutospacing="1" w:after="100" w:afterAutospacing="1" w:line="240" w:lineRule="auto"/>
        <w:outlineLvl w:val="2"/>
        <w:rPr>
          <w:rFonts w:ascii="Tahoma" w:eastAsia="Times New Roman" w:hAnsi="Tahoma" w:cs="Tahoma"/>
          <w:b/>
          <w:bCs/>
          <w:kern w:val="0"/>
          <w:sz w:val="27"/>
          <w:szCs w:val="27"/>
          <w:lang w:eastAsia="en-GB"/>
          <w14:ligatures w14:val="none"/>
        </w:rPr>
      </w:pPr>
      <w:r w:rsidRPr="003D4889">
        <w:rPr>
          <w:rFonts w:ascii="Tahoma" w:eastAsia="Times New Roman" w:hAnsi="Tahoma" w:cs="Tahoma"/>
          <w:b/>
          <w:bCs/>
          <w:kern w:val="0"/>
          <w:sz w:val="27"/>
          <w:szCs w:val="27"/>
          <w:lang w:eastAsia="en-GB"/>
          <w14:ligatures w14:val="none"/>
        </w:rPr>
        <w:t>Importance of Empathy</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Empathy allows nurses to build trust with patients and provide emotional support. Patients in healthcare settings may feel vulnerable, anxious, or distressed, and empathetic care can improve their overall experience.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For example, a patient receiving a serious diagnosis may feel overwhelmed. An empathetic nurse can listen to their concerns, provide reassurance, and offer support, which can help reduce anxiety and improve emotional wellbeing.</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Empathy also encourages patients to communicate openly, which can lead to more accurate assessments and better care.</w:t>
      </w:r>
    </w:p>
    <w:p w:rsidR="003D4889" w:rsidRPr="003D4889" w:rsidRDefault="003D4889" w:rsidP="003D4889">
      <w:pPr>
        <w:spacing w:before="100" w:beforeAutospacing="1" w:after="100" w:afterAutospacing="1" w:line="240" w:lineRule="auto"/>
        <w:outlineLvl w:val="2"/>
        <w:rPr>
          <w:rFonts w:ascii="Tahoma" w:eastAsia="Times New Roman" w:hAnsi="Tahoma" w:cs="Tahoma"/>
          <w:b/>
          <w:bCs/>
          <w:kern w:val="0"/>
          <w:sz w:val="27"/>
          <w:szCs w:val="27"/>
          <w:lang w:eastAsia="en-GB"/>
          <w14:ligatures w14:val="none"/>
        </w:rPr>
      </w:pPr>
      <w:r w:rsidRPr="003D4889">
        <w:rPr>
          <w:rFonts w:ascii="Tahoma" w:eastAsia="Times New Roman" w:hAnsi="Tahoma" w:cs="Tahoma"/>
          <w:b/>
          <w:bCs/>
          <w:kern w:val="0"/>
          <w:sz w:val="27"/>
          <w:szCs w:val="27"/>
          <w:lang w:eastAsia="en-GB"/>
          <w14:ligatures w14:val="none"/>
        </w:rPr>
        <w:t>Strategies to Improve Empathy</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One strategy is </w:t>
      </w:r>
      <w:r w:rsidRPr="003D4889">
        <w:rPr>
          <w:rFonts w:ascii="Tahoma" w:eastAsia="Times New Roman" w:hAnsi="Tahoma" w:cs="Tahoma"/>
          <w:b/>
          <w:bCs/>
          <w:kern w:val="0"/>
          <w:lang w:eastAsia="en-GB"/>
          <w14:ligatures w14:val="none"/>
        </w:rPr>
        <w:t>reflective journaling</w:t>
      </w:r>
      <w:r w:rsidRPr="003D4889">
        <w:rPr>
          <w:rFonts w:ascii="Tahoma" w:eastAsia="Times New Roman" w:hAnsi="Tahoma" w:cs="Tahoma"/>
          <w:kern w:val="0"/>
          <w:lang w:eastAsia="en-GB"/>
          <w14:ligatures w14:val="none"/>
        </w:rPr>
        <w:t>, where nurses write about their experiences and consider how patients may have felt. This increases emotional awareness.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Another strategy is </w:t>
      </w:r>
      <w:r w:rsidRPr="003D4889">
        <w:rPr>
          <w:rFonts w:ascii="Tahoma" w:eastAsia="Times New Roman" w:hAnsi="Tahoma" w:cs="Tahoma"/>
          <w:b/>
          <w:bCs/>
          <w:kern w:val="0"/>
          <w:lang w:eastAsia="en-GB"/>
          <w14:ligatures w14:val="none"/>
        </w:rPr>
        <w:t>patient-centred care training</w:t>
      </w:r>
      <w:r w:rsidRPr="003D4889">
        <w:rPr>
          <w:rFonts w:ascii="Tahoma" w:eastAsia="Times New Roman" w:hAnsi="Tahoma" w:cs="Tahoma"/>
          <w:kern w:val="0"/>
          <w:lang w:eastAsia="en-GB"/>
          <w14:ligatures w14:val="none"/>
        </w:rPr>
        <w:t>, which focuses on understanding individual needs and treating patients with dignity and respect.</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A third strategy is </w:t>
      </w:r>
      <w:r w:rsidRPr="003D4889">
        <w:rPr>
          <w:rFonts w:ascii="Tahoma" w:eastAsia="Times New Roman" w:hAnsi="Tahoma" w:cs="Tahoma"/>
          <w:b/>
          <w:bCs/>
          <w:kern w:val="0"/>
          <w:lang w:eastAsia="en-GB"/>
          <w14:ligatures w14:val="none"/>
        </w:rPr>
        <w:t>working with diverse patient groups</w:t>
      </w:r>
      <w:r w:rsidRPr="003D4889">
        <w:rPr>
          <w:rFonts w:ascii="Tahoma" w:eastAsia="Times New Roman" w:hAnsi="Tahoma" w:cs="Tahoma"/>
          <w:kern w:val="0"/>
          <w:lang w:eastAsia="en-GB"/>
          <w14:ligatures w14:val="none"/>
        </w:rPr>
        <w:t>, which helps nurses develop a broader understanding of different perspectives and cultural backgrounds.</w:t>
      </w:r>
    </w:p>
    <w:p w:rsid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These strategies enhance empathy by improving emotional intelligence and strengthening relationships between nurses and patients.</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36"/>
          <w:szCs w:val="36"/>
          <w:lang w:eastAsia="en-GB"/>
          <w14:ligatures w14:val="none"/>
        </w:rPr>
        <w:t>Conclusion</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In conclusion, the role of an adult nurse is complex and requires a combination of technical and interpersonal skills. Communication, clinical competence, and empathy are essential for delivering safe, effective, and compassionate care. Each of these skills plays a crucial role in ensuring positive patient outcomes and experiences. By using strategies such as active listening, continuous training, and reflective practice, nurses can continue to develop their abilities and improve their professional practice. Developing these skills is essential for meeting the standards set by professional bodies and providing high-quality care in the health and social care sector.</w:t>
      </w:r>
    </w:p>
    <w:p w:rsidR="003D4889" w:rsidRDefault="003D4889" w:rsidP="003D4889">
      <w:pPr>
        <w:spacing w:after="0" w:line="240" w:lineRule="auto"/>
        <w:rPr>
          <w:rFonts w:ascii="Tahoma" w:eastAsia="Times New Roman" w:hAnsi="Tahoma" w:cs="Tahoma"/>
          <w:kern w:val="0"/>
          <w:lang w:eastAsia="en-GB"/>
          <w14:ligatures w14:val="none"/>
        </w:rPr>
      </w:pPr>
    </w:p>
    <w:p w:rsidR="003D4889" w:rsidRDefault="003D4889" w:rsidP="003D4889">
      <w:pPr>
        <w:spacing w:after="0" w:line="240" w:lineRule="auto"/>
        <w:rPr>
          <w:rFonts w:ascii="Tahoma" w:eastAsia="Times New Roman" w:hAnsi="Tahoma" w:cs="Tahoma"/>
          <w:kern w:val="0"/>
          <w:lang w:eastAsia="en-GB"/>
          <w14:ligatures w14:val="none"/>
        </w:rPr>
      </w:pPr>
    </w:p>
    <w:p w:rsidR="003D4889" w:rsidRPr="003D4889" w:rsidRDefault="003D4889" w:rsidP="003D4889">
      <w:pPr>
        <w:spacing w:after="0" w:line="240" w:lineRule="auto"/>
        <w:rPr>
          <w:rFonts w:ascii="Tahoma" w:eastAsia="Times New Roman" w:hAnsi="Tahoma" w:cs="Tahoma"/>
          <w:kern w:val="0"/>
          <w:lang w:eastAsia="en-GB"/>
          <w14:ligatures w14:val="none"/>
        </w:rPr>
      </w:pPr>
      <w:r w:rsidRPr="003D4889">
        <w:rPr>
          <w:rFonts w:ascii="Tahoma" w:eastAsia="Times New Roman" w:hAnsi="Tahoma" w:cs="Tahoma"/>
          <w:b/>
          <w:bCs/>
          <w:kern w:val="0"/>
          <w:sz w:val="36"/>
          <w:szCs w:val="36"/>
          <w:lang w:eastAsia="en-GB"/>
          <w14:ligatures w14:val="none"/>
        </w:rPr>
        <w:lastRenderedPageBreak/>
        <w:t>References (Harvard Style)</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Nursing and Midwifery Council (2018) </w:t>
      </w:r>
      <w:r w:rsidRPr="003D4889">
        <w:rPr>
          <w:rFonts w:ascii="Tahoma" w:eastAsia="Times New Roman" w:hAnsi="Tahoma" w:cs="Tahoma"/>
          <w:i/>
          <w:iCs/>
          <w:kern w:val="0"/>
          <w:lang w:eastAsia="en-GB"/>
          <w14:ligatures w14:val="none"/>
        </w:rPr>
        <w:t>The Code: Professional standards of practice and behaviour for nurses, midwives and nursing associates</w:t>
      </w:r>
      <w:r w:rsidRPr="003D4889">
        <w:rPr>
          <w:rFonts w:ascii="Tahoma" w:eastAsia="Times New Roman" w:hAnsi="Tahoma" w:cs="Tahoma"/>
          <w:kern w:val="0"/>
          <w:lang w:eastAsia="en-GB"/>
          <w14:ligatures w14:val="none"/>
        </w:rPr>
        <w:t>. London: NMC.</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National Health Service (2023) </w:t>
      </w:r>
      <w:r w:rsidRPr="003D4889">
        <w:rPr>
          <w:rFonts w:ascii="Tahoma" w:eastAsia="Times New Roman" w:hAnsi="Tahoma" w:cs="Tahoma"/>
          <w:i/>
          <w:iCs/>
          <w:kern w:val="0"/>
          <w:lang w:eastAsia="en-GB"/>
          <w14:ligatures w14:val="none"/>
        </w:rPr>
        <w:t>Careers in Nursing</w:t>
      </w:r>
      <w:r w:rsidRPr="003D4889">
        <w:rPr>
          <w:rFonts w:ascii="Tahoma" w:eastAsia="Times New Roman" w:hAnsi="Tahoma" w:cs="Tahoma"/>
          <w:kern w:val="0"/>
          <w:lang w:eastAsia="en-GB"/>
          <w14:ligatures w14:val="none"/>
        </w:rPr>
        <w:t xml:space="preserve">. Available at: </w:t>
      </w:r>
      <w:hyperlink r:id="rId4" w:tgtFrame="_new" w:history="1">
        <w:r w:rsidRPr="003D4889">
          <w:rPr>
            <w:rFonts w:ascii="Tahoma" w:eastAsia="Times New Roman" w:hAnsi="Tahoma" w:cs="Tahoma"/>
            <w:color w:val="0000FF"/>
            <w:kern w:val="0"/>
            <w:u w:val="single"/>
            <w:lang w:eastAsia="en-GB"/>
            <w14:ligatures w14:val="none"/>
          </w:rPr>
          <w:t>https://www.healthcareers.nhs.uk</w:t>
        </w:r>
      </w:hyperlink>
      <w:r w:rsidRPr="003D4889">
        <w:rPr>
          <w:rFonts w:ascii="Tahoma" w:eastAsia="Times New Roman" w:hAnsi="Tahoma" w:cs="Tahoma"/>
          <w:kern w:val="0"/>
          <w:lang w:eastAsia="en-GB"/>
          <w14:ligatures w14:val="none"/>
        </w:rPr>
        <w:t xml:space="preserve"> (Accessed: 22 March 2026).</w:t>
      </w:r>
    </w:p>
    <w:p w:rsidR="003D4889" w:rsidRPr="003D4889" w:rsidRDefault="003D4889" w:rsidP="003D4889">
      <w:pPr>
        <w:spacing w:before="100" w:beforeAutospacing="1" w:after="100" w:afterAutospacing="1" w:line="240" w:lineRule="auto"/>
        <w:rPr>
          <w:rFonts w:ascii="Tahoma" w:eastAsia="Times New Roman" w:hAnsi="Tahoma" w:cs="Tahoma"/>
          <w:kern w:val="0"/>
          <w:lang w:eastAsia="en-GB"/>
          <w14:ligatures w14:val="none"/>
        </w:rPr>
      </w:pPr>
      <w:r w:rsidRPr="003D4889">
        <w:rPr>
          <w:rFonts w:ascii="Tahoma" w:eastAsia="Times New Roman" w:hAnsi="Tahoma" w:cs="Tahoma"/>
          <w:kern w:val="0"/>
          <w:lang w:eastAsia="en-GB"/>
          <w14:ligatures w14:val="none"/>
        </w:rPr>
        <w:t xml:space="preserve">Schön, Donald (1983) </w:t>
      </w:r>
      <w:r w:rsidRPr="003D4889">
        <w:rPr>
          <w:rFonts w:ascii="Tahoma" w:eastAsia="Times New Roman" w:hAnsi="Tahoma" w:cs="Tahoma"/>
          <w:i/>
          <w:iCs/>
          <w:kern w:val="0"/>
          <w:lang w:eastAsia="en-GB"/>
          <w14:ligatures w14:val="none"/>
        </w:rPr>
        <w:t>The Reflective Practitioner</w:t>
      </w:r>
      <w:r w:rsidRPr="003D4889">
        <w:rPr>
          <w:rFonts w:ascii="Tahoma" w:eastAsia="Times New Roman" w:hAnsi="Tahoma" w:cs="Tahoma"/>
          <w:kern w:val="0"/>
          <w:lang w:eastAsia="en-GB"/>
          <w14:ligatures w14:val="none"/>
        </w:rPr>
        <w:t>. New York: Basic Books</w:t>
      </w:r>
    </w:p>
    <w:p w:rsidR="003D4889" w:rsidRPr="003D4889" w:rsidRDefault="003D4889">
      <w:pPr>
        <w:rPr>
          <w:lang w:val="en-US"/>
        </w:rPr>
      </w:pPr>
    </w:p>
    <w:sectPr w:rsidR="003D4889" w:rsidRPr="003D4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889"/>
    <w:rsid w:val="00303E97"/>
    <w:rsid w:val="003370A5"/>
    <w:rsid w:val="003D4889"/>
    <w:rsid w:val="00433A81"/>
    <w:rsid w:val="00A47287"/>
    <w:rsid w:val="00D41B69"/>
    <w:rsid w:val="00FF4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B7CA6"/>
  <w15:chartTrackingRefBased/>
  <w15:docId w15:val="{33DE990A-4842-440A-819F-B0DB4FFD2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8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8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8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8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8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8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8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8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8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8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8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8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8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8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8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8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8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889"/>
    <w:rPr>
      <w:rFonts w:eastAsiaTheme="majorEastAsia" w:cstheme="majorBidi"/>
      <w:color w:val="272727" w:themeColor="text1" w:themeTint="D8"/>
    </w:rPr>
  </w:style>
  <w:style w:type="paragraph" w:styleId="Title">
    <w:name w:val="Title"/>
    <w:basedOn w:val="Normal"/>
    <w:next w:val="Normal"/>
    <w:link w:val="TitleChar"/>
    <w:uiPriority w:val="10"/>
    <w:qFormat/>
    <w:rsid w:val="003D48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8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8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8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889"/>
    <w:pPr>
      <w:spacing w:before="160"/>
      <w:jc w:val="center"/>
    </w:pPr>
    <w:rPr>
      <w:i/>
      <w:iCs/>
      <w:color w:val="404040" w:themeColor="text1" w:themeTint="BF"/>
    </w:rPr>
  </w:style>
  <w:style w:type="character" w:customStyle="1" w:styleId="QuoteChar">
    <w:name w:val="Quote Char"/>
    <w:basedOn w:val="DefaultParagraphFont"/>
    <w:link w:val="Quote"/>
    <w:uiPriority w:val="29"/>
    <w:rsid w:val="003D4889"/>
    <w:rPr>
      <w:i/>
      <w:iCs/>
      <w:color w:val="404040" w:themeColor="text1" w:themeTint="BF"/>
    </w:rPr>
  </w:style>
  <w:style w:type="paragraph" w:styleId="ListParagraph">
    <w:name w:val="List Paragraph"/>
    <w:basedOn w:val="Normal"/>
    <w:uiPriority w:val="34"/>
    <w:qFormat/>
    <w:rsid w:val="003D4889"/>
    <w:pPr>
      <w:ind w:left="720"/>
      <w:contextualSpacing/>
    </w:pPr>
  </w:style>
  <w:style w:type="character" w:styleId="IntenseEmphasis">
    <w:name w:val="Intense Emphasis"/>
    <w:basedOn w:val="DefaultParagraphFont"/>
    <w:uiPriority w:val="21"/>
    <w:qFormat/>
    <w:rsid w:val="003D4889"/>
    <w:rPr>
      <w:i/>
      <w:iCs/>
      <w:color w:val="0F4761" w:themeColor="accent1" w:themeShade="BF"/>
    </w:rPr>
  </w:style>
  <w:style w:type="paragraph" w:styleId="IntenseQuote">
    <w:name w:val="Intense Quote"/>
    <w:basedOn w:val="Normal"/>
    <w:next w:val="Normal"/>
    <w:link w:val="IntenseQuoteChar"/>
    <w:uiPriority w:val="30"/>
    <w:qFormat/>
    <w:rsid w:val="003D48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889"/>
    <w:rPr>
      <w:i/>
      <w:iCs/>
      <w:color w:val="0F4761" w:themeColor="accent1" w:themeShade="BF"/>
    </w:rPr>
  </w:style>
  <w:style w:type="character" w:styleId="IntenseReference">
    <w:name w:val="Intense Reference"/>
    <w:basedOn w:val="DefaultParagraphFont"/>
    <w:uiPriority w:val="32"/>
    <w:qFormat/>
    <w:rsid w:val="003D48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1644</TotalTime>
  <Pages>4</Pages>
  <Words>1018</Words>
  <Characters>5804</Characters>
  <Application>Microsoft Office Word</Application>
  <DocSecurity>0</DocSecurity>
  <Lines>48</Lines>
  <Paragraphs>13</Paragraphs>
  <ScaleCrop>false</ScaleCrop>
  <Company/>
  <LinksUpToDate>false</LinksUpToDate>
  <CharactersWithSpaces>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2026-03-24T13:00:00Z</dcterms:created>
  <dcterms:modified xsi:type="dcterms:W3CDTF">2026-03-24T13:00:00Z</dcterms:modified>
</cp:coreProperties>
</file>