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89356" w14:textId="7DCFDFD6" w:rsidR="00D77AC6" w:rsidRDefault="00D77AC6" w:rsidP="00D77AC6">
      <w:pPr>
        <w:pStyle w:val="NormalWeb"/>
        <w:spacing w:before="0" w:beforeAutospacing="0" w:after="0" w:afterAutospacing="0"/>
        <w:ind w:left="-180" w:right="-334"/>
      </w:pPr>
      <w:r>
        <w:rPr>
          <w:noProof/>
        </w:rPr>
        <w:drawing>
          <wp:inline distT="0" distB="0" distL="0" distR="0" wp14:anchorId="0B85A3C6" wp14:editId="2ACB03B6">
            <wp:extent cx="1906270" cy="633095"/>
            <wp:effectExtent l="19050" t="19050" r="17780" b="14605"/>
            <wp:docPr id="981846061"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46061" name="Picture 2"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15690AC2" w14:textId="77777777" w:rsidR="00D77AC6" w:rsidRDefault="00D77AC6" w:rsidP="00D77AC6">
      <w:pPr>
        <w:pStyle w:val="NormalWeb"/>
        <w:spacing w:before="0" w:beforeAutospacing="0" w:after="0" w:afterAutospacing="0"/>
        <w:ind w:left="-180" w:right="-334"/>
      </w:pPr>
    </w:p>
    <w:p w14:paraId="79CE7702" w14:textId="77777777" w:rsidR="00D77AC6" w:rsidRDefault="00D77AC6" w:rsidP="00D77AC6">
      <w:pPr>
        <w:pStyle w:val="NormalWeb"/>
        <w:spacing w:before="0" w:beforeAutospacing="0" w:after="0" w:afterAutospacing="0"/>
        <w:ind w:left="-180" w:right="-334"/>
      </w:pPr>
    </w:p>
    <w:p w14:paraId="00B89352" w14:textId="77777777" w:rsidR="00D77AC6" w:rsidRDefault="00D77AC6" w:rsidP="00D77AC6">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3F8738D" w14:textId="77777777" w:rsidR="00D77AC6" w:rsidRPr="00230F35" w:rsidRDefault="00D77AC6" w:rsidP="00D77AC6">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D75BBFF" w14:textId="77777777" w:rsidR="00D77AC6" w:rsidRPr="00230F35" w:rsidRDefault="00D77AC6" w:rsidP="00D77AC6">
      <w:pPr>
        <w:rPr>
          <w:rFonts w:ascii="Arial" w:hAnsi="Arial" w:cs="Arial"/>
          <w:sz w:val="28"/>
          <w:szCs w:val="28"/>
          <w:lang w:val="cy-GB"/>
        </w:rPr>
      </w:pPr>
    </w:p>
    <w:p w14:paraId="18B9E76D" w14:textId="77777777" w:rsidR="00D77AC6" w:rsidRDefault="00D77AC6" w:rsidP="00D77AC6">
      <w:pPr>
        <w:pStyle w:val="Heading3"/>
        <w:jc w:val="center"/>
        <w:rPr>
          <w:lang w:val="cy-GB"/>
        </w:rPr>
      </w:pPr>
      <w:r>
        <w:rPr>
          <w:lang w:val="cy-GB"/>
        </w:rPr>
        <w:t>THIS SHEET MUST BE THE FIRST PAGE OF THE ASSIGNMENT YOU ARE SUBMITTING  (DO NOT SEND AS A SEPARATE FILE)</w:t>
      </w:r>
    </w:p>
    <w:p w14:paraId="2EF00682" w14:textId="77777777" w:rsidR="00D77AC6" w:rsidRPr="00D77AC6" w:rsidRDefault="00D77AC6" w:rsidP="00D77AC6">
      <w:pPr>
        <w:pStyle w:val="Heading3"/>
        <w:jc w:val="center"/>
        <w:rPr>
          <w:rFonts w:ascii="Trebuchet MS" w:hAnsi="Trebuchet MS"/>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D77AC6" w:rsidRPr="00B510D0" w14:paraId="4843F7E5" w14:textId="77777777" w:rsidTr="00AD6523">
        <w:trPr>
          <w:trHeight w:val="614"/>
        </w:trPr>
        <w:tc>
          <w:tcPr>
            <w:tcW w:w="8856" w:type="dxa"/>
            <w:gridSpan w:val="5"/>
          </w:tcPr>
          <w:p w14:paraId="49366EC3" w14:textId="77777777" w:rsidR="00D77AC6" w:rsidRPr="00230F35"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D77AC6" w:rsidRPr="00230F35" w14:paraId="52ED29A7" w14:textId="77777777" w:rsidTr="00AD6523">
        <w:trPr>
          <w:trHeight w:val="718"/>
        </w:trPr>
        <w:tc>
          <w:tcPr>
            <w:tcW w:w="8856" w:type="dxa"/>
            <w:gridSpan w:val="5"/>
          </w:tcPr>
          <w:p w14:paraId="7289E9D9" w14:textId="77777777" w:rsidR="00D77AC6"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Cheryl Abraham</w:t>
            </w:r>
          </w:p>
          <w:p w14:paraId="2FDD2BFC" w14:textId="77777777" w:rsidR="00D77AC6" w:rsidRPr="00230F35" w:rsidRDefault="00D77AC6" w:rsidP="00AD6523">
            <w:pPr>
              <w:pStyle w:val="NormalWeb"/>
              <w:spacing w:before="0" w:beforeAutospacing="0" w:after="0" w:afterAutospacing="0"/>
              <w:ind w:right="34"/>
              <w:rPr>
                <w:rFonts w:ascii="Arial" w:hAnsi="Arial" w:cs="Arial"/>
                <w:sz w:val="22"/>
                <w:szCs w:val="22"/>
              </w:rPr>
            </w:pPr>
          </w:p>
        </w:tc>
      </w:tr>
      <w:tr w:rsidR="00D77AC6" w:rsidRPr="00B510D0" w14:paraId="43C24FA5" w14:textId="77777777" w:rsidTr="00AD6523">
        <w:trPr>
          <w:trHeight w:val="849"/>
        </w:trPr>
        <w:tc>
          <w:tcPr>
            <w:tcW w:w="4788" w:type="dxa"/>
          </w:tcPr>
          <w:p w14:paraId="6F63D3F7" w14:textId="77777777" w:rsidR="00D77AC6" w:rsidRPr="00D77AC6" w:rsidRDefault="00D77AC6" w:rsidP="00AD6523">
            <w:pPr>
              <w:pStyle w:val="NormalWeb"/>
              <w:ind w:right="34"/>
              <w:rPr>
                <w:b/>
                <w:bCs/>
                <w:sz w:val="22"/>
                <w:szCs w:val="22"/>
                <w:lang w:val="en-US"/>
              </w:rPr>
            </w:pPr>
            <w:r w:rsidRPr="00230F35">
              <w:rPr>
                <w:rFonts w:ascii="Arial" w:hAnsi="Arial" w:cs="Arial"/>
                <w:sz w:val="22"/>
                <w:szCs w:val="22"/>
              </w:rPr>
              <w:t>Module code:</w:t>
            </w:r>
            <w:r>
              <w:rPr>
                <w:rFonts w:ascii="Arial" w:hAnsi="Arial" w:cs="Arial"/>
                <w:sz w:val="22"/>
                <w:szCs w:val="22"/>
              </w:rPr>
              <w:t xml:space="preserve"> </w:t>
            </w:r>
            <w:r w:rsidRPr="00D77AC6">
              <w:rPr>
                <w:b/>
                <w:bCs/>
                <w:sz w:val="22"/>
                <w:szCs w:val="22"/>
                <w:lang w:val="en-US"/>
              </w:rPr>
              <w:t>HPCA7015</w:t>
            </w:r>
          </w:p>
          <w:p w14:paraId="63C7A4F0" w14:textId="77777777" w:rsidR="00D77AC6" w:rsidRPr="00230F35" w:rsidRDefault="00D77AC6" w:rsidP="00AD6523">
            <w:pPr>
              <w:pStyle w:val="NormalWeb"/>
              <w:spacing w:before="0" w:beforeAutospacing="0" w:after="0" w:afterAutospacing="0"/>
              <w:ind w:right="34"/>
              <w:rPr>
                <w:rFonts w:ascii="Arial" w:hAnsi="Arial" w:cs="Arial"/>
                <w:sz w:val="22"/>
                <w:szCs w:val="22"/>
              </w:rPr>
            </w:pPr>
          </w:p>
          <w:p w14:paraId="7D0F6EEA" w14:textId="77777777" w:rsidR="00D77AC6" w:rsidRPr="000F7290" w:rsidRDefault="00D77AC6" w:rsidP="00AD6523">
            <w:pPr>
              <w:pStyle w:val="NormalWeb"/>
              <w:ind w:right="34"/>
              <w:rPr>
                <w:b/>
                <w:bCs/>
                <w:sz w:val="22"/>
                <w:szCs w:val="22"/>
                <w:lang w:val="en-US"/>
              </w:rPr>
            </w:pPr>
            <w:r w:rsidRPr="00230F35">
              <w:rPr>
                <w:rFonts w:ascii="Arial" w:hAnsi="Arial" w:cs="Arial"/>
                <w:sz w:val="22"/>
                <w:szCs w:val="22"/>
              </w:rPr>
              <w:t>Module title:</w:t>
            </w:r>
            <w:r w:rsidRPr="000F7290">
              <w:rPr>
                <w:rFonts w:ascii="Segoe UI" w:eastAsia="Times New Roman" w:hAnsi="Segoe UI" w:cs="Segoe UI"/>
                <w:color w:val="FFFFFF"/>
                <w:kern w:val="36"/>
                <w:sz w:val="48"/>
                <w:szCs w:val="48"/>
                <w:lang w:val="en-US" w:eastAsia="nl-NL"/>
              </w:rPr>
              <w:t xml:space="preserve"> </w:t>
            </w:r>
            <w:r w:rsidRPr="000F7290">
              <w:rPr>
                <w:b/>
                <w:bCs/>
                <w:sz w:val="22"/>
                <w:szCs w:val="22"/>
                <w:lang w:val="en-US"/>
              </w:rPr>
              <w:t>Foundations in Cultural Astronomy and Astrology</w:t>
            </w:r>
          </w:p>
          <w:p w14:paraId="541EFE25" w14:textId="77777777" w:rsidR="00D77AC6" w:rsidRDefault="00D77AC6" w:rsidP="00AD6523">
            <w:pPr>
              <w:pStyle w:val="NormalWeb"/>
              <w:spacing w:before="0" w:beforeAutospacing="0" w:after="0" w:afterAutospacing="0"/>
              <w:ind w:right="34"/>
              <w:rPr>
                <w:rFonts w:ascii="Arial" w:hAnsi="Arial" w:cs="Arial"/>
                <w:sz w:val="22"/>
                <w:szCs w:val="22"/>
              </w:rPr>
            </w:pPr>
          </w:p>
          <w:p w14:paraId="4408A416" w14:textId="77777777" w:rsidR="00D77AC6" w:rsidRPr="00230F35" w:rsidRDefault="00D77AC6" w:rsidP="00AD6523">
            <w:pPr>
              <w:pStyle w:val="NormalWeb"/>
              <w:spacing w:before="0" w:beforeAutospacing="0" w:after="0" w:afterAutospacing="0"/>
              <w:ind w:right="34"/>
              <w:rPr>
                <w:rFonts w:ascii="Arial" w:hAnsi="Arial" w:cs="Arial"/>
                <w:sz w:val="22"/>
                <w:szCs w:val="22"/>
              </w:rPr>
            </w:pPr>
          </w:p>
        </w:tc>
        <w:tc>
          <w:tcPr>
            <w:tcW w:w="2266" w:type="dxa"/>
            <w:gridSpan w:val="3"/>
          </w:tcPr>
          <w:p w14:paraId="1A8BC73F" w14:textId="77777777" w:rsidR="00D77AC6"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F677AE6" w14:textId="77777777" w:rsidR="00D77AC6" w:rsidRPr="00230F35" w:rsidRDefault="00D77AC6" w:rsidP="00AD6523">
            <w:pPr>
              <w:pStyle w:val="NormalWeb"/>
              <w:spacing w:before="0" w:beforeAutospacing="0" w:after="0" w:afterAutospacing="0"/>
              <w:ind w:right="34"/>
              <w:rPr>
                <w:rFonts w:ascii="Arial" w:hAnsi="Arial" w:cs="Arial"/>
                <w:sz w:val="22"/>
                <w:szCs w:val="22"/>
              </w:rPr>
            </w:pPr>
            <w:r>
              <w:rPr>
                <w:rFonts w:ascii="Arial" w:hAnsi="Arial" w:cs="Arial"/>
                <w:sz w:val="22"/>
                <w:szCs w:val="22"/>
              </w:rPr>
              <w:t>2510780</w:t>
            </w:r>
          </w:p>
        </w:tc>
        <w:tc>
          <w:tcPr>
            <w:tcW w:w="1802" w:type="dxa"/>
          </w:tcPr>
          <w:p w14:paraId="3FE2C08B" w14:textId="77777777" w:rsidR="00D77AC6" w:rsidRPr="00230F35"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901590D" w14:textId="77777777" w:rsidR="00D77AC6" w:rsidRPr="000F7290" w:rsidRDefault="00D77AC6" w:rsidP="00AD6523">
            <w:pPr>
              <w:pStyle w:val="NormalWeb"/>
              <w:spacing w:before="0" w:beforeAutospacing="0" w:after="0" w:afterAutospacing="0"/>
              <w:ind w:right="34"/>
              <w:rPr>
                <w:rFonts w:ascii="Arial" w:hAnsi="Arial" w:cs="Arial"/>
                <w:sz w:val="22"/>
                <w:szCs w:val="22"/>
              </w:rPr>
            </w:pPr>
            <w:r w:rsidRPr="000F7290">
              <w:rPr>
                <w:rFonts w:ascii="Arial" w:hAnsi="Arial" w:cs="Arial"/>
                <w:b/>
                <w:bCs/>
                <w:sz w:val="22"/>
                <w:szCs w:val="22"/>
              </w:rPr>
              <w:t>Yes</w:t>
            </w:r>
            <w:r>
              <w:rPr>
                <w:rFonts w:ascii="Arial" w:hAnsi="Arial" w:cs="Arial"/>
                <w:b/>
                <w:bCs/>
                <w:sz w:val="22"/>
                <w:szCs w:val="22"/>
              </w:rPr>
              <w:t xml:space="preserve"> </w:t>
            </w:r>
            <w:r>
              <w:rPr>
                <w:rFonts w:ascii="Arial" w:hAnsi="Arial" w:cs="Arial"/>
                <w:sz w:val="22"/>
                <w:szCs w:val="22"/>
              </w:rPr>
              <w:t>but I am in contact with disability support now for my ADHD and I need to follow up.</w:t>
            </w:r>
          </w:p>
        </w:tc>
      </w:tr>
      <w:tr w:rsidR="00D77AC6" w:rsidRPr="00B510D0" w14:paraId="03873185" w14:textId="77777777" w:rsidTr="00AD6523">
        <w:trPr>
          <w:trHeight w:val="1139"/>
        </w:trPr>
        <w:tc>
          <w:tcPr>
            <w:tcW w:w="8856" w:type="dxa"/>
            <w:gridSpan w:val="5"/>
          </w:tcPr>
          <w:p w14:paraId="1076339A" w14:textId="77777777" w:rsidR="00D77AC6" w:rsidRPr="00230F35" w:rsidRDefault="00D77AC6" w:rsidP="00AD652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Nicholas Campion</w:t>
            </w:r>
          </w:p>
          <w:p w14:paraId="21A65970" w14:textId="77777777" w:rsidR="00D77AC6" w:rsidRPr="00230F35" w:rsidRDefault="00D77AC6" w:rsidP="00AD6523">
            <w:pPr>
              <w:pStyle w:val="NormalWeb"/>
              <w:spacing w:before="0" w:beforeAutospacing="0" w:after="0" w:afterAutospacing="0"/>
              <w:ind w:right="34"/>
              <w:rPr>
                <w:rFonts w:ascii="Arial" w:hAnsi="Arial" w:cs="Arial"/>
                <w:sz w:val="22"/>
                <w:szCs w:val="22"/>
              </w:rPr>
            </w:pPr>
          </w:p>
          <w:p w14:paraId="05C1E3E6" w14:textId="77777777" w:rsidR="00D77AC6" w:rsidRDefault="00D77AC6" w:rsidP="00AD6523">
            <w:pPr>
              <w:pStyle w:val="NormalWeb"/>
              <w:spacing w:before="0" w:beforeAutospacing="0" w:after="0" w:afterAutospacing="0"/>
              <w:ind w:right="34"/>
              <w:rPr>
                <w:rFonts w:ascii="Arial" w:hAnsi="Arial" w:cs="Arial"/>
                <w:sz w:val="22"/>
                <w:szCs w:val="22"/>
              </w:rPr>
            </w:pPr>
          </w:p>
          <w:p w14:paraId="7A50A998" w14:textId="77777777" w:rsidR="00D77AC6" w:rsidRPr="00230F35"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6 November</w:t>
            </w:r>
          </w:p>
        </w:tc>
      </w:tr>
      <w:tr w:rsidR="00D77AC6" w:rsidRPr="00B510D0" w14:paraId="0E1A4BFC" w14:textId="77777777" w:rsidTr="00AD6523">
        <w:trPr>
          <w:trHeight w:val="978"/>
        </w:trPr>
        <w:tc>
          <w:tcPr>
            <w:tcW w:w="8856" w:type="dxa"/>
            <w:gridSpan w:val="5"/>
            <w:tcBorders>
              <w:bottom w:val="single" w:sz="4" w:space="0" w:color="000000"/>
            </w:tcBorders>
          </w:tcPr>
          <w:p w14:paraId="7483742F" w14:textId="77777777" w:rsidR="00D77AC6" w:rsidRPr="00D77AC6" w:rsidRDefault="00D77AC6" w:rsidP="00AD6523">
            <w:pPr>
              <w:rPr>
                <w:rFonts w:ascii="Arial" w:hAnsi="Arial" w:cs="Arial"/>
                <w:lang w:val="en-US"/>
              </w:rPr>
            </w:pPr>
            <w:r w:rsidRPr="00D77AC6">
              <w:rPr>
                <w:rFonts w:ascii="Arial" w:hAnsi="Arial" w:cs="Arial"/>
                <w:lang w:val="en-US"/>
              </w:rPr>
              <w:t>If your module has multiple submissions please indicate which piece of work this is.</w:t>
            </w:r>
          </w:p>
          <w:p w14:paraId="720D2A1B" w14:textId="77777777" w:rsidR="00D77AC6" w:rsidRPr="00D77AC6" w:rsidRDefault="00D77AC6" w:rsidP="00AD6523">
            <w:pPr>
              <w:rPr>
                <w:rFonts w:ascii="Arial" w:hAnsi="Arial" w:cs="Arial"/>
                <w:lang w:val="en-US"/>
              </w:rPr>
            </w:pPr>
          </w:p>
          <w:p w14:paraId="7E153189" w14:textId="77777777" w:rsidR="00D77AC6" w:rsidRPr="00D77AC6" w:rsidRDefault="00D77AC6" w:rsidP="00AD6523">
            <w:pPr>
              <w:rPr>
                <w:rFonts w:ascii="Arial" w:hAnsi="Arial" w:cs="Arial"/>
                <w:lang w:val="en-US"/>
              </w:rPr>
            </w:pPr>
            <w:r w:rsidRPr="00D77AC6">
              <w:rPr>
                <w:rFonts w:ascii="Arial" w:hAnsi="Arial" w:cs="Arial"/>
                <w:lang w:val="en-US"/>
              </w:rPr>
              <w:t>1</w:t>
            </w:r>
            <w:r w:rsidRPr="00D77AC6">
              <w:rPr>
                <w:rFonts w:ascii="Arial" w:hAnsi="Arial" w:cs="Arial"/>
                <w:vertAlign w:val="superscript"/>
                <w:lang w:val="en-US"/>
              </w:rPr>
              <w:t xml:space="preserve">st </w:t>
            </w:r>
            <w:r w:rsidRPr="000F7290">
              <w:rPr>
                <w:rFonts w:ascii="Arial" w:hAnsi="Arial" w:cs="Arial"/>
                <w:highlight w:val="yellow"/>
              </w:rPr>
              <w:fldChar w:fldCharType="begin">
                <w:ffData>
                  <w:name w:val="Check13"/>
                  <w:enabled/>
                  <w:calcOnExit w:val="0"/>
                  <w:checkBox>
                    <w:sizeAuto/>
                    <w:default w:val="0"/>
                  </w:checkBox>
                </w:ffData>
              </w:fldChar>
            </w:r>
            <w:bookmarkStart w:id="0" w:name="Check13"/>
            <w:r w:rsidRPr="00D77AC6">
              <w:rPr>
                <w:rFonts w:ascii="Arial" w:hAnsi="Arial" w:cs="Arial"/>
                <w:highlight w:val="yellow"/>
                <w:lang w:val="en-US"/>
              </w:rPr>
              <w:instrText xml:space="preserve"> FORMCHECKBOX </w:instrText>
            </w:r>
            <w:r w:rsidRPr="000F7290">
              <w:rPr>
                <w:rFonts w:ascii="Arial" w:hAnsi="Arial" w:cs="Arial"/>
                <w:highlight w:val="yellow"/>
              </w:rPr>
            </w:r>
            <w:r w:rsidRPr="000F7290">
              <w:rPr>
                <w:rFonts w:ascii="Arial" w:hAnsi="Arial" w:cs="Arial"/>
                <w:highlight w:val="yellow"/>
              </w:rPr>
              <w:fldChar w:fldCharType="separate"/>
            </w:r>
            <w:r w:rsidRPr="000F7290">
              <w:rPr>
                <w:rFonts w:ascii="Arial" w:hAnsi="Arial" w:cs="Arial"/>
                <w:highlight w:val="yellow"/>
              </w:rPr>
              <w:fldChar w:fldCharType="end"/>
            </w:r>
            <w:bookmarkEnd w:id="0"/>
            <w:r w:rsidRPr="00D77AC6">
              <w:rPr>
                <w:rFonts w:ascii="Arial" w:hAnsi="Arial" w:cs="Arial"/>
                <w:lang w:val="en-US"/>
              </w:rPr>
              <w:t xml:space="preserve">    2</w:t>
            </w:r>
            <w:r w:rsidRPr="00D77AC6">
              <w:rPr>
                <w:rFonts w:ascii="Arial" w:hAnsi="Arial" w:cs="Arial"/>
                <w:vertAlign w:val="superscript"/>
                <w:lang w:val="en-US"/>
              </w:rPr>
              <w:t>nd</w:t>
            </w:r>
            <w:r w:rsidRPr="00D77AC6">
              <w:rPr>
                <w:rFonts w:ascii="Arial" w:hAnsi="Arial" w:cs="Arial"/>
                <w:lang w:val="en-US"/>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D77AC6">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D77AC6">
              <w:rPr>
                <w:rFonts w:ascii="Arial" w:hAnsi="Arial" w:cs="Arial"/>
                <w:lang w:val="en-US"/>
              </w:rPr>
              <w:t xml:space="preserve">     3</w:t>
            </w:r>
            <w:r w:rsidRPr="00D77AC6">
              <w:rPr>
                <w:rFonts w:ascii="Arial" w:hAnsi="Arial" w:cs="Arial"/>
                <w:vertAlign w:val="superscript"/>
                <w:lang w:val="en-US"/>
              </w:rPr>
              <w:t>rd</w:t>
            </w:r>
            <w:r w:rsidRPr="00D77AC6">
              <w:rPr>
                <w:rFonts w:ascii="Arial" w:hAnsi="Arial" w:cs="Arial"/>
                <w:lang w:val="en-US"/>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D77AC6">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D77AC6">
              <w:rPr>
                <w:rFonts w:ascii="Arial" w:hAnsi="Arial" w:cs="Arial"/>
                <w:lang w:val="en-US"/>
              </w:rPr>
              <w:t xml:space="preserve">      4</w:t>
            </w:r>
            <w:r w:rsidRPr="00D77AC6">
              <w:rPr>
                <w:rFonts w:ascii="Arial" w:hAnsi="Arial" w:cs="Arial"/>
                <w:vertAlign w:val="superscript"/>
                <w:lang w:val="en-US"/>
              </w:rPr>
              <w:t>th</w:t>
            </w:r>
            <w:r w:rsidRPr="00D77AC6">
              <w:rPr>
                <w:rFonts w:ascii="Arial" w:hAnsi="Arial" w:cs="Arial"/>
                <w:lang w:val="en-US"/>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D77AC6">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D77AC6">
              <w:rPr>
                <w:rFonts w:ascii="Arial" w:hAnsi="Arial" w:cs="Arial"/>
                <w:lang w:val="en-US"/>
              </w:rPr>
              <w:t xml:space="preserve">      5</w:t>
            </w:r>
            <w:r w:rsidRPr="00D77AC6">
              <w:rPr>
                <w:rFonts w:ascii="Arial" w:hAnsi="Arial" w:cs="Arial"/>
                <w:vertAlign w:val="superscript"/>
                <w:lang w:val="en-US"/>
              </w:rPr>
              <w:t>th</w:t>
            </w:r>
            <w:r w:rsidRPr="00D77AC6">
              <w:rPr>
                <w:rFonts w:ascii="Arial" w:hAnsi="Arial" w:cs="Arial"/>
                <w:lang w:val="en-US"/>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D77AC6">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4"/>
            <w:r w:rsidRPr="00D77AC6">
              <w:rPr>
                <w:rFonts w:ascii="Arial" w:hAnsi="Arial" w:cs="Arial"/>
                <w:lang w:val="en-US"/>
              </w:rPr>
              <w:t xml:space="preserve">      6</w:t>
            </w:r>
            <w:r w:rsidRPr="00D77AC6">
              <w:rPr>
                <w:rFonts w:ascii="Arial" w:hAnsi="Arial" w:cs="Arial"/>
                <w:vertAlign w:val="superscript"/>
                <w:lang w:val="en-US"/>
              </w:rPr>
              <w:t>th</w:t>
            </w:r>
            <w:r w:rsidRPr="00D77AC6">
              <w:rPr>
                <w:rFonts w:ascii="Arial" w:hAnsi="Arial" w:cs="Arial"/>
                <w:lang w:val="en-US"/>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D77AC6">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5"/>
          </w:p>
        </w:tc>
      </w:tr>
      <w:tr w:rsidR="00D77AC6" w:rsidRPr="00B510D0" w14:paraId="5315D5FD" w14:textId="77777777" w:rsidTr="00AD6523">
        <w:trPr>
          <w:trHeight w:val="978"/>
        </w:trPr>
        <w:tc>
          <w:tcPr>
            <w:tcW w:w="8856" w:type="dxa"/>
            <w:gridSpan w:val="5"/>
            <w:shd w:val="clear" w:color="auto" w:fill="D9D9D9"/>
          </w:tcPr>
          <w:p w14:paraId="21E1B5BA" w14:textId="77777777" w:rsidR="00D77AC6" w:rsidRPr="00230F35"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B05565E" w14:textId="67AE0F94" w:rsidR="00D77AC6" w:rsidRDefault="00D77AC6" w:rsidP="00AD65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by</w:t>
            </w:r>
            <w:r w:rsidRPr="00230F35">
              <w:rPr>
                <w:rFonts w:ascii="Arial" w:hAnsi="Arial" w:cs="Arial"/>
                <w:sz w:val="22"/>
                <w:szCs w:val="22"/>
              </w:rPr>
              <w:t xml:space="preserve"> </w:t>
            </w:r>
            <w:r>
              <w:rPr>
                <w:rFonts w:ascii="Arial" w:hAnsi="Arial" w:cs="Arial"/>
                <w:sz w:val="22"/>
                <w:szCs w:val="22"/>
              </w:rPr>
              <w:t>Cheryl Abraham</w:t>
            </w:r>
          </w:p>
          <w:p w14:paraId="46CF3E06" w14:textId="77777777" w:rsidR="00D77AC6" w:rsidRDefault="00D77AC6" w:rsidP="00AD652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0F7290">
              <w:rPr>
                <w:rFonts w:ascii="Calibri" w:hAnsi="Calibri" w:cs="Calibri"/>
                <w:b/>
                <w:sz w:val="44"/>
                <w:szCs w:val="44"/>
                <w:highlight w:val="yellow"/>
              </w:rPr>
              <w:t>□</w:t>
            </w:r>
          </w:p>
          <w:p w14:paraId="178B38FC" w14:textId="77777777" w:rsidR="00D77AC6" w:rsidRPr="00230F35" w:rsidRDefault="00D77AC6" w:rsidP="00AD652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D77AC6" w:rsidRPr="00B510D0" w14:paraId="752606CC" w14:textId="77777777" w:rsidTr="00AD6523">
        <w:trPr>
          <w:trHeight w:val="3972"/>
        </w:trPr>
        <w:tc>
          <w:tcPr>
            <w:tcW w:w="8856" w:type="dxa"/>
            <w:gridSpan w:val="5"/>
          </w:tcPr>
          <w:p w14:paraId="07BF3ED4" w14:textId="77777777" w:rsidR="00D77AC6" w:rsidRPr="00D77AC6" w:rsidRDefault="00D77AC6" w:rsidP="00AD6523">
            <w:pPr>
              <w:rPr>
                <w:rFonts w:ascii="Arial" w:hAnsi="Arial"/>
                <w:b/>
                <w:lang w:val="en-US"/>
              </w:rPr>
            </w:pPr>
          </w:p>
          <w:p w14:paraId="4ED9FE6A" w14:textId="77777777" w:rsidR="00D77AC6" w:rsidRDefault="00D77AC6" w:rsidP="00AD6523">
            <w:pPr>
              <w:rPr>
                <w:rFonts w:ascii="Arial" w:hAnsi="Arial"/>
                <w:b/>
              </w:rPr>
            </w:pPr>
            <w:proofErr w:type="spellStart"/>
            <w:r w:rsidRPr="00116CE6">
              <w:rPr>
                <w:rFonts w:ascii="Arial" w:hAnsi="Arial"/>
                <w:b/>
              </w:rPr>
              <w:t>Assignment</w:t>
            </w:r>
            <w:proofErr w:type="spellEnd"/>
            <w:r w:rsidRPr="00116CE6">
              <w:rPr>
                <w:rFonts w:ascii="Arial" w:hAnsi="Arial"/>
                <w:b/>
              </w:rPr>
              <w:t xml:space="preserve">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77AC6" w:rsidRPr="00B510D0" w14:paraId="234ED4C0" w14:textId="77777777" w:rsidTr="00AD6523">
              <w:tc>
                <w:tcPr>
                  <w:tcW w:w="6970" w:type="dxa"/>
                </w:tcPr>
                <w:p w14:paraId="1C021994" w14:textId="77777777" w:rsidR="00D77AC6" w:rsidRDefault="00D77AC6" w:rsidP="00AD6523">
                  <w:pPr>
                    <w:rPr>
                      <w:rFonts w:ascii="Arial" w:hAnsi="Arial"/>
                      <w:sz w:val="20"/>
                      <w:szCs w:val="20"/>
                    </w:rPr>
                  </w:pPr>
                </w:p>
                <w:p w14:paraId="179BF9EA" w14:textId="77777777" w:rsidR="00D77AC6" w:rsidRPr="00022345" w:rsidRDefault="00D77AC6" w:rsidP="00AD6523">
                  <w:pPr>
                    <w:rPr>
                      <w:rFonts w:ascii="Arial" w:hAnsi="Arial"/>
                      <w:b/>
                      <w:sz w:val="20"/>
                      <w:szCs w:val="20"/>
                    </w:rPr>
                  </w:pPr>
                  <w:proofErr w:type="spellStart"/>
                  <w:r w:rsidRPr="00022345">
                    <w:rPr>
                      <w:rFonts w:ascii="Arial" w:hAnsi="Arial"/>
                      <w:b/>
                      <w:sz w:val="20"/>
                      <w:szCs w:val="20"/>
                    </w:rPr>
                    <w:t>Final</w:t>
                  </w:r>
                  <w:proofErr w:type="spellEnd"/>
                  <w:r w:rsidRPr="00022345">
                    <w:rPr>
                      <w:rFonts w:ascii="Arial" w:hAnsi="Arial"/>
                      <w:b/>
                      <w:sz w:val="20"/>
                      <w:szCs w:val="20"/>
                    </w:rPr>
                    <w:t xml:space="preserve"> Mark</w:t>
                  </w:r>
                </w:p>
                <w:p w14:paraId="55CF53DB" w14:textId="77777777" w:rsidR="00D77AC6" w:rsidRPr="00116CE6" w:rsidRDefault="00D77AC6" w:rsidP="00AD6523">
                  <w:pPr>
                    <w:rPr>
                      <w:rFonts w:ascii="Arial" w:hAnsi="Arial"/>
                      <w:sz w:val="20"/>
                      <w:szCs w:val="20"/>
                    </w:rPr>
                  </w:pPr>
                </w:p>
              </w:tc>
              <w:tc>
                <w:tcPr>
                  <w:tcW w:w="1660" w:type="dxa"/>
                </w:tcPr>
                <w:p w14:paraId="0DD0EE33" w14:textId="77777777" w:rsidR="00D77AC6" w:rsidRPr="00D77AC6" w:rsidRDefault="00D77AC6" w:rsidP="00AD6523">
                  <w:pPr>
                    <w:rPr>
                      <w:rFonts w:ascii="Arial" w:hAnsi="Arial"/>
                      <w:sz w:val="20"/>
                      <w:szCs w:val="20"/>
                      <w:lang w:val="en-US"/>
                    </w:rPr>
                  </w:pPr>
                  <w:r w:rsidRPr="00D77AC6">
                    <w:rPr>
                      <w:rFonts w:ascii="Arial" w:hAnsi="Arial"/>
                      <w:sz w:val="20"/>
                      <w:szCs w:val="20"/>
                      <w:lang w:val="en-US"/>
                    </w:rPr>
                    <w:t>WILL BE GIVEN ON TURNITIN</w:t>
                  </w:r>
                </w:p>
              </w:tc>
            </w:tr>
          </w:tbl>
          <w:p w14:paraId="22448266" w14:textId="77777777" w:rsidR="00D77AC6" w:rsidRDefault="00D77AC6" w:rsidP="00AD6523">
            <w:pPr>
              <w:pStyle w:val="NormalWeb"/>
              <w:spacing w:before="0" w:beforeAutospacing="0" w:after="0" w:afterAutospacing="0"/>
              <w:ind w:left="142" w:right="34"/>
              <w:rPr>
                <w:rFonts w:ascii="Arial" w:hAnsi="Arial" w:cs="Arial"/>
                <w:b/>
                <w:sz w:val="22"/>
                <w:szCs w:val="22"/>
              </w:rPr>
            </w:pPr>
          </w:p>
          <w:p w14:paraId="394B42D2" w14:textId="77777777" w:rsidR="00D77AC6" w:rsidRPr="00230F35" w:rsidRDefault="00D77AC6" w:rsidP="00AD652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174F3BDF" w14:textId="77777777" w:rsidR="00D77AC6" w:rsidRDefault="00D77AC6" w:rsidP="00AD6523">
            <w:pPr>
              <w:pStyle w:val="NormalWeb"/>
              <w:spacing w:before="0" w:beforeAutospacing="0" w:after="0" w:afterAutospacing="0"/>
              <w:rPr>
                <w:rFonts w:ascii="Arial" w:hAnsi="Arial" w:cs="Arial"/>
                <w:b/>
                <w:sz w:val="22"/>
                <w:szCs w:val="22"/>
              </w:rPr>
            </w:pPr>
          </w:p>
          <w:p w14:paraId="55B89BB9" w14:textId="77777777" w:rsidR="00D77AC6" w:rsidRDefault="00D77AC6" w:rsidP="00AD6523">
            <w:pPr>
              <w:pStyle w:val="NormalWeb"/>
              <w:spacing w:before="0" w:beforeAutospacing="0" w:after="0" w:afterAutospacing="0"/>
              <w:rPr>
                <w:rFonts w:ascii="Arial" w:hAnsi="Arial" w:cs="Arial"/>
                <w:b/>
                <w:sz w:val="22"/>
                <w:szCs w:val="22"/>
              </w:rPr>
            </w:pPr>
            <w:r>
              <w:rPr>
                <w:rFonts w:ascii="Arial" w:hAnsi="Arial" w:cs="Arial"/>
                <w:b/>
                <w:sz w:val="22"/>
                <w:szCs w:val="22"/>
              </w:rPr>
              <w:t>PLEASE NOTE: ALL COMMENTS WIL BE POSTED ON TURNITIN</w:t>
            </w:r>
          </w:p>
          <w:p w14:paraId="263AED83" w14:textId="77777777" w:rsidR="00D77AC6" w:rsidRDefault="00D77AC6" w:rsidP="00AD6523">
            <w:pPr>
              <w:pStyle w:val="NormalWeb"/>
              <w:spacing w:before="0" w:beforeAutospacing="0" w:after="0" w:afterAutospacing="0"/>
              <w:rPr>
                <w:rFonts w:ascii="Arial" w:hAnsi="Arial" w:cs="Arial"/>
                <w:b/>
                <w:sz w:val="22"/>
                <w:szCs w:val="22"/>
              </w:rPr>
            </w:pPr>
          </w:p>
          <w:p w14:paraId="3DB6843F" w14:textId="77777777" w:rsidR="00D77AC6" w:rsidRDefault="00D77AC6" w:rsidP="00AD6523">
            <w:pPr>
              <w:pStyle w:val="NormalWeb"/>
              <w:spacing w:before="0" w:beforeAutospacing="0" w:after="0" w:afterAutospacing="0"/>
              <w:rPr>
                <w:rFonts w:ascii="Arial" w:hAnsi="Arial" w:cs="Arial"/>
                <w:b/>
                <w:sz w:val="22"/>
                <w:szCs w:val="22"/>
              </w:rPr>
            </w:pPr>
          </w:p>
          <w:p w14:paraId="1DFC2D92" w14:textId="77777777" w:rsidR="00D77AC6" w:rsidRPr="00230F35" w:rsidRDefault="00D77AC6" w:rsidP="00AD652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E6CF4DB" w14:textId="77777777" w:rsidR="00D77AC6" w:rsidRDefault="00D77AC6" w:rsidP="00AD652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4FA65F3" w14:textId="77777777" w:rsidR="00D77AC6" w:rsidRPr="00001C3B" w:rsidRDefault="00D77AC6" w:rsidP="00AD6523">
            <w:pPr>
              <w:pStyle w:val="NormalWeb"/>
              <w:rPr>
                <w:rFonts w:ascii="Arial" w:hAnsi="Arial" w:cs="Arial"/>
                <w:sz w:val="22"/>
                <w:szCs w:val="22"/>
              </w:rPr>
            </w:pPr>
          </w:p>
        </w:tc>
      </w:tr>
      <w:tr w:rsidR="00D77AC6" w:rsidRPr="00230F35" w14:paraId="418424C8" w14:textId="77777777" w:rsidTr="00AD6523">
        <w:trPr>
          <w:trHeight w:val="492"/>
        </w:trPr>
        <w:tc>
          <w:tcPr>
            <w:tcW w:w="6768" w:type="dxa"/>
            <w:gridSpan w:val="3"/>
          </w:tcPr>
          <w:p w14:paraId="4EDFB30C" w14:textId="77777777" w:rsidR="00D77AC6" w:rsidRPr="00230F35" w:rsidRDefault="00D77AC6" w:rsidP="00AD652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6E4C5C6" w14:textId="77777777" w:rsidR="00D77AC6" w:rsidRPr="00230F35" w:rsidRDefault="00D77AC6" w:rsidP="00AD6523">
            <w:pPr>
              <w:pStyle w:val="NormalWeb"/>
              <w:spacing w:after="0"/>
              <w:ind w:left="142" w:right="34"/>
              <w:rPr>
                <w:rFonts w:ascii="Arial" w:hAnsi="Arial" w:cs="Arial"/>
                <w:sz w:val="22"/>
                <w:szCs w:val="22"/>
              </w:rPr>
            </w:pPr>
            <w:r w:rsidRPr="00230F35">
              <w:rPr>
                <w:rFonts w:ascii="Arial" w:hAnsi="Arial" w:cs="Arial"/>
                <w:sz w:val="22"/>
                <w:szCs w:val="22"/>
              </w:rPr>
              <w:t>Date:</w:t>
            </w:r>
          </w:p>
        </w:tc>
      </w:tr>
      <w:tr w:rsidR="00D77AC6" w:rsidRPr="002F467C" w14:paraId="3CD1441A" w14:textId="77777777" w:rsidTr="00AD6523">
        <w:tc>
          <w:tcPr>
            <w:tcW w:w="8856" w:type="dxa"/>
            <w:gridSpan w:val="5"/>
          </w:tcPr>
          <w:p w14:paraId="0583DD35" w14:textId="77777777" w:rsidR="00D77AC6" w:rsidRPr="00230F35" w:rsidRDefault="00D77AC6" w:rsidP="00AD6523">
            <w:pPr>
              <w:pStyle w:val="NormalWeb"/>
              <w:spacing w:before="0" w:beforeAutospacing="0" w:after="0" w:afterAutospacing="0"/>
              <w:ind w:right="-334"/>
              <w:rPr>
                <w:rFonts w:ascii="Arial" w:hAnsi="Arial" w:cs="Arial"/>
                <w:bCs/>
                <w:i/>
                <w:sz w:val="22"/>
                <w:szCs w:val="22"/>
              </w:rPr>
            </w:pPr>
          </w:p>
          <w:p w14:paraId="2EC9F7D9" w14:textId="77777777" w:rsidR="00D77AC6" w:rsidRPr="00230F35" w:rsidRDefault="00D77AC6" w:rsidP="00AD652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535FF26" w14:textId="77777777" w:rsidR="00D77AC6" w:rsidRPr="00230F35" w:rsidRDefault="00D77AC6" w:rsidP="00AD6523">
            <w:pPr>
              <w:pStyle w:val="NormalWeb"/>
              <w:spacing w:before="0" w:beforeAutospacing="0" w:after="0" w:afterAutospacing="0"/>
              <w:ind w:right="-334"/>
              <w:rPr>
                <w:rFonts w:ascii="Arial" w:hAnsi="Arial" w:cs="Arial"/>
                <w:b/>
                <w:bCs/>
                <w:sz w:val="22"/>
                <w:szCs w:val="22"/>
              </w:rPr>
            </w:pPr>
          </w:p>
          <w:p w14:paraId="538A1AF0"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43843A0"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p>
          <w:p w14:paraId="2D87342F"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p>
          <w:p w14:paraId="36E9A7A5"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p>
        </w:tc>
      </w:tr>
      <w:tr w:rsidR="00D77AC6" w:rsidRPr="002F467C" w14:paraId="0851F3E8" w14:textId="77777777" w:rsidTr="00AD6523">
        <w:trPr>
          <w:trHeight w:val="720"/>
        </w:trPr>
        <w:tc>
          <w:tcPr>
            <w:tcW w:w="5211" w:type="dxa"/>
            <w:gridSpan w:val="2"/>
          </w:tcPr>
          <w:p w14:paraId="432E6725"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637DE24"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77AC6" w:rsidRPr="00B510D0" w14:paraId="41A5291C" w14:textId="77777777" w:rsidTr="00AD6523">
        <w:trPr>
          <w:trHeight w:val="720"/>
        </w:trPr>
        <w:tc>
          <w:tcPr>
            <w:tcW w:w="8856" w:type="dxa"/>
            <w:gridSpan w:val="5"/>
          </w:tcPr>
          <w:p w14:paraId="4B06C32D" w14:textId="77777777" w:rsidR="00D77AC6" w:rsidRPr="00D77AC6" w:rsidRDefault="00D77AC6" w:rsidP="00AD6523">
            <w:pPr>
              <w:rPr>
                <w:rFonts w:ascii="Arial" w:hAnsi="Arial" w:cs="Arial"/>
                <w:b/>
                <w:lang w:val="en-US"/>
              </w:rPr>
            </w:pPr>
            <w:r w:rsidRPr="00D77AC6">
              <w:rPr>
                <w:rFonts w:ascii="Arial" w:hAnsi="Arial" w:cs="Arial"/>
                <w:b/>
                <w:lang w:val="en-US"/>
              </w:rPr>
              <w:t>AGREED INTERNAL MARK (where necessary):</w:t>
            </w:r>
          </w:p>
          <w:p w14:paraId="5D7A8284" w14:textId="77777777" w:rsidR="00D77AC6" w:rsidRPr="00D77AC6" w:rsidRDefault="00D77AC6" w:rsidP="00AD6523">
            <w:pPr>
              <w:rPr>
                <w:rFonts w:ascii="Arial" w:hAnsi="Arial" w:cs="Arial"/>
                <w:b/>
                <w:lang w:val="en-US"/>
              </w:rPr>
            </w:pPr>
          </w:p>
          <w:p w14:paraId="3FEDF4BE" w14:textId="77777777" w:rsidR="00D77AC6" w:rsidRPr="00D77AC6" w:rsidRDefault="00D77AC6" w:rsidP="00AD6523">
            <w:pPr>
              <w:rPr>
                <w:rFonts w:ascii="Arial" w:hAnsi="Arial" w:cs="Arial"/>
                <w:b/>
                <w:lang w:val="en-US"/>
              </w:rPr>
            </w:pPr>
            <w:r w:rsidRPr="00D77AC6">
              <w:rPr>
                <w:rFonts w:ascii="Arial" w:hAnsi="Arial" w:cs="Arial"/>
                <w:b/>
                <w:lang w:val="en-US"/>
              </w:rPr>
              <w:t>Comment on process of arriving at agreed mark:</w:t>
            </w:r>
          </w:p>
          <w:p w14:paraId="55F88BC8" w14:textId="77777777" w:rsidR="00D77AC6" w:rsidRPr="00D77AC6" w:rsidRDefault="00D77AC6" w:rsidP="00AD6523">
            <w:pPr>
              <w:rPr>
                <w:rFonts w:ascii="Arial" w:hAnsi="Arial" w:cs="Arial"/>
                <w:b/>
                <w:lang w:val="en-US"/>
              </w:rPr>
            </w:pPr>
          </w:p>
          <w:p w14:paraId="3B176281" w14:textId="77777777" w:rsidR="00D77AC6" w:rsidRPr="00D77AC6" w:rsidRDefault="00D77AC6" w:rsidP="00AD6523">
            <w:pPr>
              <w:rPr>
                <w:rFonts w:ascii="Arial" w:hAnsi="Arial" w:cs="Arial"/>
                <w:b/>
                <w:lang w:val="en-US"/>
              </w:rPr>
            </w:pPr>
          </w:p>
          <w:p w14:paraId="0B2AC975" w14:textId="77777777" w:rsidR="00D77AC6" w:rsidRPr="00D77AC6" w:rsidRDefault="00D77AC6" w:rsidP="00AD6523">
            <w:pPr>
              <w:rPr>
                <w:rFonts w:ascii="Arial" w:hAnsi="Arial" w:cs="Arial"/>
                <w:b/>
                <w:lang w:val="en-US"/>
              </w:rPr>
            </w:pPr>
          </w:p>
          <w:p w14:paraId="037F31C6" w14:textId="77777777" w:rsidR="00D77AC6" w:rsidRPr="00D77AC6" w:rsidRDefault="00D77AC6" w:rsidP="00AD6523">
            <w:pPr>
              <w:rPr>
                <w:rFonts w:ascii="Arial" w:hAnsi="Arial" w:cs="Arial"/>
                <w:b/>
                <w:lang w:val="en-US"/>
              </w:rPr>
            </w:pPr>
          </w:p>
        </w:tc>
      </w:tr>
      <w:tr w:rsidR="00D77AC6" w:rsidRPr="00B510D0" w14:paraId="015AD6FF" w14:textId="77777777" w:rsidTr="00AD6523">
        <w:trPr>
          <w:trHeight w:val="720"/>
        </w:trPr>
        <w:tc>
          <w:tcPr>
            <w:tcW w:w="8856" w:type="dxa"/>
            <w:gridSpan w:val="5"/>
          </w:tcPr>
          <w:p w14:paraId="7826E924" w14:textId="77777777" w:rsidR="00D77AC6" w:rsidRPr="00D77AC6" w:rsidRDefault="00D77AC6" w:rsidP="00AD6523">
            <w:pPr>
              <w:rPr>
                <w:rFonts w:ascii="Arial" w:hAnsi="Arial" w:cs="Arial"/>
                <w:b/>
                <w:lang w:val="en-US"/>
              </w:rPr>
            </w:pPr>
            <w:r w:rsidRPr="00D77AC6">
              <w:rPr>
                <w:rFonts w:ascii="Arial" w:hAnsi="Arial" w:cs="Arial"/>
                <w:b/>
                <w:lang w:val="en-US"/>
              </w:rPr>
              <w:t>External Examiner’s comments (if relevant)</w:t>
            </w:r>
          </w:p>
          <w:p w14:paraId="07CAFF58" w14:textId="77777777" w:rsidR="00D77AC6" w:rsidRDefault="00D77AC6" w:rsidP="00AD6523">
            <w:pPr>
              <w:pStyle w:val="NormalWeb"/>
              <w:spacing w:before="0" w:beforeAutospacing="0" w:after="0" w:afterAutospacing="0"/>
              <w:ind w:right="-334"/>
              <w:rPr>
                <w:rFonts w:ascii="Arial" w:hAnsi="Arial" w:cs="Arial"/>
                <w:bCs/>
                <w:sz w:val="22"/>
                <w:szCs w:val="22"/>
              </w:rPr>
            </w:pPr>
          </w:p>
          <w:p w14:paraId="11B290CA" w14:textId="77777777" w:rsidR="00D77AC6" w:rsidRDefault="00D77AC6" w:rsidP="00AD6523">
            <w:pPr>
              <w:pStyle w:val="NormalWeb"/>
              <w:spacing w:before="0" w:beforeAutospacing="0" w:after="0" w:afterAutospacing="0"/>
              <w:ind w:right="-334"/>
              <w:rPr>
                <w:rFonts w:ascii="Arial" w:hAnsi="Arial" w:cs="Arial"/>
                <w:bCs/>
                <w:sz w:val="22"/>
                <w:szCs w:val="22"/>
              </w:rPr>
            </w:pPr>
          </w:p>
          <w:p w14:paraId="0A69433E" w14:textId="77777777" w:rsidR="00D77AC6" w:rsidRDefault="00D77AC6" w:rsidP="00AD6523">
            <w:pPr>
              <w:pStyle w:val="NormalWeb"/>
              <w:spacing w:before="0" w:beforeAutospacing="0" w:after="0" w:afterAutospacing="0"/>
              <w:ind w:right="-334"/>
              <w:rPr>
                <w:rFonts w:ascii="Arial" w:hAnsi="Arial" w:cs="Arial"/>
                <w:bCs/>
                <w:sz w:val="22"/>
                <w:szCs w:val="22"/>
              </w:rPr>
            </w:pPr>
          </w:p>
          <w:p w14:paraId="03455B4C" w14:textId="77777777" w:rsidR="00D77AC6" w:rsidRDefault="00D77AC6" w:rsidP="00AD6523">
            <w:pPr>
              <w:pStyle w:val="NormalWeb"/>
              <w:spacing w:before="0" w:beforeAutospacing="0" w:after="0" w:afterAutospacing="0"/>
              <w:ind w:right="-334"/>
              <w:rPr>
                <w:rFonts w:ascii="Arial" w:hAnsi="Arial" w:cs="Arial"/>
                <w:bCs/>
                <w:sz w:val="22"/>
                <w:szCs w:val="22"/>
              </w:rPr>
            </w:pPr>
          </w:p>
          <w:p w14:paraId="16CC27D0"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p>
          <w:p w14:paraId="312008B1"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p>
          <w:p w14:paraId="34FA4CA3" w14:textId="77777777" w:rsidR="00D77AC6" w:rsidRPr="00230F35" w:rsidRDefault="00D77AC6" w:rsidP="00AD6523">
            <w:pPr>
              <w:pStyle w:val="NormalWeb"/>
              <w:spacing w:before="0" w:beforeAutospacing="0" w:after="0" w:afterAutospacing="0"/>
              <w:ind w:right="-334"/>
              <w:rPr>
                <w:rFonts w:ascii="Arial" w:hAnsi="Arial" w:cs="Arial"/>
                <w:bCs/>
                <w:sz w:val="22"/>
                <w:szCs w:val="22"/>
              </w:rPr>
            </w:pPr>
          </w:p>
        </w:tc>
      </w:tr>
    </w:tbl>
    <w:p w14:paraId="0482EACF" w14:textId="77777777" w:rsidR="00D05960" w:rsidRDefault="00D05960">
      <w:pPr>
        <w:rPr>
          <w:lang w:val="en-US"/>
        </w:rPr>
      </w:pPr>
    </w:p>
    <w:p w14:paraId="218D5658" w14:textId="77777777" w:rsidR="00D77AC6" w:rsidRDefault="00D77AC6">
      <w:pPr>
        <w:rPr>
          <w:lang w:val="en-US"/>
        </w:rPr>
      </w:pPr>
    </w:p>
    <w:p w14:paraId="72734785" w14:textId="77777777" w:rsidR="00C53758" w:rsidRDefault="006F16F9">
      <w:pPr>
        <w:rPr>
          <w:b/>
          <w:bCs/>
          <w:sz w:val="28"/>
          <w:szCs w:val="28"/>
          <w:lang w:val="en-US"/>
        </w:rPr>
      </w:pPr>
      <w:r w:rsidRPr="00D77AC6">
        <w:rPr>
          <w:b/>
          <w:bCs/>
          <w:sz w:val="28"/>
          <w:szCs w:val="28"/>
          <w:lang w:val="en-US"/>
        </w:rPr>
        <w:lastRenderedPageBreak/>
        <w:t>A Critical Comparison of Two Secondary Sources</w:t>
      </w:r>
      <w:r w:rsidR="00C53758">
        <w:rPr>
          <w:b/>
          <w:bCs/>
          <w:sz w:val="28"/>
          <w:szCs w:val="28"/>
          <w:lang w:val="en-US"/>
        </w:rPr>
        <w:br/>
      </w:r>
      <w:r w:rsidR="00C53758" w:rsidRPr="00C53758">
        <w:rPr>
          <w:lang w:val="en-US"/>
        </w:rPr>
        <w:t>Wordcount: 2031</w:t>
      </w:r>
    </w:p>
    <w:p w14:paraId="3C6D841F" w14:textId="279AA331" w:rsidR="006F16F9" w:rsidRPr="00C53758" w:rsidRDefault="006F16F9">
      <w:pPr>
        <w:rPr>
          <w:b/>
          <w:bCs/>
          <w:sz w:val="28"/>
          <w:szCs w:val="28"/>
          <w:lang w:val="en-US"/>
        </w:rPr>
      </w:pPr>
      <w:r w:rsidRPr="00D77AC6">
        <w:rPr>
          <w:lang w:val="en-US"/>
        </w:rPr>
        <w:t>By Cheryl Abraham</w:t>
      </w:r>
      <w:r w:rsidR="00B510D0">
        <w:rPr>
          <w:lang w:val="en-US"/>
        </w:rPr>
        <w:t xml:space="preserve"> </w:t>
      </w:r>
      <w:r w:rsidR="00A62289">
        <w:rPr>
          <w:lang w:val="en-US"/>
        </w:rPr>
        <w:t>2510780</w:t>
      </w:r>
    </w:p>
    <w:p w14:paraId="1F9DFE04" w14:textId="77777777" w:rsidR="006F16F9" w:rsidRDefault="006F16F9">
      <w:pPr>
        <w:rPr>
          <w:lang w:val="en-US"/>
        </w:rPr>
      </w:pPr>
    </w:p>
    <w:p w14:paraId="41E1A33F" w14:textId="45E9F05A" w:rsidR="006D4DC9" w:rsidRPr="00063D5A" w:rsidRDefault="006D4DC9">
      <w:pPr>
        <w:rPr>
          <w:b/>
          <w:bCs/>
          <w:lang w:val="en-US"/>
        </w:rPr>
      </w:pPr>
      <w:r w:rsidRPr="006D4DC9">
        <w:rPr>
          <w:b/>
          <w:bCs/>
          <w:lang w:val="en-US"/>
        </w:rPr>
        <w:t>Introduction</w:t>
      </w:r>
    </w:p>
    <w:p w14:paraId="6D084BE2" w14:textId="77777777" w:rsidR="00542F21" w:rsidRDefault="00542F21">
      <w:pPr>
        <w:rPr>
          <w:lang w:val="en-US"/>
        </w:rPr>
      </w:pPr>
      <w:r w:rsidRPr="00542F21">
        <w:rPr>
          <w:lang w:val="en-US"/>
        </w:rPr>
        <w:t>This essay critically compares and contrasts two scholarly papers: Michelle Aroney’s “Reassessing the Marginalization of Astrology in the Early Modern World” (</w:t>
      </w:r>
      <w:r w:rsidRPr="00542F21">
        <w:rPr>
          <w:i/>
          <w:iCs/>
          <w:lang w:val="en-US"/>
        </w:rPr>
        <w:t>The Historical Journal</w:t>
      </w:r>
      <w:r w:rsidRPr="00542F21">
        <w:rPr>
          <w:lang w:val="en-US"/>
        </w:rPr>
        <w:t>, 2023) and Roger French’s “Foretelling the Future: Arabic Astrology and English Medicine in the Late Twelfth Century” (</w:t>
      </w:r>
      <w:r w:rsidRPr="00542F21">
        <w:rPr>
          <w:i/>
          <w:iCs/>
          <w:lang w:val="en-US"/>
        </w:rPr>
        <w:t>Isis</w:t>
      </w:r>
      <w:r w:rsidRPr="00542F21">
        <w:rPr>
          <w:lang w:val="en-US"/>
        </w:rPr>
        <w:t>, 1996).</w:t>
      </w:r>
    </w:p>
    <w:p w14:paraId="19D7EE36" w14:textId="0DAAAB69" w:rsidR="0093402D" w:rsidRPr="000B67DC" w:rsidRDefault="00C72456">
      <w:pPr>
        <w:rPr>
          <w:lang w:val="en-US"/>
        </w:rPr>
      </w:pPr>
      <w:r w:rsidRPr="00C72456">
        <w:rPr>
          <w:lang w:val="en-US"/>
        </w:rPr>
        <w:t>The first author, Michelle Aroney, publishes this article under her earlier name rather than her later surname, Pfeffer, which she uses for some of her other works.</w:t>
      </w:r>
      <w:r w:rsidR="00624404">
        <w:rPr>
          <w:lang w:val="en-US"/>
        </w:rPr>
        <w:t xml:space="preserve"> </w:t>
      </w:r>
      <w:r w:rsidR="005C6F58">
        <w:rPr>
          <w:lang w:val="en-US"/>
        </w:rPr>
        <w:t>Aroney</w:t>
      </w:r>
      <w:r w:rsidR="00A568D0">
        <w:rPr>
          <w:lang w:val="en-US"/>
        </w:rPr>
        <w:t xml:space="preserve"> is a historian of science in the early modern period</w:t>
      </w:r>
      <w:r w:rsidR="00EB6E28">
        <w:rPr>
          <w:lang w:val="en-US"/>
        </w:rPr>
        <w:t>, and h</w:t>
      </w:r>
      <w:r w:rsidR="00AB6CFA">
        <w:rPr>
          <w:lang w:val="en-US"/>
        </w:rPr>
        <w:t>er current research explores the history of divination and astrology.</w:t>
      </w:r>
      <w:r w:rsidR="00A568D0">
        <w:rPr>
          <w:rStyle w:val="FootnoteReference"/>
          <w:lang w:val="en-US"/>
        </w:rPr>
        <w:footnoteReference w:id="1"/>
      </w:r>
      <w:r w:rsidR="00395DA4">
        <w:rPr>
          <w:lang w:val="en-US"/>
        </w:rPr>
        <w:t xml:space="preserve"> </w:t>
      </w:r>
      <w:r w:rsidR="000B67DC" w:rsidRPr="000B67DC">
        <w:rPr>
          <w:lang w:val="en-US"/>
        </w:rPr>
        <w:t xml:space="preserve">She recently co-authored </w:t>
      </w:r>
      <w:r w:rsidR="000B67DC" w:rsidRPr="000B67DC">
        <w:rPr>
          <w:i/>
          <w:iCs/>
          <w:lang w:val="en-US"/>
        </w:rPr>
        <w:t>Divination, Oracles, and Omens</w:t>
      </w:r>
      <w:r w:rsidR="000B67DC" w:rsidRPr="000B67DC">
        <w:rPr>
          <w:lang w:val="en-US"/>
        </w:rPr>
        <w:t xml:space="preserve"> (Bodleian Library Publishing, 2024) with David Zeitlyn, a volume accompanying the Bodleian Library exhibition </w:t>
      </w:r>
      <w:r w:rsidR="000B67DC" w:rsidRPr="000B67DC">
        <w:rPr>
          <w:i/>
          <w:iCs/>
          <w:lang w:val="en-US"/>
        </w:rPr>
        <w:t>Oracles, Omens &amp; Answers</w:t>
      </w:r>
      <w:r w:rsidR="000B67DC" w:rsidRPr="000B67DC">
        <w:rPr>
          <w:lang w:val="en-US"/>
        </w:rPr>
        <w:t>, running until 27 April 2025</w:t>
      </w:r>
      <w:r w:rsidR="00590F96">
        <w:rPr>
          <w:lang w:val="en-US"/>
        </w:rPr>
        <w:t>.</w:t>
      </w:r>
      <w:r w:rsidR="002A6DE9">
        <w:rPr>
          <w:rStyle w:val="FootnoteReference"/>
          <w:lang w:val="en-US"/>
        </w:rPr>
        <w:footnoteReference w:id="2"/>
      </w:r>
    </w:p>
    <w:p w14:paraId="38158F4D" w14:textId="31FBC345" w:rsidR="00395DA4" w:rsidRPr="00B714AA" w:rsidRDefault="00F63977">
      <w:pPr>
        <w:rPr>
          <w:lang w:val="en-US"/>
        </w:rPr>
      </w:pPr>
      <w:r w:rsidRPr="00F63977">
        <w:rPr>
          <w:lang w:val="en-US"/>
        </w:rPr>
        <w:t xml:space="preserve">Roger French (1938–2002) was a British historian of medicine and science who taught at the University of Cambridge from 1975 to 2002. His research covered a wide span in the history of medicine, anatomy, and natural philosophy, including </w:t>
      </w:r>
      <w:r w:rsidRPr="00F63977">
        <w:rPr>
          <w:i/>
          <w:iCs/>
          <w:lang w:val="en-US"/>
        </w:rPr>
        <w:t>The History and Virtues of Cyder</w:t>
      </w:r>
      <w:r w:rsidRPr="00F63977">
        <w:rPr>
          <w:lang w:val="en-US"/>
        </w:rPr>
        <w:t xml:space="preserve"> (1982), </w:t>
      </w:r>
      <w:r w:rsidRPr="00F63977">
        <w:rPr>
          <w:i/>
          <w:iCs/>
          <w:lang w:val="en-US"/>
        </w:rPr>
        <w:t>William Harvey’s Natural Philosophy</w:t>
      </w:r>
      <w:r w:rsidRPr="00F63977">
        <w:rPr>
          <w:lang w:val="en-US"/>
        </w:rPr>
        <w:t xml:space="preserve"> (1994), and </w:t>
      </w:r>
      <w:r w:rsidRPr="00F63977">
        <w:rPr>
          <w:i/>
          <w:iCs/>
          <w:lang w:val="en-US"/>
        </w:rPr>
        <w:t>Dissection and Vivisection in Renaissance Europe</w:t>
      </w:r>
      <w:r w:rsidRPr="00F63977">
        <w:rPr>
          <w:lang w:val="en-US"/>
        </w:rPr>
        <w:t xml:space="preserve"> (1998)</w:t>
      </w:r>
      <w:r w:rsidR="00900DD5" w:rsidRPr="00900DD5">
        <w:rPr>
          <w:lang w:val="en-US"/>
        </w:rPr>
        <w:t>.</w:t>
      </w:r>
      <w:r w:rsidR="00AB6CFA">
        <w:rPr>
          <w:rStyle w:val="FootnoteReference"/>
          <w:lang w:val="en-US"/>
        </w:rPr>
        <w:footnoteReference w:id="3"/>
      </w:r>
      <w:r w:rsidR="00B714AA">
        <w:rPr>
          <w:lang w:val="en-US"/>
        </w:rPr>
        <w:t xml:space="preserve"> </w:t>
      </w:r>
      <w:r w:rsidR="00B714AA" w:rsidRPr="00B714AA">
        <w:rPr>
          <w:lang w:val="en-US"/>
        </w:rPr>
        <w:t>His 1996 article, “Foretelling the Future: Arabic Astrology and English Medicine in the Late Twelfth Century,” synthesizes his earlier interests in</w:t>
      </w:r>
      <w:r w:rsidR="00A441B0">
        <w:rPr>
          <w:lang w:val="en-US"/>
        </w:rPr>
        <w:t xml:space="preserve"> </w:t>
      </w:r>
      <w:r w:rsidR="00B714AA" w:rsidRPr="00B714AA">
        <w:rPr>
          <w:lang w:val="en-US"/>
        </w:rPr>
        <w:t>medicine, and natural philosophy with a new focus on astrology.</w:t>
      </w:r>
    </w:p>
    <w:p w14:paraId="75AD49C3" w14:textId="04B3BF90" w:rsidR="009659EE" w:rsidRPr="00D80EB4" w:rsidRDefault="001C60A5" w:rsidP="005254D1">
      <w:pPr>
        <w:rPr>
          <w:b/>
          <w:bCs/>
          <w:lang w:val="en-US"/>
        </w:rPr>
      </w:pPr>
      <w:r w:rsidRPr="001C60A5">
        <w:rPr>
          <w:lang w:val="en-US"/>
        </w:rPr>
        <w:t>Although written nearly three decades apart, both papers investigate astrology as an intellectual practice embedded within wider cultural frameworks. French situates astrology within twelfth-century medical and intellectual thought, while Aroney reassesses its later marginalization in the early modern world. The comparison analyses their methods and sources, treatment of astrology, core arguments and evidence, and situates them within broader scholarly debates.</w:t>
      </w:r>
      <w:r w:rsidR="004F0917">
        <w:rPr>
          <w:b/>
          <w:bCs/>
          <w:lang w:val="en-US"/>
        </w:rPr>
        <w:tab/>
      </w:r>
      <w:r w:rsidR="004F0917">
        <w:rPr>
          <w:b/>
          <w:bCs/>
          <w:lang w:val="en-US"/>
        </w:rPr>
        <w:tab/>
      </w:r>
    </w:p>
    <w:p w14:paraId="1D769345" w14:textId="7A77D3E2" w:rsidR="0076551F" w:rsidRPr="001B415F" w:rsidRDefault="0020323D" w:rsidP="00046DF8">
      <w:pPr>
        <w:rPr>
          <w:b/>
          <w:bCs/>
          <w:lang w:val="en-US"/>
        </w:rPr>
      </w:pPr>
      <w:r>
        <w:rPr>
          <w:b/>
          <w:bCs/>
          <w:lang w:val="en-US"/>
        </w:rPr>
        <w:t>Methods</w:t>
      </w:r>
      <w:r w:rsidR="001B415F" w:rsidRPr="001B415F">
        <w:rPr>
          <w:b/>
          <w:bCs/>
          <w:lang w:val="en-US"/>
        </w:rPr>
        <w:t xml:space="preserve"> and sources</w:t>
      </w:r>
    </w:p>
    <w:p w14:paraId="2D8BFA23" w14:textId="74E4BBEB" w:rsidR="00EC0BC1" w:rsidRDefault="00375C97" w:rsidP="00922638">
      <w:pPr>
        <w:rPr>
          <w:lang w:val="en-US"/>
        </w:rPr>
      </w:pPr>
      <w:r>
        <w:rPr>
          <w:lang w:val="en-US"/>
        </w:rPr>
        <w:t>Aron</w:t>
      </w:r>
      <w:r w:rsidR="005A1CAE">
        <w:rPr>
          <w:lang w:val="en-US"/>
        </w:rPr>
        <w:t>ey</w:t>
      </w:r>
      <w:r>
        <w:rPr>
          <w:lang w:val="en-US"/>
        </w:rPr>
        <w:t xml:space="preserve"> presents a historiographical review of how scholars have explained astrology’s decline from mainstream learned culture (universities, courts, medicine) between the </w:t>
      </w:r>
      <w:r w:rsidR="00076DCF">
        <w:rPr>
          <w:lang w:val="en-US"/>
        </w:rPr>
        <w:t>sixteenth and eighteenth</w:t>
      </w:r>
      <w:r w:rsidR="00135AC8">
        <w:rPr>
          <w:lang w:val="en-US"/>
        </w:rPr>
        <w:t xml:space="preserve"> centuries.</w:t>
      </w:r>
      <w:r w:rsidR="008D5B22">
        <w:rPr>
          <w:lang w:val="en-US"/>
        </w:rPr>
        <w:t xml:space="preserve"> </w:t>
      </w:r>
      <w:r w:rsidR="00076DCF">
        <w:rPr>
          <w:lang w:val="en-US"/>
        </w:rPr>
        <w:t xml:space="preserve">Her </w:t>
      </w:r>
      <w:r w:rsidR="00A472CE">
        <w:rPr>
          <w:lang w:val="en-US"/>
        </w:rPr>
        <w:t xml:space="preserve">approach is </w:t>
      </w:r>
      <w:r w:rsidR="008D5B22" w:rsidRPr="00392DF7">
        <w:rPr>
          <w:lang w:val="en-US"/>
        </w:rPr>
        <w:t>historiographical and revisionist</w:t>
      </w:r>
      <w:r w:rsidR="00076DCF">
        <w:rPr>
          <w:lang w:val="en-US"/>
        </w:rPr>
        <w:t>. S</w:t>
      </w:r>
      <w:r w:rsidR="008D5B22" w:rsidRPr="00392DF7">
        <w:rPr>
          <w:lang w:val="en-US"/>
        </w:rPr>
        <w:t xml:space="preserve">he critiques linear science </w:t>
      </w:r>
      <w:r w:rsidR="00D76B21">
        <w:rPr>
          <w:lang w:val="en-US"/>
        </w:rPr>
        <w:t>versus</w:t>
      </w:r>
      <w:r w:rsidR="008D5B22" w:rsidRPr="00392DF7">
        <w:rPr>
          <w:lang w:val="en-US"/>
        </w:rPr>
        <w:t xml:space="preserve"> superstition</w:t>
      </w:r>
      <w:r w:rsidR="00D76B21">
        <w:rPr>
          <w:lang w:val="en-US"/>
        </w:rPr>
        <w:t xml:space="preserve"> </w:t>
      </w:r>
      <w:r w:rsidR="008D5B22" w:rsidRPr="00392DF7">
        <w:rPr>
          <w:lang w:val="en-US"/>
        </w:rPr>
        <w:t xml:space="preserve">narratives and emphasizes complexity, cultural context, and intellectual </w:t>
      </w:r>
      <w:r w:rsidR="00733F12">
        <w:rPr>
          <w:lang w:val="en-US"/>
        </w:rPr>
        <w:t>developments</w:t>
      </w:r>
      <w:r w:rsidR="008D5B22" w:rsidRPr="00392DF7">
        <w:rPr>
          <w:lang w:val="en-US"/>
        </w:rPr>
        <w:t>.</w:t>
      </w:r>
      <w:r w:rsidR="00135AC8">
        <w:rPr>
          <w:lang w:val="en-US"/>
        </w:rPr>
        <w:t xml:space="preserve"> </w:t>
      </w:r>
      <w:r w:rsidR="00524E72">
        <w:rPr>
          <w:lang w:val="en-US"/>
        </w:rPr>
        <w:t>The article is</w:t>
      </w:r>
      <w:r w:rsidR="00135AC8">
        <w:rPr>
          <w:lang w:val="en-US"/>
        </w:rPr>
        <w:t xml:space="preserve"> focused on </w:t>
      </w:r>
      <w:r w:rsidR="00524E72">
        <w:rPr>
          <w:lang w:val="en-US"/>
        </w:rPr>
        <w:t xml:space="preserve">reviewing and synthesizing a large range of </w:t>
      </w:r>
      <w:r w:rsidR="00524E72">
        <w:rPr>
          <w:lang w:val="en-US"/>
        </w:rPr>
        <w:lastRenderedPageBreak/>
        <w:t>s</w:t>
      </w:r>
      <w:r w:rsidR="00135AC8">
        <w:rPr>
          <w:lang w:val="en-US"/>
        </w:rPr>
        <w:t>econdary scholarly material</w:t>
      </w:r>
      <w:r w:rsidR="00524E72">
        <w:rPr>
          <w:lang w:val="en-US"/>
        </w:rPr>
        <w:t xml:space="preserve"> of the past 15 years.</w:t>
      </w:r>
      <w:r w:rsidR="00855A74">
        <w:rPr>
          <w:lang w:val="en-US"/>
        </w:rPr>
        <w:t xml:space="preserve"> Aroney argues that the field has been making </w:t>
      </w:r>
      <w:r w:rsidR="00D62765">
        <w:rPr>
          <w:lang w:val="en-US"/>
        </w:rPr>
        <w:t>a “(re-)turn to intellectual history in this timeframe</w:t>
      </w:r>
      <w:r w:rsidR="00EC0BC1">
        <w:rPr>
          <w:lang w:val="en-US"/>
        </w:rPr>
        <w:t>.</w:t>
      </w:r>
      <w:r w:rsidR="005112A8">
        <w:rPr>
          <w:lang w:val="en-US"/>
        </w:rPr>
        <w:t>”</w:t>
      </w:r>
      <w:r w:rsidR="00EC0BC1">
        <w:rPr>
          <w:rStyle w:val="FootnoteReference"/>
          <w:lang w:val="en-US"/>
        </w:rPr>
        <w:footnoteReference w:id="4"/>
      </w:r>
      <w:r w:rsidR="00D9372D">
        <w:rPr>
          <w:lang w:val="en-US"/>
        </w:rPr>
        <w:t xml:space="preserve"> </w:t>
      </w:r>
    </w:p>
    <w:p w14:paraId="72E27BA9" w14:textId="1B267610" w:rsidR="008C0220" w:rsidRDefault="00D76B21" w:rsidP="00922638">
      <w:pPr>
        <w:rPr>
          <w:lang w:val="en-US"/>
        </w:rPr>
      </w:pPr>
      <w:r>
        <w:rPr>
          <w:lang w:val="en-US"/>
        </w:rPr>
        <w:t xml:space="preserve">Aroney systematically traces changing explanations for astrology’s marginalization. It is very clear, academic, and logically organized into an introduction, two sections and a conclusion. </w:t>
      </w:r>
      <w:r w:rsidR="005E580E">
        <w:rPr>
          <w:lang w:val="en-US"/>
        </w:rPr>
        <w:t xml:space="preserve">Aroney uses </w:t>
      </w:r>
      <w:r w:rsidR="00076DCF">
        <w:rPr>
          <w:lang w:val="en-US"/>
        </w:rPr>
        <w:t>great</w:t>
      </w:r>
      <w:r w:rsidR="00185B9B">
        <w:rPr>
          <w:lang w:val="en-US"/>
        </w:rPr>
        <w:t xml:space="preserve"> </w:t>
      </w:r>
      <w:r w:rsidR="005E580E" w:rsidRPr="00D83461">
        <w:rPr>
          <w:lang w:val="en-US"/>
        </w:rPr>
        <w:t>referencing</w:t>
      </w:r>
      <w:r w:rsidR="00EC1062">
        <w:rPr>
          <w:lang w:val="en-US"/>
        </w:rPr>
        <w:t>, among others, s</w:t>
      </w:r>
      <w:r w:rsidR="00524E72">
        <w:rPr>
          <w:lang w:val="en-US"/>
        </w:rPr>
        <w:t xml:space="preserve">he relies on </w:t>
      </w:r>
      <w:r w:rsidR="00076DCF">
        <w:rPr>
          <w:lang w:val="en-US"/>
        </w:rPr>
        <w:t>scholars</w:t>
      </w:r>
      <w:r w:rsidR="00046DF8" w:rsidRPr="00046DF8">
        <w:rPr>
          <w:lang w:val="en-US"/>
        </w:rPr>
        <w:t xml:space="preserve"> </w:t>
      </w:r>
      <w:r w:rsidR="00524E72">
        <w:rPr>
          <w:lang w:val="en-US"/>
        </w:rPr>
        <w:t>such as</w:t>
      </w:r>
      <w:r w:rsidR="00481B1D">
        <w:rPr>
          <w:lang w:val="en-US"/>
        </w:rPr>
        <w:t xml:space="preserve"> Thorndike,</w:t>
      </w:r>
      <w:r w:rsidR="00046DF8" w:rsidRPr="00046DF8">
        <w:rPr>
          <w:lang w:val="en-US"/>
        </w:rPr>
        <w:t xml:space="preserve"> </w:t>
      </w:r>
      <w:r w:rsidR="005E580E">
        <w:rPr>
          <w:lang w:val="en-US"/>
        </w:rPr>
        <w:t xml:space="preserve">Patrick </w:t>
      </w:r>
      <w:r w:rsidR="00046DF8" w:rsidRPr="00046DF8">
        <w:rPr>
          <w:lang w:val="en-US"/>
        </w:rPr>
        <w:t xml:space="preserve">Curry, </w:t>
      </w:r>
      <w:r w:rsidR="005E580E">
        <w:rPr>
          <w:lang w:val="en-US"/>
        </w:rPr>
        <w:t xml:space="preserve">Wiliam. E. Burns, Anthony </w:t>
      </w:r>
      <w:r w:rsidR="00046DF8" w:rsidRPr="00046DF8">
        <w:rPr>
          <w:lang w:val="en-US"/>
        </w:rPr>
        <w:t xml:space="preserve">Grafton, </w:t>
      </w:r>
      <w:r w:rsidR="005E580E">
        <w:rPr>
          <w:lang w:val="en-US"/>
        </w:rPr>
        <w:t xml:space="preserve">or </w:t>
      </w:r>
      <w:r w:rsidR="00BB2540">
        <w:rPr>
          <w:lang w:val="en-US"/>
        </w:rPr>
        <w:t>Darrel Rutkin</w:t>
      </w:r>
      <w:r w:rsidR="005E580E">
        <w:rPr>
          <w:lang w:val="en-US"/>
        </w:rPr>
        <w:t>.</w:t>
      </w:r>
      <w:r w:rsidR="00185B9B">
        <w:rPr>
          <w:lang w:val="en-US"/>
        </w:rPr>
        <w:t xml:space="preserve"> </w:t>
      </w:r>
      <w:r w:rsidR="00EC1062">
        <w:rPr>
          <w:lang w:val="en-US"/>
        </w:rPr>
        <w:t>Yet, it was</w:t>
      </w:r>
      <w:r w:rsidR="0064216E">
        <w:rPr>
          <w:lang w:val="en-US"/>
        </w:rPr>
        <w:t xml:space="preserve"> surprisin</w:t>
      </w:r>
      <w:r w:rsidR="00EC1062">
        <w:rPr>
          <w:lang w:val="en-US"/>
        </w:rPr>
        <w:t xml:space="preserve">g to notice </w:t>
      </w:r>
      <w:r w:rsidR="0064216E">
        <w:rPr>
          <w:lang w:val="en-US"/>
        </w:rPr>
        <w:t>t</w:t>
      </w:r>
      <w:r w:rsidR="00E313B7">
        <w:rPr>
          <w:lang w:val="en-US"/>
        </w:rPr>
        <w:t xml:space="preserve">hat </w:t>
      </w:r>
      <w:r w:rsidR="004F14C8">
        <w:rPr>
          <w:lang w:val="en-US"/>
        </w:rPr>
        <w:t>Nicholas Campion is absent</w:t>
      </w:r>
      <w:r w:rsidR="00FC35D8">
        <w:rPr>
          <w:lang w:val="en-US"/>
        </w:rPr>
        <w:t xml:space="preserve"> in the references</w:t>
      </w:r>
      <w:r w:rsidR="008C0220" w:rsidRPr="00E74601">
        <w:rPr>
          <w:lang w:val="en-US"/>
        </w:rPr>
        <w:t>.</w:t>
      </w:r>
      <w:r w:rsidR="000E48B7">
        <w:rPr>
          <w:rStyle w:val="FootnoteReference"/>
          <w:lang w:val="en-US"/>
        </w:rPr>
        <w:footnoteReference w:id="5"/>
      </w:r>
    </w:p>
    <w:p w14:paraId="3ADBBDD4" w14:textId="01EE8D5A" w:rsidR="008A2E6A" w:rsidRDefault="00797428" w:rsidP="008A2E6A">
      <w:pPr>
        <w:rPr>
          <w:color w:val="000000" w:themeColor="text1"/>
          <w:lang w:val="en-US"/>
        </w:rPr>
      </w:pPr>
      <w:r>
        <w:rPr>
          <w:lang w:val="en-US"/>
        </w:rPr>
        <w:t>French creates a historical reconstruction of how Arabic astrology entered England in the 12</w:t>
      </w:r>
      <w:r w:rsidRPr="00797428">
        <w:rPr>
          <w:vertAlign w:val="superscript"/>
          <w:lang w:val="en-US"/>
        </w:rPr>
        <w:t>th</w:t>
      </w:r>
      <w:r>
        <w:rPr>
          <w:lang w:val="en-US"/>
        </w:rPr>
        <w:t xml:space="preserve"> century</w:t>
      </w:r>
      <w:r w:rsidR="005854F6">
        <w:rPr>
          <w:lang w:val="en-US"/>
        </w:rPr>
        <w:t>. H</w:t>
      </w:r>
      <w:r>
        <w:rPr>
          <w:lang w:val="en-US"/>
        </w:rPr>
        <w:t xml:space="preserve">e focuses on Roger of Hereford and the integration of astrology into </w:t>
      </w:r>
      <w:r w:rsidR="005854F6">
        <w:rPr>
          <w:lang w:val="en-US"/>
        </w:rPr>
        <w:t>the practice of medicine</w:t>
      </w:r>
      <w:r>
        <w:rPr>
          <w:lang w:val="en-US"/>
        </w:rPr>
        <w:t>.</w:t>
      </w:r>
      <w:r w:rsidR="005854F6">
        <w:rPr>
          <w:rStyle w:val="FootnoteReference"/>
          <w:lang w:val="en-US"/>
        </w:rPr>
        <w:footnoteReference w:id="6"/>
      </w:r>
      <w:r w:rsidR="005854F6">
        <w:rPr>
          <w:lang w:val="en-US"/>
        </w:rPr>
        <w:t xml:space="preserve"> </w:t>
      </w:r>
      <w:r w:rsidR="008A2E6A" w:rsidRPr="00F0797A">
        <w:rPr>
          <w:color w:val="000000" w:themeColor="text1"/>
          <w:lang w:val="en-US"/>
        </w:rPr>
        <w:t xml:space="preserve">French begins with the historical context of Abu </w:t>
      </w:r>
      <w:proofErr w:type="spellStart"/>
      <w:r w:rsidR="008A2E6A" w:rsidRPr="00F0797A">
        <w:rPr>
          <w:color w:val="000000" w:themeColor="text1"/>
          <w:lang w:val="en-US"/>
        </w:rPr>
        <w:t>Ma’Shar</w:t>
      </w:r>
      <w:proofErr w:type="spellEnd"/>
      <w:r w:rsidR="008A2E6A" w:rsidRPr="00F0797A">
        <w:rPr>
          <w:color w:val="000000" w:themeColor="text1"/>
          <w:lang w:val="en-US"/>
        </w:rPr>
        <w:t>, astrology and medicine</w:t>
      </w:r>
      <w:r w:rsidR="008A2E6A">
        <w:rPr>
          <w:color w:val="000000" w:themeColor="text1"/>
          <w:lang w:val="en-US"/>
        </w:rPr>
        <w:t xml:space="preserve"> around the twelfth century, he</w:t>
      </w:r>
      <w:r w:rsidR="008A2E6A" w:rsidRPr="00F0797A">
        <w:rPr>
          <w:color w:val="000000" w:themeColor="text1"/>
          <w:lang w:val="en-US"/>
        </w:rPr>
        <w:t xml:space="preserve"> </w:t>
      </w:r>
      <w:r w:rsidR="008A2E6A">
        <w:rPr>
          <w:color w:val="000000" w:themeColor="text1"/>
          <w:lang w:val="en-US"/>
        </w:rPr>
        <w:t xml:space="preserve">continues to create a full image of Roger of Hereford, as he </w:t>
      </w:r>
      <w:r w:rsidR="008A2E6A" w:rsidRPr="00F0797A">
        <w:rPr>
          <w:color w:val="000000" w:themeColor="text1"/>
          <w:lang w:val="en-US"/>
        </w:rPr>
        <w:t xml:space="preserve">moves through </w:t>
      </w:r>
      <w:r w:rsidR="008A2E6A">
        <w:rPr>
          <w:color w:val="000000" w:themeColor="text1"/>
          <w:lang w:val="en-US"/>
        </w:rPr>
        <w:t>his historical context,</w:t>
      </w:r>
      <w:r w:rsidR="008A2E6A" w:rsidRPr="00F0797A">
        <w:rPr>
          <w:color w:val="000000" w:themeColor="text1"/>
          <w:lang w:val="en-US"/>
        </w:rPr>
        <w:t xml:space="preserve"> </w:t>
      </w:r>
      <w:r w:rsidR="008A2E6A">
        <w:rPr>
          <w:color w:val="000000" w:themeColor="text1"/>
          <w:lang w:val="en-US"/>
        </w:rPr>
        <w:t>educational</w:t>
      </w:r>
      <w:r w:rsidR="008A2E6A" w:rsidRPr="00F0797A">
        <w:rPr>
          <w:color w:val="000000" w:themeColor="text1"/>
          <w:lang w:val="en-US"/>
        </w:rPr>
        <w:t xml:space="preserve"> background</w:t>
      </w:r>
      <w:r w:rsidR="008A2E6A">
        <w:rPr>
          <w:color w:val="000000" w:themeColor="text1"/>
          <w:lang w:val="en-US"/>
        </w:rPr>
        <w:t>, social context, material and sources he likely encountered throughout his life</w:t>
      </w:r>
      <w:r w:rsidR="008A2E6A" w:rsidRPr="00F0797A">
        <w:rPr>
          <w:color w:val="000000" w:themeColor="text1"/>
          <w:lang w:val="en-US"/>
        </w:rPr>
        <w:t>,</w:t>
      </w:r>
      <w:r w:rsidR="008A2E6A">
        <w:rPr>
          <w:color w:val="000000" w:themeColor="text1"/>
          <w:lang w:val="en-US"/>
        </w:rPr>
        <w:t xml:space="preserve"> roger’s personal work and astrology – with a focus on prediction and prognosis</w:t>
      </w:r>
      <w:r w:rsidR="008A2E6A" w:rsidRPr="00F0797A">
        <w:rPr>
          <w:color w:val="000000" w:themeColor="text1"/>
          <w:lang w:val="en-US"/>
        </w:rPr>
        <w:t>.</w:t>
      </w:r>
      <w:r w:rsidR="008A2E6A">
        <w:rPr>
          <w:color w:val="000000" w:themeColor="text1"/>
          <w:lang w:val="en-US"/>
        </w:rPr>
        <w:t xml:space="preserve"> </w:t>
      </w:r>
    </w:p>
    <w:p w14:paraId="607B8DBB" w14:textId="038D54A3" w:rsidR="001F7ACA" w:rsidRPr="008A2E6A" w:rsidRDefault="001F7ACA" w:rsidP="008A2E6A">
      <w:pPr>
        <w:rPr>
          <w:lang w:val="en-US"/>
        </w:rPr>
      </w:pPr>
      <w:r w:rsidRPr="006D7D9F">
        <w:rPr>
          <w:lang w:val="en-US"/>
        </w:rPr>
        <w:t xml:space="preserve">While French also integrates secondary scholarly material, he, unlike Aroney, places stronger emphasis on primary sources. He draws on </w:t>
      </w:r>
      <w:r>
        <w:rPr>
          <w:lang w:val="en-US"/>
        </w:rPr>
        <w:t>Arabic and  Latin</w:t>
      </w:r>
      <w:r w:rsidRPr="006D7D9F">
        <w:rPr>
          <w:lang w:val="en-US"/>
        </w:rPr>
        <w:t xml:space="preserve"> manuscripts and translations, </w:t>
      </w:r>
      <w:r>
        <w:rPr>
          <w:lang w:val="en-US"/>
        </w:rPr>
        <w:t>for instance</w:t>
      </w:r>
      <w:r w:rsidRPr="006D7D9F">
        <w:rPr>
          <w:lang w:val="en-US"/>
        </w:rPr>
        <w:t xml:space="preserve"> Abu </w:t>
      </w:r>
      <w:proofErr w:type="spellStart"/>
      <w:r w:rsidRPr="006D7D9F">
        <w:rPr>
          <w:lang w:val="en-US"/>
        </w:rPr>
        <w:t>Ma</w:t>
      </w:r>
      <w:r w:rsidRPr="006D7D9F">
        <w:rPr>
          <w:rFonts w:ascii="Arial" w:hAnsi="Arial" w:cs="Arial"/>
          <w:lang w:val="en-US"/>
        </w:rPr>
        <w:t>ʿ</w:t>
      </w:r>
      <w:r w:rsidRPr="006D7D9F">
        <w:rPr>
          <w:lang w:val="en-US"/>
        </w:rPr>
        <w:t>shar</w:t>
      </w:r>
      <w:r w:rsidRPr="006D7D9F">
        <w:rPr>
          <w:rFonts w:ascii="Aptos" w:hAnsi="Aptos" w:cs="Aptos"/>
          <w:lang w:val="en-US"/>
        </w:rPr>
        <w:t>’</w:t>
      </w:r>
      <w:r w:rsidRPr="006D7D9F">
        <w:rPr>
          <w:lang w:val="en-US"/>
        </w:rPr>
        <w:t>s</w:t>
      </w:r>
      <w:proofErr w:type="spellEnd"/>
      <w:r w:rsidRPr="006D7D9F">
        <w:rPr>
          <w:lang w:val="en-US"/>
        </w:rPr>
        <w:t xml:space="preserve"> </w:t>
      </w:r>
      <w:proofErr w:type="spellStart"/>
      <w:r w:rsidRPr="006D7D9F">
        <w:rPr>
          <w:i/>
          <w:iCs/>
          <w:lang w:val="en-US"/>
        </w:rPr>
        <w:t>Introductorium</w:t>
      </w:r>
      <w:proofErr w:type="spellEnd"/>
      <w:r w:rsidRPr="006D7D9F">
        <w:rPr>
          <w:i/>
          <w:iCs/>
          <w:lang w:val="en-US"/>
        </w:rPr>
        <w:t xml:space="preserve"> </w:t>
      </w:r>
      <w:proofErr w:type="spellStart"/>
      <w:r w:rsidRPr="006D7D9F">
        <w:rPr>
          <w:i/>
          <w:iCs/>
          <w:lang w:val="en-US"/>
        </w:rPr>
        <w:t>Maius</w:t>
      </w:r>
      <w:proofErr w:type="spellEnd"/>
      <w:r w:rsidRPr="006D7D9F">
        <w:rPr>
          <w:lang w:val="en-US"/>
        </w:rPr>
        <w:t xml:space="preserve"> (ninth century), and Roger of Hereford’s </w:t>
      </w:r>
      <w:r w:rsidRPr="006D7D9F">
        <w:rPr>
          <w:i/>
          <w:iCs/>
          <w:lang w:val="en-US"/>
        </w:rPr>
        <w:t>Judicial Astrology</w:t>
      </w:r>
      <w:r w:rsidRPr="006D7D9F">
        <w:rPr>
          <w:lang w:val="en-US"/>
        </w:rPr>
        <w:t xml:space="preserve"> (c. 1178)</w:t>
      </w:r>
      <w:r w:rsidRPr="00827C07">
        <w:rPr>
          <w:lang w:val="en-US"/>
        </w:rPr>
        <w:t>.</w:t>
      </w:r>
      <w:r>
        <w:rPr>
          <w:rStyle w:val="FootnoteReference"/>
          <w:lang w:val="en-US"/>
        </w:rPr>
        <w:footnoteReference w:id="7"/>
      </w:r>
      <w:r>
        <w:rPr>
          <w:lang w:val="en-US"/>
        </w:rPr>
        <w:t xml:space="preserve"> </w:t>
      </w:r>
      <w:r w:rsidRPr="009451B1">
        <w:rPr>
          <w:lang w:val="en-US"/>
        </w:rPr>
        <w:t>His extensive use of Latin texts, combined with engagement with secondary scholarship, reflects an in-depth study of the topic.</w:t>
      </w:r>
      <w:r>
        <w:rPr>
          <w:lang w:val="en-US"/>
        </w:rPr>
        <w:t xml:space="preserve"> </w:t>
      </w:r>
    </w:p>
    <w:p w14:paraId="7C75D2D3" w14:textId="68734C35" w:rsidR="004F148D" w:rsidRPr="000E40D0" w:rsidRDefault="000A130E" w:rsidP="004F148D">
      <w:pPr>
        <w:rPr>
          <w:color w:val="000000" w:themeColor="text1"/>
          <w:lang w:val="en-US"/>
        </w:rPr>
      </w:pPr>
      <w:r w:rsidRPr="000A130E">
        <w:rPr>
          <w:lang w:val="en-US"/>
        </w:rPr>
        <w:t>Darrel Rutkin notes that, despite strong scholarship in the broader fields of science, philosophy, and cultural history, the study of astrology remains underexplored, both in uncovering and publishing new sources and in reinterpreting existing material</w:t>
      </w:r>
      <w:r w:rsidR="004F148D" w:rsidRPr="006D3329">
        <w:rPr>
          <w:lang w:val="en-US"/>
        </w:rPr>
        <w:t>.</w:t>
      </w:r>
      <w:r w:rsidR="004F148D">
        <w:rPr>
          <w:rStyle w:val="FootnoteReference"/>
        </w:rPr>
        <w:footnoteReference w:id="8"/>
      </w:r>
      <w:r w:rsidR="004F148D">
        <w:rPr>
          <w:lang w:val="en-US"/>
        </w:rPr>
        <w:t xml:space="preserve"> </w:t>
      </w:r>
      <w:r w:rsidR="00B54FCB" w:rsidRPr="00B54FCB">
        <w:rPr>
          <w:color w:val="000000" w:themeColor="text1"/>
          <w:lang w:val="en-US"/>
        </w:rPr>
        <w:t>In this sense, both articles address relevant topics. Aroney reinterprets existing scholarly material, while French uncovers further details about Roger of Hereford and medieval astrology, which he argues have not received sufficient attention from historians</w:t>
      </w:r>
      <w:r w:rsidR="004F148D">
        <w:rPr>
          <w:color w:val="000000" w:themeColor="text1"/>
          <w:lang w:val="en-US"/>
        </w:rPr>
        <w:t>.</w:t>
      </w:r>
      <w:r w:rsidR="004F148D">
        <w:rPr>
          <w:rStyle w:val="FootnoteReference"/>
          <w:color w:val="000000" w:themeColor="text1"/>
          <w:lang w:val="en-US"/>
        </w:rPr>
        <w:footnoteReference w:id="9"/>
      </w:r>
    </w:p>
    <w:p w14:paraId="22DB27C5" w14:textId="77777777" w:rsidR="00CD6722" w:rsidRPr="00725C3F" w:rsidRDefault="00CD6722">
      <w:pPr>
        <w:rPr>
          <w:lang w:val="en-US"/>
        </w:rPr>
      </w:pPr>
    </w:p>
    <w:p w14:paraId="25F4AAD6" w14:textId="77B7B49F" w:rsidR="006F6E15" w:rsidRPr="006F6E15" w:rsidRDefault="001B5DDC" w:rsidP="006F6E15">
      <w:pPr>
        <w:rPr>
          <w:b/>
          <w:bCs/>
          <w:lang w:val="en-US"/>
        </w:rPr>
      </w:pPr>
      <w:r w:rsidRPr="001B5DDC">
        <w:rPr>
          <w:b/>
          <w:bCs/>
          <w:lang w:val="en-US"/>
        </w:rPr>
        <w:t xml:space="preserve">Treatment of Astrology </w:t>
      </w:r>
    </w:p>
    <w:p w14:paraId="1534FB94" w14:textId="51011409" w:rsidR="00937D27" w:rsidRDefault="0087457B" w:rsidP="00196B3C">
      <w:pPr>
        <w:rPr>
          <w:lang w:val="en-US"/>
        </w:rPr>
      </w:pPr>
      <w:r w:rsidRPr="0087457B">
        <w:rPr>
          <w:lang w:val="en-US"/>
        </w:rPr>
        <w:t>Although astrology continues as a living practice and topic of public discourse today, scholarly interpretations of its historical role have often dismissed it as pre-scientific</w:t>
      </w:r>
      <w:r w:rsidR="00196B3C" w:rsidRPr="006B31C5">
        <w:rPr>
          <w:lang w:val="en-US"/>
        </w:rPr>
        <w:t>.</w:t>
      </w:r>
      <w:r w:rsidR="00196B3C">
        <w:rPr>
          <w:lang w:val="en-US"/>
        </w:rPr>
        <w:t xml:space="preserve"> </w:t>
      </w:r>
      <w:r w:rsidR="00196B3C" w:rsidRPr="00010FC7">
        <w:rPr>
          <w:lang w:val="en-US"/>
        </w:rPr>
        <w:t>Newman and Grafton state that “...20 and 50 percent of the population of the world’s developed countries, in western Europe, North American, and Asia, believe mildly or strongly in astrology, right now.”</w:t>
      </w:r>
      <w:r w:rsidR="00196B3C" w:rsidRPr="006B31C5">
        <w:rPr>
          <w:rStyle w:val="FootnoteReference"/>
          <w:lang w:val="en-US"/>
        </w:rPr>
        <w:footnoteReference w:id="10"/>
      </w:r>
      <w:r w:rsidR="00196B3C">
        <w:rPr>
          <w:lang w:val="en-US"/>
        </w:rPr>
        <w:t xml:space="preserve"> </w:t>
      </w:r>
      <w:r w:rsidR="00C50BCC">
        <w:rPr>
          <w:lang w:val="en-US"/>
        </w:rPr>
        <w:t>Y</w:t>
      </w:r>
      <w:r w:rsidR="00C50BCC" w:rsidRPr="00C50BCC">
        <w:rPr>
          <w:lang w:val="en-US"/>
        </w:rPr>
        <w:t xml:space="preserve">et despite this enduring presence, astrology is still frequently portrayed as a relic of outdated </w:t>
      </w:r>
      <w:r w:rsidR="00C50BCC" w:rsidRPr="00C50BCC">
        <w:rPr>
          <w:lang w:val="en-US"/>
        </w:rPr>
        <w:lastRenderedPageBreak/>
        <w:t>or irrational belief.</w:t>
      </w:r>
      <w:r w:rsidR="00CF31A2">
        <w:rPr>
          <w:rStyle w:val="FootnoteReference"/>
          <w:lang w:val="en-US"/>
        </w:rPr>
        <w:footnoteReference w:id="11"/>
      </w:r>
      <w:r w:rsidR="00937D27">
        <w:rPr>
          <w:lang w:val="en-US"/>
        </w:rPr>
        <w:t xml:space="preserve"> </w:t>
      </w:r>
      <w:r w:rsidR="00196B3C" w:rsidRPr="00196B3C">
        <w:rPr>
          <w:lang w:val="en-US"/>
        </w:rPr>
        <w:t>Aroney challenges this assumption by reasserting astrology’s intellectual sophistication and arguing that its marginalization cannot be explained merely by scientific progress</w:t>
      </w:r>
      <w:r w:rsidR="00A6251D">
        <w:rPr>
          <w:lang w:val="en-US"/>
        </w:rPr>
        <w:t>.</w:t>
      </w:r>
      <w:r w:rsidR="006E1238" w:rsidRPr="006E1238">
        <w:rPr>
          <w:lang w:val="en-US"/>
        </w:rPr>
        <w:t xml:space="preserve"> </w:t>
      </w:r>
      <w:r w:rsidR="00032AFC" w:rsidRPr="00032AFC">
        <w:rPr>
          <w:lang w:val="en-US"/>
        </w:rPr>
        <w:t>As Aroney observes, the reasons for astrology’s rejection have shifted over time; why it was dismissed in the past is not necessarily why it is questioned today, nor why it might be in the future</w:t>
      </w:r>
      <w:r w:rsidR="00E25CF1">
        <w:rPr>
          <w:lang w:val="en-US"/>
        </w:rPr>
        <w:t>.</w:t>
      </w:r>
      <w:r w:rsidR="00E25CF1">
        <w:rPr>
          <w:rStyle w:val="FootnoteReference"/>
          <w:lang w:val="en-US"/>
        </w:rPr>
        <w:footnoteReference w:id="12"/>
      </w:r>
    </w:p>
    <w:p w14:paraId="7CAF489C" w14:textId="1BF15FBF" w:rsidR="000F633E" w:rsidRPr="000E7CBA" w:rsidRDefault="006E1238" w:rsidP="00196B3C">
      <w:pPr>
        <w:rPr>
          <w:lang w:val="en-US"/>
        </w:rPr>
      </w:pPr>
      <w:r w:rsidRPr="006E1238">
        <w:rPr>
          <w:lang w:val="en-US"/>
        </w:rPr>
        <w:t>As historian Lynn Thorndike (1882–1965) observed in 1955, “During the long period of scientific development before Sir Isaac Newton promulgated the universal law of gravitation, there had been generally recognized and accepted another and different universal natural law, which his supplanted. And that universal natural law was astrological.”</w:t>
      </w:r>
      <w:r w:rsidR="00196B3C" w:rsidRPr="00196B3C">
        <w:rPr>
          <w:rStyle w:val="FootnoteReference"/>
          <w:lang w:val="en-US"/>
        </w:rPr>
        <w:t xml:space="preserve"> </w:t>
      </w:r>
      <w:r w:rsidR="00196B3C">
        <w:rPr>
          <w:rStyle w:val="FootnoteReference"/>
        </w:rPr>
        <w:footnoteReference w:id="13"/>
      </w:r>
      <w:r w:rsidR="00196B3C" w:rsidRPr="006E1238">
        <w:rPr>
          <w:lang w:val="en-US"/>
        </w:rPr>
        <w:t xml:space="preserve"> </w:t>
      </w:r>
      <w:r w:rsidR="000E7CBA" w:rsidRPr="000E7CBA">
        <w:rPr>
          <w:lang w:val="en-US"/>
        </w:rPr>
        <w:t>This marks a broader shift in rationalism, from viewing astrology as a natural philosophy to defining it as irrational or unscientific.</w:t>
      </w:r>
      <w:r w:rsidR="00937D27">
        <w:rPr>
          <w:lang w:val="en-US"/>
        </w:rPr>
        <w:t xml:space="preserve"> </w:t>
      </w:r>
    </w:p>
    <w:p w14:paraId="722EB61A" w14:textId="7AE7EE78" w:rsidR="006F2399" w:rsidRPr="006F2399" w:rsidRDefault="00FD3CE5">
      <w:pPr>
        <w:rPr>
          <w:lang w:val="en-US"/>
        </w:rPr>
      </w:pPr>
      <w:r w:rsidRPr="00FD3CE5">
        <w:rPr>
          <w:lang w:val="en-US"/>
        </w:rPr>
        <w:t>French’s study illustrates this earlier phase, when astrology still operated within the framework of rational inquiry.</w:t>
      </w:r>
      <w:r>
        <w:rPr>
          <w:lang w:val="en-US"/>
        </w:rPr>
        <w:t xml:space="preserve"> He</w:t>
      </w:r>
      <w:r w:rsidR="006F2399" w:rsidRPr="006F2399">
        <w:rPr>
          <w:lang w:val="en-US"/>
        </w:rPr>
        <w:t xml:space="preserve"> examines astrology as a predictive, prognostic, and medical art</w:t>
      </w:r>
      <w:r>
        <w:rPr>
          <w:lang w:val="en-US"/>
        </w:rPr>
        <w:t>,</w:t>
      </w:r>
      <w:r w:rsidR="006F2399" w:rsidRPr="006F2399">
        <w:rPr>
          <w:lang w:val="en-US"/>
        </w:rPr>
        <w:t xml:space="preserve"> deeply interwoven with natural philosophy. In twelfth-century England, astrology held full intellectual respectability, closely tied to medicine through Arabic transmission. </w:t>
      </w:r>
      <w:r>
        <w:rPr>
          <w:lang w:val="en-US"/>
        </w:rPr>
        <w:t xml:space="preserve">French’ </w:t>
      </w:r>
      <w:r w:rsidR="006F2399" w:rsidRPr="006F2399">
        <w:rPr>
          <w:lang w:val="en-US"/>
        </w:rPr>
        <w:t xml:space="preserve">approach reconstructs how astrology functioned as a rational discipline within early medical theory. </w:t>
      </w:r>
      <w:r w:rsidR="006F2399" w:rsidRPr="00FD50E7">
        <w:rPr>
          <w:lang w:val="en-US"/>
        </w:rPr>
        <w:t xml:space="preserve">This view resonates with the work of Charles Burnett, who has shown how Arabic </w:t>
      </w:r>
      <w:r w:rsidR="00FD50E7" w:rsidRPr="00FD50E7">
        <w:rPr>
          <w:lang w:val="en-US"/>
        </w:rPr>
        <w:t>medical and astrological</w:t>
      </w:r>
      <w:r w:rsidR="006F2399" w:rsidRPr="00FD50E7">
        <w:rPr>
          <w:lang w:val="en-US"/>
        </w:rPr>
        <w:t xml:space="preserve"> </w:t>
      </w:r>
      <w:r w:rsidR="00FD50E7" w:rsidRPr="00FD50E7">
        <w:rPr>
          <w:lang w:val="en-US"/>
        </w:rPr>
        <w:t xml:space="preserve">theories were </w:t>
      </w:r>
      <w:r w:rsidR="006F2399" w:rsidRPr="00FD50E7">
        <w:rPr>
          <w:lang w:val="en-US"/>
        </w:rPr>
        <w:t>translated and integrated</w:t>
      </w:r>
      <w:r w:rsidR="006E1938">
        <w:rPr>
          <w:lang w:val="en-US"/>
        </w:rPr>
        <w:t xml:space="preserve"> into the Latin speaking world.</w:t>
      </w:r>
    </w:p>
    <w:p w14:paraId="605A3D27" w14:textId="77777777" w:rsidR="006F2399" w:rsidRDefault="006F2399">
      <w:pPr>
        <w:rPr>
          <w:lang w:val="en-US"/>
        </w:rPr>
      </w:pPr>
    </w:p>
    <w:p w14:paraId="119D059F" w14:textId="050D0A8C" w:rsidR="00A67B83" w:rsidRPr="0050749B" w:rsidRDefault="008E4627">
      <w:pPr>
        <w:rPr>
          <w:b/>
          <w:bCs/>
          <w:lang w:val="en-US"/>
        </w:rPr>
      </w:pPr>
      <w:r w:rsidRPr="008E4627">
        <w:rPr>
          <w:b/>
          <w:bCs/>
          <w:lang w:val="en-US"/>
        </w:rPr>
        <w:t>Ar</w:t>
      </w:r>
      <w:r>
        <w:rPr>
          <w:b/>
          <w:bCs/>
          <w:lang w:val="en-US"/>
        </w:rPr>
        <w:t xml:space="preserve">guments and evidence </w:t>
      </w:r>
    </w:p>
    <w:p w14:paraId="3C60BE21" w14:textId="54C008B1" w:rsidR="00922638" w:rsidRDefault="00FD4887" w:rsidP="00922638">
      <w:pPr>
        <w:rPr>
          <w:lang w:val="en-US"/>
        </w:rPr>
      </w:pPr>
      <w:r w:rsidRPr="00FD4887">
        <w:rPr>
          <w:lang w:val="en-US"/>
        </w:rPr>
        <w:t xml:space="preserve">Aroney’s first case study, Carlos de </w:t>
      </w:r>
      <w:proofErr w:type="spellStart"/>
      <w:r w:rsidRPr="00FD4887">
        <w:rPr>
          <w:lang w:val="en-US"/>
        </w:rPr>
        <w:t>Sigüenza</w:t>
      </w:r>
      <w:proofErr w:type="spellEnd"/>
      <w:r w:rsidRPr="00FD4887">
        <w:rPr>
          <w:lang w:val="en-US"/>
        </w:rPr>
        <w:t xml:space="preserve"> y </w:t>
      </w:r>
      <w:proofErr w:type="spellStart"/>
      <w:r w:rsidRPr="00FD4887">
        <w:rPr>
          <w:lang w:val="en-US"/>
        </w:rPr>
        <w:t>Góngora</w:t>
      </w:r>
      <w:proofErr w:type="spellEnd"/>
      <w:r w:rsidRPr="00FD4887">
        <w:rPr>
          <w:lang w:val="en-US"/>
        </w:rPr>
        <w:t xml:space="preserve"> (1645–1700), illustrates that astrology’s decline was not simply due to its alleged irrationality but to dissatisfaction with its predictive reliability.</w:t>
      </w:r>
      <w:r w:rsidR="00522DDA">
        <w:rPr>
          <w:rStyle w:val="FootnoteReference"/>
          <w:lang w:val="en-US"/>
        </w:rPr>
        <w:footnoteReference w:id="14"/>
      </w:r>
      <w:r w:rsidR="000542F8">
        <w:rPr>
          <w:lang w:val="en-US"/>
        </w:rPr>
        <w:t xml:space="preserve"> </w:t>
      </w:r>
      <w:r w:rsidR="00FF4185" w:rsidRPr="00FF4185">
        <w:rPr>
          <w:lang w:val="en-US"/>
        </w:rPr>
        <w:t xml:space="preserve">She situates this within a broader tradition of critique, citing Giovanni Pico </w:t>
      </w:r>
      <w:proofErr w:type="spellStart"/>
      <w:r w:rsidR="00FF4185" w:rsidRPr="00FF4185">
        <w:rPr>
          <w:lang w:val="en-US"/>
        </w:rPr>
        <w:t>della</w:t>
      </w:r>
      <w:proofErr w:type="spellEnd"/>
      <w:r w:rsidR="00FF4185" w:rsidRPr="00FF4185">
        <w:rPr>
          <w:lang w:val="en-US"/>
        </w:rPr>
        <w:t xml:space="preserve"> Mirandola’s </w:t>
      </w:r>
      <w:r w:rsidR="00FF4185" w:rsidRPr="00FF4185">
        <w:rPr>
          <w:i/>
          <w:iCs/>
          <w:lang w:val="en-US"/>
        </w:rPr>
        <w:t xml:space="preserve">Disputationes </w:t>
      </w:r>
      <w:proofErr w:type="spellStart"/>
      <w:r w:rsidR="00FF4185" w:rsidRPr="00FF4185">
        <w:rPr>
          <w:i/>
          <w:iCs/>
          <w:lang w:val="en-US"/>
        </w:rPr>
        <w:t>adversus</w:t>
      </w:r>
      <w:proofErr w:type="spellEnd"/>
      <w:r w:rsidR="00FF4185" w:rsidRPr="00FF4185">
        <w:rPr>
          <w:i/>
          <w:iCs/>
          <w:lang w:val="en-US"/>
        </w:rPr>
        <w:t xml:space="preserve"> </w:t>
      </w:r>
      <w:proofErr w:type="spellStart"/>
      <w:r w:rsidR="00FF4185" w:rsidRPr="00FF4185">
        <w:rPr>
          <w:i/>
          <w:iCs/>
          <w:lang w:val="en-US"/>
        </w:rPr>
        <w:t>astrologiam</w:t>
      </w:r>
      <w:proofErr w:type="spellEnd"/>
      <w:r w:rsidR="00FF4185" w:rsidRPr="00FF4185">
        <w:rPr>
          <w:i/>
          <w:iCs/>
          <w:lang w:val="en-US"/>
        </w:rPr>
        <w:t xml:space="preserve"> </w:t>
      </w:r>
      <w:proofErr w:type="spellStart"/>
      <w:r w:rsidR="00FF4185" w:rsidRPr="00FF4185">
        <w:rPr>
          <w:i/>
          <w:iCs/>
          <w:lang w:val="en-US"/>
        </w:rPr>
        <w:t>divinatricem</w:t>
      </w:r>
      <w:proofErr w:type="spellEnd"/>
      <w:r w:rsidR="00FF4185" w:rsidRPr="00FF4185">
        <w:rPr>
          <w:lang w:val="en-US"/>
        </w:rPr>
        <w:t xml:space="preserve"> (1496), one of the most influential attacks on astrology of the period.</w:t>
      </w:r>
      <w:r w:rsidR="002878ED">
        <w:rPr>
          <w:rStyle w:val="FootnoteReference"/>
          <w:lang w:val="en-US"/>
        </w:rPr>
        <w:footnoteReference w:id="15"/>
      </w:r>
      <w:r w:rsidR="0077117F">
        <w:rPr>
          <w:lang w:val="en-US"/>
        </w:rPr>
        <w:t xml:space="preserve"> </w:t>
      </w:r>
      <w:r w:rsidR="00062E42" w:rsidRPr="00062E42">
        <w:rPr>
          <w:lang w:val="en-US"/>
        </w:rPr>
        <w:t>In the religious domain, astrology’s claim to predict future events was seen as problematic because it interfered with divine law and the exclusive right of God to foreknow and ordain outcomes</w:t>
      </w:r>
      <w:r w:rsidR="00DF5193">
        <w:rPr>
          <w:lang w:val="en-US"/>
        </w:rPr>
        <w:t>.</w:t>
      </w:r>
      <w:r w:rsidR="00DF5193">
        <w:rPr>
          <w:rStyle w:val="FootnoteReference"/>
          <w:lang w:val="en-US"/>
        </w:rPr>
        <w:footnoteReference w:id="16"/>
      </w:r>
      <w:r w:rsidR="0024260A">
        <w:rPr>
          <w:lang w:val="en-US"/>
        </w:rPr>
        <w:t xml:space="preserve"> </w:t>
      </w:r>
      <w:r w:rsidR="00675D86" w:rsidRPr="00675D86">
        <w:rPr>
          <w:lang w:val="en-US"/>
        </w:rPr>
        <w:t>Beyond debates over prediction, Aroney argues that “intellectual developments impacted how academics in a range of fields engaged with astrology,” while noting that universities and learned societies were also shaped by political and religious pressures.</w:t>
      </w:r>
      <w:r w:rsidR="00890E9C">
        <w:rPr>
          <w:rStyle w:val="FootnoteReference"/>
          <w:lang w:val="en-US"/>
        </w:rPr>
        <w:footnoteReference w:id="17"/>
      </w:r>
      <w:r w:rsidR="00890E9C">
        <w:rPr>
          <w:lang w:val="en-US"/>
        </w:rPr>
        <w:t xml:space="preserve"> In this context, she </w:t>
      </w:r>
      <w:r w:rsidR="003C683B">
        <w:rPr>
          <w:lang w:val="en-US"/>
        </w:rPr>
        <w:t xml:space="preserve">discusses the field of medicine and astronomy. </w:t>
      </w:r>
      <w:r w:rsidR="00EF73BE" w:rsidRPr="00EF73BE">
        <w:rPr>
          <w:lang w:val="en-US"/>
        </w:rPr>
        <w:t>For instance, she observes that the Royal Society largely ignored astrology, as its members held divergent opinions and sought to avoid internal conflict over contentious subjects</w:t>
      </w:r>
      <w:r w:rsidR="00A16467">
        <w:rPr>
          <w:lang w:val="en-US"/>
        </w:rPr>
        <w:t>.</w:t>
      </w:r>
      <w:r w:rsidR="00A16467">
        <w:rPr>
          <w:rStyle w:val="FootnoteReference"/>
          <w:lang w:val="en-US"/>
        </w:rPr>
        <w:footnoteReference w:id="18"/>
      </w:r>
      <w:r w:rsidR="0024228B">
        <w:rPr>
          <w:lang w:val="en-US"/>
        </w:rPr>
        <w:t xml:space="preserve"> </w:t>
      </w:r>
      <w:r w:rsidR="00F6687C">
        <w:rPr>
          <w:lang w:val="en-US"/>
        </w:rPr>
        <w:t xml:space="preserve">She mentions </w:t>
      </w:r>
      <w:r w:rsidR="00383A9C">
        <w:rPr>
          <w:lang w:val="en-US"/>
        </w:rPr>
        <w:t>other examples</w:t>
      </w:r>
      <w:r w:rsidR="00F6687C">
        <w:rPr>
          <w:lang w:val="en-US"/>
        </w:rPr>
        <w:t xml:space="preserve"> in the field of medicine, astronomy, and math</w:t>
      </w:r>
      <w:r w:rsidR="009815D4">
        <w:rPr>
          <w:lang w:val="en-US"/>
        </w:rPr>
        <w:t xml:space="preserve">, in which astrology suffered due to new theories or changing intellectual paradigms. </w:t>
      </w:r>
    </w:p>
    <w:p w14:paraId="5E034C59" w14:textId="49A5611C" w:rsidR="00A6251D" w:rsidRDefault="00574E08" w:rsidP="00922638">
      <w:pPr>
        <w:rPr>
          <w:lang w:val="en-US"/>
        </w:rPr>
      </w:pPr>
      <w:r w:rsidRPr="00574E08">
        <w:rPr>
          <w:lang w:val="en-US"/>
        </w:rPr>
        <w:t xml:space="preserve">In conclusion, Aroney advocates a (re)turn to the intellectual history of astrology’s marginalization, </w:t>
      </w:r>
      <w:r>
        <w:rPr>
          <w:lang w:val="en-US"/>
        </w:rPr>
        <w:t>and argues</w:t>
      </w:r>
      <w:r w:rsidRPr="00574E08">
        <w:rPr>
          <w:lang w:val="en-US"/>
        </w:rPr>
        <w:t xml:space="preserve"> that such an approach can generate new contributions to the </w:t>
      </w:r>
      <w:r w:rsidRPr="00574E08">
        <w:rPr>
          <w:lang w:val="en-US"/>
        </w:rPr>
        <w:lastRenderedPageBreak/>
        <w:t>field</w:t>
      </w:r>
      <w:r w:rsidR="008B2132">
        <w:rPr>
          <w:lang w:val="en-US"/>
        </w:rPr>
        <w:t>.</w:t>
      </w:r>
      <w:r w:rsidR="00EF73BE">
        <w:rPr>
          <w:rStyle w:val="FootnoteReference"/>
          <w:lang w:val="en-US"/>
        </w:rPr>
        <w:footnoteReference w:id="19"/>
      </w:r>
      <w:r w:rsidR="008B2132">
        <w:rPr>
          <w:lang w:val="en-US"/>
        </w:rPr>
        <w:t xml:space="preserve"> </w:t>
      </w:r>
      <w:r w:rsidR="005A0C60" w:rsidRPr="005A0C60">
        <w:rPr>
          <w:lang w:val="en-US"/>
        </w:rPr>
        <w:t>However, she emphasizes that intellectual history alone cannot account for astrology’s decline. There is no “one-dimensional explanation,” since astrology held multiple functions in the early modern period. Its marginalization, therefore, resulted from a complex interplay of intellectual, religious, and social factors</w:t>
      </w:r>
      <w:r w:rsidR="005A0C60">
        <w:rPr>
          <w:lang w:val="en-US"/>
        </w:rPr>
        <w:t xml:space="preserve">. This includes </w:t>
      </w:r>
      <w:r w:rsidR="005A0C60" w:rsidRPr="005A0C60">
        <w:rPr>
          <w:lang w:val="en-US"/>
        </w:rPr>
        <w:t>the “status loss” interpretation, in which astrology’s institutional support eroded, and the “censorship” interpretation, which posits that elites actively undermined its legitimacy</w:t>
      </w:r>
      <w:r w:rsidR="00DF516A">
        <w:rPr>
          <w:lang w:val="en-US"/>
        </w:rPr>
        <w:t>.</w:t>
      </w:r>
      <w:r w:rsidR="00DF516A">
        <w:rPr>
          <w:rStyle w:val="FootnoteReference"/>
          <w:lang w:val="en-US"/>
        </w:rPr>
        <w:footnoteReference w:id="20"/>
      </w:r>
      <w:r w:rsidR="00DF516A">
        <w:rPr>
          <w:lang w:val="en-US"/>
        </w:rPr>
        <w:t xml:space="preserve"> </w:t>
      </w:r>
    </w:p>
    <w:p w14:paraId="72DB9CBE" w14:textId="37927327" w:rsidR="003129FB" w:rsidRPr="003129FB" w:rsidRDefault="00511D56">
      <w:pPr>
        <w:rPr>
          <w:lang w:val="en-US"/>
        </w:rPr>
      </w:pPr>
      <w:r>
        <w:rPr>
          <w:lang w:val="en-US"/>
        </w:rPr>
        <w:t>In the second article</w:t>
      </w:r>
      <w:r w:rsidR="0066621D">
        <w:rPr>
          <w:lang w:val="en-US"/>
        </w:rPr>
        <w:t>, French posits e</w:t>
      </w:r>
      <w:r w:rsidR="0066621D" w:rsidRPr="009B5931">
        <w:rPr>
          <w:lang w:val="en-US"/>
        </w:rPr>
        <w:t>vidence</w:t>
      </w:r>
      <w:r w:rsidR="0066621D">
        <w:rPr>
          <w:lang w:val="en-US"/>
        </w:rPr>
        <w:t xml:space="preserve"> that</w:t>
      </w:r>
      <w:r w:rsidR="0066621D" w:rsidRPr="009B5931">
        <w:rPr>
          <w:lang w:val="en-US"/>
        </w:rPr>
        <w:t xml:space="preserve"> is rich and primary</w:t>
      </w:r>
      <w:r w:rsidR="0066621D">
        <w:rPr>
          <w:lang w:val="en-US"/>
        </w:rPr>
        <w:t>.</w:t>
      </w:r>
      <w:r w:rsidR="00DB0531">
        <w:rPr>
          <w:lang w:val="en-US"/>
        </w:rPr>
        <w:t xml:space="preserve"> It is </w:t>
      </w:r>
      <w:r w:rsidR="00DB0531" w:rsidRPr="00DB0531">
        <w:rPr>
          <w:lang w:val="en-US"/>
        </w:rPr>
        <w:t>rich in historical detail but less interpretive or conceptua</w:t>
      </w:r>
      <w:r w:rsidR="00DB0531">
        <w:rPr>
          <w:lang w:val="en-US"/>
        </w:rPr>
        <w:t>l</w:t>
      </w:r>
      <w:r w:rsidR="0066621D">
        <w:rPr>
          <w:lang w:val="en-US"/>
        </w:rPr>
        <w:t xml:space="preserve">, a </w:t>
      </w:r>
      <w:r w:rsidR="0066621D" w:rsidRPr="009B5931">
        <w:rPr>
          <w:lang w:val="en-US"/>
        </w:rPr>
        <w:t>less theoretical framing than Aroney’s.</w:t>
      </w:r>
      <w:r w:rsidR="00A6251D" w:rsidRPr="00A6251D">
        <w:rPr>
          <w:lang w:val="en-US"/>
        </w:rPr>
        <w:t xml:space="preserve"> </w:t>
      </w:r>
      <w:r w:rsidR="0019794A">
        <w:rPr>
          <w:lang w:val="en-US"/>
        </w:rPr>
        <w:t>F</w:t>
      </w:r>
      <w:r w:rsidR="0019794A" w:rsidRPr="0019794A">
        <w:rPr>
          <w:lang w:val="en-US"/>
        </w:rPr>
        <w:t>rench’s central argument is that astrology was integrated into twelfth-century English medicine and natural philosophy through Arabic transmission. He reconstructs this process through the figure of Roger of Hereford</w:t>
      </w:r>
      <w:r w:rsidR="001400E1">
        <w:rPr>
          <w:lang w:val="en-US"/>
        </w:rPr>
        <w:t>.</w:t>
      </w:r>
      <w:r w:rsidR="0019794A" w:rsidRPr="0019794A">
        <w:rPr>
          <w:lang w:val="en-US"/>
        </w:rPr>
        <w:t xml:space="preserve"> </w:t>
      </w:r>
      <w:r w:rsidR="00141344" w:rsidRPr="00141344">
        <w:rPr>
          <w:lang w:val="en-US"/>
        </w:rPr>
        <w:t>The problem, as French notes, is that Roger rarely names his sources directly</w:t>
      </w:r>
      <w:r w:rsidR="00AD0857">
        <w:rPr>
          <w:lang w:val="en-US"/>
        </w:rPr>
        <w:t>.</w:t>
      </w:r>
      <w:r w:rsidR="00AD0857">
        <w:rPr>
          <w:rStyle w:val="FootnoteReference"/>
          <w:lang w:val="en-US"/>
        </w:rPr>
        <w:footnoteReference w:id="21"/>
      </w:r>
      <w:r w:rsidR="006A6442">
        <w:rPr>
          <w:lang w:val="en-US"/>
        </w:rPr>
        <w:t xml:space="preserve"> </w:t>
      </w:r>
      <w:r w:rsidR="003129FB" w:rsidRPr="003129FB">
        <w:rPr>
          <w:lang w:val="en-US"/>
        </w:rPr>
        <w:t xml:space="preserve">Instead, French reconstructs Roger’s intellectual network through comparison with contemporaries such as Daniel of Morley, Alfred of </w:t>
      </w:r>
      <w:proofErr w:type="spellStart"/>
      <w:r w:rsidR="003129FB" w:rsidRPr="003129FB">
        <w:rPr>
          <w:lang w:val="en-US"/>
        </w:rPr>
        <w:t>Shareshill</w:t>
      </w:r>
      <w:proofErr w:type="spellEnd"/>
      <w:r w:rsidR="003129FB" w:rsidRPr="003129FB">
        <w:rPr>
          <w:lang w:val="en-US"/>
        </w:rPr>
        <w:t>, and William of England, who were similarly engaged in translating and adapting Arabic</w:t>
      </w:r>
      <w:r w:rsidR="003129FB">
        <w:rPr>
          <w:lang w:val="en-US"/>
        </w:rPr>
        <w:t xml:space="preserve"> material. </w:t>
      </w:r>
      <w:r w:rsidR="003129FB" w:rsidRPr="003129FB">
        <w:rPr>
          <w:lang w:val="en-US"/>
        </w:rPr>
        <w:t xml:space="preserve">Through these indirect links, he argues that Roger’s work </w:t>
      </w:r>
      <w:r w:rsidR="001400E1" w:rsidRPr="0019794A">
        <w:rPr>
          <w:i/>
          <w:iCs/>
          <w:lang w:val="en-US"/>
        </w:rPr>
        <w:t>Judicial Astrology</w:t>
      </w:r>
      <w:r w:rsidR="001400E1" w:rsidRPr="0019794A">
        <w:rPr>
          <w:lang w:val="en-US"/>
        </w:rPr>
        <w:t xml:space="preserve"> (c. 1178) reflects the assimilation of Arabic astrological ideas </w:t>
      </w:r>
      <w:r w:rsidR="001400E1">
        <w:rPr>
          <w:lang w:val="en-US"/>
        </w:rPr>
        <w:t>– p</w:t>
      </w:r>
      <w:r w:rsidR="001400E1" w:rsidRPr="0019794A">
        <w:rPr>
          <w:lang w:val="en-US"/>
        </w:rPr>
        <w:t xml:space="preserve">articularly those of </w:t>
      </w:r>
      <w:proofErr w:type="spellStart"/>
      <w:r w:rsidR="001400E1" w:rsidRPr="0019794A">
        <w:rPr>
          <w:lang w:val="en-US"/>
        </w:rPr>
        <w:t>Abū</w:t>
      </w:r>
      <w:proofErr w:type="spellEnd"/>
      <w:r w:rsidR="001400E1" w:rsidRPr="0019794A">
        <w:rPr>
          <w:lang w:val="en-US"/>
        </w:rPr>
        <w:t xml:space="preserve"> </w:t>
      </w:r>
      <w:proofErr w:type="spellStart"/>
      <w:r w:rsidR="001400E1" w:rsidRPr="0019794A">
        <w:rPr>
          <w:lang w:val="en-US"/>
        </w:rPr>
        <w:t>Ma</w:t>
      </w:r>
      <w:r w:rsidR="001400E1" w:rsidRPr="0019794A">
        <w:rPr>
          <w:rFonts w:ascii="Arial" w:hAnsi="Arial" w:cs="Arial"/>
          <w:lang w:val="en-US"/>
        </w:rPr>
        <w:t>ʿ</w:t>
      </w:r>
      <w:r w:rsidR="001400E1" w:rsidRPr="0019794A">
        <w:rPr>
          <w:lang w:val="en-US"/>
        </w:rPr>
        <w:t>shar</w:t>
      </w:r>
      <w:proofErr w:type="spellEnd"/>
      <w:r w:rsidR="001400E1" w:rsidRPr="0019794A">
        <w:rPr>
          <w:lang w:val="en-US"/>
        </w:rPr>
        <w:t xml:space="preserve">. </w:t>
      </w:r>
    </w:p>
    <w:p w14:paraId="30E71D83" w14:textId="01A6B0DC" w:rsidR="00577F4B" w:rsidRPr="0019794A" w:rsidRDefault="0019794A">
      <w:pPr>
        <w:rPr>
          <w:lang w:val="en-US"/>
        </w:rPr>
      </w:pPr>
      <w:r>
        <w:rPr>
          <w:lang w:val="en-US"/>
        </w:rPr>
        <w:t>He draws</w:t>
      </w:r>
      <w:r w:rsidRPr="0019794A">
        <w:rPr>
          <w:lang w:val="en-US"/>
        </w:rPr>
        <w:t xml:space="preserve"> on manuscript evidence, textual comparison, and philological analysis</w:t>
      </w:r>
      <w:r>
        <w:rPr>
          <w:lang w:val="en-US"/>
        </w:rPr>
        <w:t xml:space="preserve">. </w:t>
      </w:r>
      <w:r w:rsidRPr="0019794A">
        <w:rPr>
          <w:lang w:val="en-US"/>
        </w:rPr>
        <w:t>French traces how astrological concepts of celestial influence and prognosis entered medical theory. He shows that astrology functioned as a rational and empirical discipline within its historical framework, rather than as a superstition, and that its techniques were embedded in the broader scholastic pursuit of natural causes.</w:t>
      </w:r>
    </w:p>
    <w:p w14:paraId="606B752C" w14:textId="77777777" w:rsidR="00937ECD" w:rsidRDefault="00937ECD">
      <w:pPr>
        <w:rPr>
          <w:lang w:val="en-US"/>
        </w:rPr>
      </w:pPr>
    </w:p>
    <w:p w14:paraId="1AC5C078" w14:textId="082E417D" w:rsidR="006D4DC9" w:rsidRDefault="006D4DC9">
      <w:pPr>
        <w:rPr>
          <w:b/>
          <w:bCs/>
          <w:lang w:val="en-US"/>
        </w:rPr>
      </w:pPr>
      <w:r w:rsidRPr="006D4DC9">
        <w:rPr>
          <w:b/>
          <w:bCs/>
          <w:lang w:val="en-US"/>
        </w:rPr>
        <w:t>Conclusion</w:t>
      </w:r>
    </w:p>
    <w:p w14:paraId="4FF7FC59" w14:textId="50E9D1A2" w:rsidR="00C94F9A" w:rsidRPr="00C94F9A" w:rsidRDefault="00C94F9A" w:rsidP="00C94F9A">
      <w:pPr>
        <w:rPr>
          <w:lang w:val="en-US"/>
        </w:rPr>
      </w:pPr>
      <w:r w:rsidRPr="00C94F9A">
        <w:rPr>
          <w:lang w:val="en-US"/>
        </w:rPr>
        <w:t>French depicts astrology’s integration with medicine and natural philosophy in the twelfth century, while Aroney analyzes its marginalization by the eighteenth. Both situate astrology within broader intellectual frameworks, yet their methods and aims diverge. Aroney’s strength lies in her synthesis of the past fifteen years of scholarship and her nuanced reframing of astrology’s decline. Her weakness is that the discussion remains somewhat abstract, relying on secondary literature rather than new case studies or primary research. French, by contrast, offers a rare and detailed reconstruction of early English–Arabic transmission and shows how astrology functioned within medieval medicine. His analysis, while meticulous, can be overly technical for non-specialists and lacks broader theoretical reflection on astrology’s later fate. Together, they reveal how astrology evolved from an integral component of medieval science to a marginalized discourse by the early modern period.</w:t>
      </w:r>
    </w:p>
    <w:p w14:paraId="0DDEE143" w14:textId="3E689B05" w:rsidR="006D4DC9" w:rsidRDefault="00330671">
      <w:pPr>
        <w:rPr>
          <w:b/>
          <w:bCs/>
          <w:lang w:val="en-US"/>
        </w:rPr>
      </w:pPr>
      <w:r w:rsidRPr="00330671">
        <w:rPr>
          <w:lang w:val="en-US"/>
        </w:rPr>
        <w:t>For further research</w:t>
      </w:r>
      <w:r w:rsidR="00E46CD4">
        <w:rPr>
          <w:lang w:val="en-US"/>
        </w:rPr>
        <w:t>,</w:t>
      </w:r>
      <w:r w:rsidRPr="00330671">
        <w:rPr>
          <w:lang w:val="en-US"/>
        </w:rPr>
        <w:t xml:space="preserve"> </w:t>
      </w:r>
      <w:r w:rsidR="00EB53FF" w:rsidRPr="00330671">
        <w:rPr>
          <w:lang w:val="en-US"/>
        </w:rPr>
        <w:t>Aroney</w:t>
      </w:r>
      <w:r w:rsidR="00EB53FF">
        <w:rPr>
          <w:lang w:val="en-US"/>
        </w:rPr>
        <w:t xml:space="preserve"> remarks</w:t>
      </w:r>
      <w:r w:rsidR="00E46CD4">
        <w:rPr>
          <w:lang w:val="en-US"/>
        </w:rPr>
        <w:t xml:space="preserve"> that</w:t>
      </w:r>
      <w:r w:rsidR="00EB53FF">
        <w:rPr>
          <w:lang w:val="en-US"/>
        </w:rPr>
        <w:t xml:space="preserve"> “what we still lack extended analysis of is the extent to which the undermining of Hippocratic-Galenic medicine by </w:t>
      </w:r>
      <w:proofErr w:type="spellStart"/>
      <w:r w:rsidR="00EB53FF">
        <w:rPr>
          <w:lang w:val="en-US"/>
        </w:rPr>
        <w:t>Paracelsianism</w:t>
      </w:r>
      <w:proofErr w:type="spellEnd"/>
      <w:r w:rsidR="00EB53FF">
        <w:rPr>
          <w:lang w:val="en-US"/>
        </w:rPr>
        <w:t xml:space="preserve"> and </w:t>
      </w:r>
      <w:proofErr w:type="spellStart"/>
      <w:r w:rsidR="00EB53FF">
        <w:rPr>
          <w:lang w:val="en-US"/>
        </w:rPr>
        <w:t>Helmontianism</w:t>
      </w:r>
      <w:proofErr w:type="spellEnd"/>
      <w:r w:rsidR="00EB53FF">
        <w:rPr>
          <w:lang w:val="en-US"/>
        </w:rPr>
        <w:t xml:space="preserve"> contributed to astrology’s marginalization, even if both assumed some terrestrial-celestial connection</w:t>
      </w:r>
      <w:r w:rsidR="00AE0F02">
        <w:rPr>
          <w:lang w:val="en-US"/>
        </w:rPr>
        <w:t>,</w:t>
      </w:r>
      <w:r w:rsidR="00EB53FF">
        <w:rPr>
          <w:lang w:val="en-US"/>
        </w:rPr>
        <w:t>”</w:t>
      </w:r>
      <w:r w:rsidR="00EB53FF">
        <w:rPr>
          <w:rStyle w:val="FootnoteReference"/>
          <w:lang w:val="en-US"/>
        </w:rPr>
        <w:footnoteReference w:id="22"/>
      </w:r>
      <w:r w:rsidR="00EB53FF">
        <w:rPr>
          <w:lang w:val="en-US"/>
        </w:rPr>
        <w:t xml:space="preserve"> </w:t>
      </w:r>
      <w:r w:rsidR="00AE0F02">
        <w:rPr>
          <w:lang w:val="en-US"/>
        </w:rPr>
        <w:t>as well as</w:t>
      </w:r>
      <w:r w:rsidR="00EB53FF">
        <w:rPr>
          <w:lang w:val="en-US"/>
        </w:rPr>
        <w:t xml:space="preserve"> “</w:t>
      </w:r>
      <w:r w:rsidR="00AE0F02">
        <w:rPr>
          <w:lang w:val="en-US"/>
        </w:rPr>
        <w:t xml:space="preserve">the </w:t>
      </w:r>
      <w:r w:rsidR="00EB53FF">
        <w:rPr>
          <w:lang w:val="en-US"/>
        </w:rPr>
        <w:t>shifting reputation of astrology in colonial contexts.”</w:t>
      </w:r>
      <w:r w:rsidR="00EB53FF">
        <w:rPr>
          <w:rStyle w:val="FootnoteReference"/>
          <w:lang w:val="en-US"/>
        </w:rPr>
        <w:footnoteReference w:id="23"/>
      </w:r>
    </w:p>
    <w:p w14:paraId="22E5E699" w14:textId="10D8AA61" w:rsidR="006D4DC9" w:rsidRDefault="006D4DC9">
      <w:pPr>
        <w:rPr>
          <w:b/>
          <w:bCs/>
          <w:lang w:val="en-US"/>
        </w:rPr>
      </w:pPr>
      <w:r>
        <w:rPr>
          <w:b/>
          <w:bCs/>
          <w:lang w:val="en-US"/>
        </w:rPr>
        <w:lastRenderedPageBreak/>
        <w:t>Bibliography</w:t>
      </w:r>
      <w:r w:rsidR="00FD1859">
        <w:rPr>
          <w:b/>
          <w:bCs/>
          <w:lang w:val="en-US"/>
        </w:rPr>
        <w:t xml:space="preserve"> </w:t>
      </w:r>
    </w:p>
    <w:p w14:paraId="6A201838" w14:textId="77777777" w:rsidR="00335BD0" w:rsidRDefault="00335BD0" w:rsidP="00335BD0">
      <w:pPr>
        <w:spacing w:line="276" w:lineRule="auto"/>
        <w:contextualSpacing/>
        <w:rPr>
          <w:lang w:val="en-US"/>
        </w:rPr>
      </w:pPr>
      <w:r w:rsidRPr="00335BD0">
        <w:rPr>
          <w:lang w:val="en-US"/>
        </w:rPr>
        <w:t xml:space="preserve">Aroney, Michelle. “Reassessing the Marginalization of Astrology in the Early Modern World.” The </w:t>
      </w:r>
    </w:p>
    <w:p w14:paraId="42B7DB3D" w14:textId="3D5B1421" w:rsidR="00335BD0" w:rsidRPr="00335BD0" w:rsidRDefault="00335BD0" w:rsidP="00335BD0">
      <w:pPr>
        <w:spacing w:line="276" w:lineRule="auto"/>
        <w:ind w:firstLine="708"/>
        <w:contextualSpacing/>
        <w:rPr>
          <w:lang w:val="en-US"/>
        </w:rPr>
      </w:pPr>
      <w:r w:rsidRPr="00335BD0">
        <w:rPr>
          <w:lang w:val="en-US"/>
        </w:rPr>
        <w:t>Historical Journal (2023).</w:t>
      </w:r>
    </w:p>
    <w:p w14:paraId="1462144A" w14:textId="77777777" w:rsidR="009E52D3" w:rsidRDefault="009E52D3" w:rsidP="00335BD0">
      <w:pPr>
        <w:spacing w:line="276" w:lineRule="auto"/>
        <w:contextualSpacing/>
        <w:rPr>
          <w:lang w:val="en-US"/>
        </w:rPr>
      </w:pPr>
      <w:r w:rsidRPr="009E52D3">
        <w:rPr>
          <w:lang w:val="en-US"/>
        </w:rPr>
        <w:t xml:space="preserve">Campion, Nicholas. A History of Western Astrology, Volume II: The Medieval and Modern </w:t>
      </w:r>
    </w:p>
    <w:p w14:paraId="2DEC685C" w14:textId="616C5768" w:rsidR="009E52D3" w:rsidRDefault="009E52D3" w:rsidP="009E52D3">
      <w:pPr>
        <w:spacing w:line="276" w:lineRule="auto"/>
        <w:ind w:firstLine="708"/>
        <w:contextualSpacing/>
        <w:rPr>
          <w:lang w:val="en-US"/>
        </w:rPr>
      </w:pPr>
      <w:r w:rsidRPr="009E52D3">
        <w:rPr>
          <w:lang w:val="en-US"/>
        </w:rPr>
        <w:t>Worlds. London: Continuum/Bloomsbury Academic, 2009</w:t>
      </w:r>
    </w:p>
    <w:p w14:paraId="71A97D3C" w14:textId="025264A9" w:rsidR="00335BD0" w:rsidRPr="00335BD0" w:rsidRDefault="00335BD0" w:rsidP="00335BD0">
      <w:pPr>
        <w:spacing w:line="276" w:lineRule="auto"/>
        <w:contextualSpacing/>
        <w:rPr>
          <w:lang w:val="en-US"/>
        </w:rPr>
      </w:pPr>
      <w:r w:rsidRPr="00335BD0">
        <w:rPr>
          <w:lang w:val="en-US"/>
        </w:rPr>
        <w:t xml:space="preserve">French, Roger. “Foretelling the Future: Arabic Astrology and English Medicine in the Late Twelfth </w:t>
      </w:r>
    </w:p>
    <w:p w14:paraId="3804BEFA" w14:textId="74796F23" w:rsidR="00335BD0" w:rsidRPr="00335BD0" w:rsidRDefault="00335BD0" w:rsidP="00335BD0">
      <w:pPr>
        <w:spacing w:line="276" w:lineRule="auto"/>
        <w:ind w:firstLine="708"/>
        <w:contextualSpacing/>
        <w:rPr>
          <w:lang w:val="en-US"/>
        </w:rPr>
      </w:pPr>
      <w:r w:rsidRPr="00335BD0">
        <w:rPr>
          <w:lang w:val="en-US"/>
        </w:rPr>
        <w:t>Century.” Isis 87, no. 3 (1996): 453–480.</w:t>
      </w:r>
    </w:p>
    <w:p w14:paraId="56205382" w14:textId="77777777" w:rsidR="00335BD0" w:rsidRDefault="00335BD0" w:rsidP="00335BD0">
      <w:pPr>
        <w:spacing w:line="276" w:lineRule="auto"/>
        <w:contextualSpacing/>
        <w:rPr>
          <w:lang w:val="en-US"/>
        </w:rPr>
      </w:pPr>
      <w:r w:rsidRPr="00335BD0">
        <w:rPr>
          <w:lang w:val="en-US"/>
        </w:rPr>
        <w:t xml:space="preserve">Newman, William R., and Anthony Grafton, eds. Secrets of Nature: Astrology and Alchemy in </w:t>
      </w:r>
    </w:p>
    <w:p w14:paraId="291F510B" w14:textId="0E3659D1" w:rsidR="00335BD0" w:rsidRPr="00335BD0" w:rsidRDefault="00335BD0" w:rsidP="00335BD0">
      <w:pPr>
        <w:spacing w:line="276" w:lineRule="auto"/>
        <w:ind w:firstLine="708"/>
        <w:contextualSpacing/>
        <w:rPr>
          <w:lang w:val="en-US"/>
        </w:rPr>
      </w:pPr>
      <w:r w:rsidRPr="00335BD0">
        <w:rPr>
          <w:lang w:val="en-US"/>
        </w:rPr>
        <w:t>Early Modern Europe. Cambridge, MA: MIT Press, 2001.</w:t>
      </w:r>
    </w:p>
    <w:p w14:paraId="2C8484CE" w14:textId="77777777" w:rsidR="00335BD0" w:rsidRDefault="00335BD0" w:rsidP="00335BD0">
      <w:pPr>
        <w:spacing w:line="276" w:lineRule="auto"/>
        <w:contextualSpacing/>
        <w:rPr>
          <w:lang w:val="en-US"/>
        </w:rPr>
      </w:pPr>
      <w:r w:rsidRPr="00335BD0">
        <w:rPr>
          <w:lang w:val="en-US"/>
        </w:rPr>
        <w:t xml:space="preserve">Rutkin, H. Darrel. “How to Accurately Account for Astrology’s Marginalization in the History of </w:t>
      </w:r>
    </w:p>
    <w:p w14:paraId="3BB027D7" w14:textId="77777777" w:rsidR="00335BD0" w:rsidRDefault="00335BD0" w:rsidP="00335BD0">
      <w:pPr>
        <w:spacing w:line="276" w:lineRule="auto"/>
        <w:ind w:firstLine="708"/>
        <w:contextualSpacing/>
        <w:rPr>
          <w:lang w:val="en-US"/>
        </w:rPr>
      </w:pPr>
      <w:r w:rsidRPr="00335BD0">
        <w:rPr>
          <w:lang w:val="en-US"/>
        </w:rPr>
        <w:t xml:space="preserve">Science and Culture: The Central Importance of an Interpretive Framework.” Early </w:t>
      </w:r>
    </w:p>
    <w:p w14:paraId="3174CCC4" w14:textId="507BCD88" w:rsidR="00335BD0" w:rsidRPr="00335BD0" w:rsidRDefault="00335BD0" w:rsidP="00335BD0">
      <w:pPr>
        <w:spacing w:line="276" w:lineRule="auto"/>
        <w:ind w:left="708"/>
        <w:contextualSpacing/>
        <w:rPr>
          <w:lang w:val="en-US"/>
        </w:rPr>
      </w:pPr>
      <w:r w:rsidRPr="00335BD0">
        <w:rPr>
          <w:lang w:val="en-US"/>
        </w:rPr>
        <w:t xml:space="preserve">Science and Medicine 23, no. 3 (2018): 217–243. </w:t>
      </w:r>
      <w:hyperlink r:id="rId9" w:history="1">
        <w:r w:rsidRPr="00335BD0">
          <w:rPr>
            <w:rStyle w:val="Hyperlink"/>
            <w:lang w:val="en-US"/>
          </w:rPr>
          <w:t>https://doi.org/10.1163/15733823-00233P02</w:t>
        </w:r>
      </w:hyperlink>
      <w:r w:rsidRPr="00335BD0">
        <w:rPr>
          <w:lang w:val="en-US"/>
        </w:rPr>
        <w:t>.</w:t>
      </w:r>
    </w:p>
    <w:p w14:paraId="716EA920" w14:textId="77777777" w:rsidR="00335BD0" w:rsidRDefault="00335BD0" w:rsidP="00335BD0">
      <w:pPr>
        <w:spacing w:line="276" w:lineRule="auto"/>
        <w:contextualSpacing/>
      </w:pPr>
      <w:r w:rsidRPr="00335BD0">
        <w:rPr>
          <w:lang w:val="en-US"/>
        </w:rPr>
        <w:t xml:space="preserve">Thorndike, Lynn. “The True Place of Astrology in the History of Science.” </w:t>
      </w:r>
      <w:r w:rsidRPr="00335BD0">
        <w:t xml:space="preserve">Isis 46, no. 3 (1955): </w:t>
      </w:r>
    </w:p>
    <w:p w14:paraId="68E056C3" w14:textId="26B4640A" w:rsidR="00335BD0" w:rsidRPr="00335BD0" w:rsidRDefault="00335BD0" w:rsidP="00335BD0">
      <w:pPr>
        <w:spacing w:line="276" w:lineRule="auto"/>
        <w:ind w:firstLine="708"/>
        <w:contextualSpacing/>
      </w:pPr>
      <w:r w:rsidRPr="00335BD0">
        <w:t>273–278.</w:t>
      </w:r>
    </w:p>
    <w:p w14:paraId="58585F0C" w14:textId="77777777" w:rsidR="006F16F9" w:rsidRPr="00E46CD4" w:rsidRDefault="006F16F9">
      <w:pPr>
        <w:rPr>
          <w:lang w:val="en-US"/>
        </w:rPr>
      </w:pPr>
    </w:p>
    <w:sectPr w:rsidR="006F16F9" w:rsidRPr="00E46CD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5940C" w14:textId="77777777" w:rsidR="00CB0D71" w:rsidRDefault="00CB0D71" w:rsidP="00A568D0">
      <w:pPr>
        <w:spacing w:after="0" w:line="240" w:lineRule="auto"/>
      </w:pPr>
      <w:r>
        <w:separator/>
      </w:r>
    </w:p>
  </w:endnote>
  <w:endnote w:type="continuationSeparator" w:id="0">
    <w:p w14:paraId="41512D05" w14:textId="77777777" w:rsidR="00CB0D71" w:rsidRDefault="00CB0D71" w:rsidP="00A5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696D7" w14:textId="77777777" w:rsidR="00CB0D71" w:rsidRDefault="00CB0D71" w:rsidP="00A568D0">
      <w:pPr>
        <w:spacing w:after="0" w:line="240" w:lineRule="auto"/>
      </w:pPr>
      <w:r>
        <w:separator/>
      </w:r>
    </w:p>
  </w:footnote>
  <w:footnote w:type="continuationSeparator" w:id="0">
    <w:p w14:paraId="1D5BA307" w14:textId="77777777" w:rsidR="00CB0D71" w:rsidRDefault="00CB0D71" w:rsidP="00A568D0">
      <w:pPr>
        <w:spacing w:after="0" w:line="240" w:lineRule="auto"/>
      </w:pPr>
      <w:r>
        <w:continuationSeparator/>
      </w:r>
    </w:p>
  </w:footnote>
  <w:footnote w:id="1">
    <w:p w14:paraId="3AC763C7" w14:textId="1A673D8C" w:rsidR="00A568D0" w:rsidRPr="00FD4794" w:rsidRDefault="00A568D0">
      <w:pPr>
        <w:pStyle w:val="FootnoteText"/>
        <w:rPr>
          <w:lang w:val="en-US"/>
        </w:rPr>
      </w:pPr>
      <w:r>
        <w:rPr>
          <w:rStyle w:val="FootnoteReference"/>
        </w:rPr>
        <w:footnoteRef/>
      </w:r>
      <w:r w:rsidRPr="00FD4794">
        <w:rPr>
          <w:lang w:val="en-US"/>
        </w:rPr>
        <w:t xml:space="preserve"> </w:t>
      </w:r>
      <w:r w:rsidR="001E760B" w:rsidRPr="001E760B">
        <w:rPr>
          <w:lang w:val="en-US"/>
        </w:rPr>
        <w:t xml:space="preserve">Michelle Pfeffer, “Dr Michelle Pfeffer | Faculty of History,” University of Oxford, accessed November </w:t>
      </w:r>
      <w:r w:rsidR="001E760B">
        <w:rPr>
          <w:lang w:val="en-US"/>
        </w:rPr>
        <w:t>2</w:t>
      </w:r>
      <w:r w:rsidR="001E760B" w:rsidRPr="001E760B">
        <w:rPr>
          <w:lang w:val="en-US"/>
        </w:rPr>
        <w:t xml:space="preserve">, 2025, </w:t>
      </w:r>
      <w:r w:rsidR="001E760B">
        <w:fldChar w:fldCharType="begin"/>
      </w:r>
      <w:r w:rsidR="001E760B" w:rsidRPr="00B510D0">
        <w:rPr>
          <w:lang w:val="en-US"/>
        </w:rPr>
        <w:instrText>HYPERLINK "https://www.history.ox.ac.uk/people/dr-michelle-pfeffer?utm_source=chatgpt.com" \t "_new"</w:instrText>
      </w:r>
      <w:r w:rsidR="001E760B">
        <w:fldChar w:fldCharType="separate"/>
      </w:r>
      <w:r w:rsidR="001E760B" w:rsidRPr="001E760B">
        <w:rPr>
          <w:rStyle w:val="Hyperlink"/>
          <w:lang w:val="en-US"/>
        </w:rPr>
        <w:t>https://www.history.ox.ac.uk/people/dr-michelle-pfeffer</w:t>
      </w:r>
      <w:r w:rsidR="001E760B">
        <w:fldChar w:fldCharType="end"/>
      </w:r>
    </w:p>
  </w:footnote>
  <w:footnote w:id="2">
    <w:p w14:paraId="16A0F731" w14:textId="2DEFDC7D" w:rsidR="002A6DE9" w:rsidRPr="002A6DE9" w:rsidRDefault="002A6DE9">
      <w:pPr>
        <w:pStyle w:val="FootnoteText"/>
        <w:rPr>
          <w:lang w:val="en-US"/>
        </w:rPr>
      </w:pPr>
      <w:r>
        <w:rPr>
          <w:rStyle w:val="FootnoteReference"/>
        </w:rPr>
        <w:footnoteRef/>
      </w:r>
      <w:r w:rsidRPr="002A6DE9">
        <w:rPr>
          <w:lang w:val="en-US"/>
        </w:rPr>
        <w:t xml:space="preserve"> “New Exhibition Dedicated to Divination Explores Our Universal Need to Find Answers: </w:t>
      </w:r>
      <w:r w:rsidRPr="002A6DE9">
        <w:rPr>
          <w:i/>
          <w:iCs/>
          <w:lang w:val="en-US"/>
        </w:rPr>
        <w:t>Oracles, Omens and Answers</w:t>
      </w:r>
      <w:r w:rsidRPr="002A6DE9">
        <w:rPr>
          <w:lang w:val="en-US"/>
        </w:rPr>
        <w:t xml:space="preserve">,” Bodleian Libraries, 23 September 2024, accessed </w:t>
      </w:r>
      <w:r w:rsidR="00CA1CA2">
        <w:rPr>
          <w:lang w:val="en-US"/>
        </w:rPr>
        <w:t>3</w:t>
      </w:r>
      <w:r w:rsidRPr="002A6DE9">
        <w:rPr>
          <w:lang w:val="en-US"/>
        </w:rPr>
        <w:t xml:space="preserve"> November 2025, </w:t>
      </w:r>
      <w:r>
        <w:fldChar w:fldCharType="begin"/>
      </w:r>
      <w:r w:rsidRPr="00B510D0">
        <w:rPr>
          <w:lang w:val="en-US"/>
        </w:rPr>
        <w:instrText>HYPERLINK "https://www.bodleian.ox.ac.uk/about/media/oracles-omens-answers?utm_source=chatgpt.com" \t "_new"</w:instrText>
      </w:r>
      <w:r>
        <w:fldChar w:fldCharType="separate"/>
      </w:r>
      <w:r w:rsidRPr="002A6DE9">
        <w:rPr>
          <w:rStyle w:val="Hyperlink"/>
          <w:lang w:val="en-US"/>
        </w:rPr>
        <w:t>https://www.bodleian.ox.ac.uk/about/media/oracles-omens-answers</w:t>
      </w:r>
      <w:r>
        <w:fldChar w:fldCharType="end"/>
      </w:r>
      <w:r w:rsidRPr="002A6DE9">
        <w:rPr>
          <w:lang w:val="en-US"/>
        </w:rPr>
        <w:t>; and “</w:t>
      </w:r>
      <w:r w:rsidRPr="002A6DE9">
        <w:rPr>
          <w:i/>
          <w:iCs/>
          <w:lang w:val="en-US"/>
        </w:rPr>
        <w:t>Oracles, Omens and Answers</w:t>
      </w:r>
      <w:r w:rsidRPr="002A6DE9">
        <w:rPr>
          <w:lang w:val="en-US"/>
        </w:rPr>
        <w:t xml:space="preserve">,” Bodleian Libraries, 6 December 2024–27 April 2025, accessed </w:t>
      </w:r>
      <w:r w:rsidR="00CA1CA2">
        <w:rPr>
          <w:lang w:val="en-US"/>
        </w:rPr>
        <w:t>3</w:t>
      </w:r>
      <w:r w:rsidRPr="002A6DE9">
        <w:rPr>
          <w:lang w:val="en-US"/>
        </w:rPr>
        <w:t xml:space="preserve"> November 2025, </w:t>
      </w:r>
      <w:r>
        <w:fldChar w:fldCharType="begin"/>
      </w:r>
      <w:r w:rsidRPr="00B510D0">
        <w:rPr>
          <w:lang w:val="en-US"/>
        </w:rPr>
        <w:instrText>HYPERLINK "https://visit.bodleian.ox.ac.uk/event/oracles-omens-and-answers?utm_source=chatgpt.com" \t "_new"</w:instrText>
      </w:r>
      <w:r>
        <w:fldChar w:fldCharType="separate"/>
      </w:r>
      <w:r w:rsidRPr="002A6DE9">
        <w:rPr>
          <w:rStyle w:val="Hyperlink"/>
          <w:lang w:val="en-US"/>
        </w:rPr>
        <w:t>https://visit.bodleian.ox.ac.uk/event/oracles-omens-and-answers</w:t>
      </w:r>
      <w:r>
        <w:fldChar w:fldCharType="end"/>
      </w:r>
      <w:r>
        <w:rPr>
          <w:lang w:val="en-US"/>
        </w:rPr>
        <w:t xml:space="preserve"> </w:t>
      </w:r>
    </w:p>
  </w:footnote>
  <w:footnote w:id="3">
    <w:p w14:paraId="6BF7B3D0" w14:textId="083F83BA" w:rsidR="00AB6CFA" w:rsidRPr="00FD4794" w:rsidRDefault="00AB6CFA">
      <w:pPr>
        <w:pStyle w:val="FootnoteText"/>
        <w:rPr>
          <w:color w:val="FF0000"/>
          <w:lang w:val="en-US"/>
        </w:rPr>
      </w:pPr>
      <w:r>
        <w:rPr>
          <w:rStyle w:val="FootnoteReference"/>
        </w:rPr>
        <w:footnoteRef/>
      </w:r>
      <w:r w:rsidRPr="00B93D9B">
        <w:rPr>
          <w:lang w:val="en-US"/>
        </w:rPr>
        <w:t xml:space="preserve"> </w:t>
      </w:r>
      <w:r w:rsidR="00033EF8" w:rsidRPr="00033EF8">
        <w:rPr>
          <w:lang w:val="en-US"/>
        </w:rPr>
        <w:t xml:space="preserve">“Roger French (1938–2002),” Department of History and Philosophy of Science, University of Cambridge, accessed November </w:t>
      </w:r>
      <w:r w:rsidR="00033EF8">
        <w:rPr>
          <w:lang w:val="en-US"/>
        </w:rPr>
        <w:t>2</w:t>
      </w:r>
      <w:r w:rsidR="00033EF8" w:rsidRPr="00033EF8">
        <w:rPr>
          <w:lang w:val="en-US"/>
        </w:rPr>
        <w:t xml:space="preserve">, 2025, </w:t>
      </w:r>
      <w:r w:rsidR="00033EF8">
        <w:fldChar w:fldCharType="begin"/>
      </w:r>
      <w:r w:rsidR="00033EF8" w:rsidRPr="00B510D0">
        <w:rPr>
          <w:lang w:val="en-US"/>
        </w:rPr>
        <w:instrText>HYPERLINK "https://www.hps.cam.ac.uk/news-events/news-archive/roger-french?utm_source=chatgpt.com" \t "_new"</w:instrText>
      </w:r>
      <w:r w:rsidR="00033EF8">
        <w:fldChar w:fldCharType="separate"/>
      </w:r>
      <w:r w:rsidR="00033EF8" w:rsidRPr="00033EF8">
        <w:rPr>
          <w:rStyle w:val="Hyperlink"/>
          <w:lang w:val="en-US"/>
        </w:rPr>
        <w:t>https://www.hps.cam.ac.uk/news-events/news-archive/roger-french</w:t>
      </w:r>
      <w:r w:rsidR="00033EF8">
        <w:fldChar w:fldCharType="end"/>
      </w:r>
    </w:p>
  </w:footnote>
  <w:footnote w:id="4">
    <w:p w14:paraId="5A6CC7D3" w14:textId="56C973D1" w:rsidR="00EC0BC1" w:rsidRPr="0040070E" w:rsidRDefault="00EC0BC1" w:rsidP="00EC0BC1">
      <w:pPr>
        <w:pStyle w:val="FootnoteText"/>
        <w:rPr>
          <w:lang w:val="en-US"/>
        </w:rPr>
      </w:pPr>
      <w:r>
        <w:rPr>
          <w:rStyle w:val="FootnoteReference"/>
        </w:rPr>
        <w:footnoteRef/>
      </w:r>
      <w:r w:rsidRPr="0040070E">
        <w:rPr>
          <w:lang w:val="en-US"/>
        </w:rPr>
        <w:t xml:space="preserve"> </w:t>
      </w:r>
      <w:r w:rsidRPr="00A03CA9">
        <w:rPr>
          <w:lang w:val="en-US"/>
        </w:rPr>
        <w:t>Aroney,</w:t>
      </w:r>
      <w:r>
        <w:rPr>
          <w:lang w:val="en-US"/>
        </w:rPr>
        <w:t xml:space="preserve"> </w:t>
      </w:r>
      <w:r w:rsidR="00033EF8">
        <w:rPr>
          <w:lang w:val="en-US"/>
        </w:rPr>
        <w:t>“</w:t>
      </w:r>
      <w:r>
        <w:rPr>
          <w:lang w:val="en-US"/>
        </w:rPr>
        <w:t>Reassessing the Marginalization of Astrology in the Early Modern World</w:t>
      </w:r>
      <w:r w:rsidR="001810BD">
        <w:rPr>
          <w:lang w:val="en-US"/>
        </w:rPr>
        <w:t>,</w:t>
      </w:r>
      <w:r w:rsidR="00033EF8">
        <w:rPr>
          <w:lang w:val="en-US"/>
        </w:rPr>
        <w:t>”</w:t>
      </w:r>
      <w:r w:rsidRPr="00A03CA9">
        <w:rPr>
          <w:lang w:val="en-US"/>
        </w:rPr>
        <w:t xml:space="preserve"> 1152.</w:t>
      </w:r>
    </w:p>
  </w:footnote>
  <w:footnote w:id="5">
    <w:p w14:paraId="7B9F0C81" w14:textId="07F24780" w:rsidR="000E48B7" w:rsidRPr="000E48B7" w:rsidRDefault="000E48B7">
      <w:pPr>
        <w:pStyle w:val="FootnoteText"/>
        <w:rPr>
          <w:lang w:val="en-US"/>
        </w:rPr>
      </w:pPr>
      <w:r>
        <w:rPr>
          <w:rStyle w:val="FootnoteReference"/>
        </w:rPr>
        <w:footnoteRef/>
      </w:r>
      <w:r w:rsidR="009E52D3">
        <w:rPr>
          <w:lang w:val="en-US"/>
        </w:rPr>
        <w:t xml:space="preserve"> </w:t>
      </w:r>
      <w:r w:rsidR="00327CD7" w:rsidRPr="00E74601">
        <w:rPr>
          <w:lang w:val="en-US"/>
        </w:rPr>
        <w:t>According to Campion, astrology began to lose its credibility due to several key factors: the rise of the scientific revolution, the enlightenment, religious criticism and popular astrology tainting learned astrology</w:t>
      </w:r>
      <w:r w:rsidR="0024197D">
        <w:rPr>
          <w:lang w:val="en-US"/>
        </w:rPr>
        <w:t>.</w:t>
      </w:r>
      <w:r w:rsidR="00383A9C">
        <w:rPr>
          <w:lang w:val="en-US"/>
        </w:rPr>
        <w:t xml:space="preserve"> (I could not retrace the page of the book before the deadline</w:t>
      </w:r>
      <w:r w:rsidR="0042481B">
        <w:rPr>
          <w:lang w:val="en-US"/>
        </w:rPr>
        <w:t xml:space="preserve">, but </w:t>
      </w:r>
      <w:r w:rsidR="00FE4BB7">
        <w:rPr>
          <w:lang w:val="en-US"/>
        </w:rPr>
        <w:t>I remember it being in</w:t>
      </w:r>
      <w:r w:rsidR="0042481B">
        <w:rPr>
          <w:lang w:val="en-US"/>
        </w:rPr>
        <w:t xml:space="preserve"> </w:t>
      </w:r>
      <w:r w:rsidR="0042481B" w:rsidRPr="00FE4BB7">
        <w:rPr>
          <w:i/>
          <w:iCs/>
          <w:lang w:val="en-US"/>
        </w:rPr>
        <w:t>A History of Western Astrology, Volume II</w:t>
      </w:r>
      <w:r w:rsidR="00383A9C">
        <w:rPr>
          <w:lang w:val="en-US"/>
        </w:rPr>
        <w:t>)</w:t>
      </w:r>
    </w:p>
  </w:footnote>
  <w:footnote w:id="6">
    <w:p w14:paraId="18AAC01B" w14:textId="593EEE4E" w:rsidR="005854F6" w:rsidRPr="005854F6" w:rsidRDefault="005854F6">
      <w:pPr>
        <w:pStyle w:val="FootnoteText"/>
        <w:rPr>
          <w:lang w:val="en-US"/>
        </w:rPr>
      </w:pPr>
      <w:r>
        <w:rPr>
          <w:rStyle w:val="FootnoteReference"/>
        </w:rPr>
        <w:footnoteRef/>
      </w:r>
      <w:r w:rsidRPr="005854F6">
        <w:rPr>
          <w:lang w:val="en-US"/>
        </w:rPr>
        <w:t xml:space="preserve"> </w:t>
      </w:r>
      <w:r>
        <w:rPr>
          <w:lang w:val="en-US"/>
        </w:rPr>
        <w:t xml:space="preserve">French, </w:t>
      </w:r>
      <w:r w:rsidR="00814432">
        <w:rPr>
          <w:lang w:val="en-US"/>
        </w:rPr>
        <w:t>“</w:t>
      </w:r>
      <w:r w:rsidR="001F7ACA" w:rsidRPr="00542F21">
        <w:rPr>
          <w:lang w:val="en-US"/>
        </w:rPr>
        <w:t>Foretelling the Future: Arabic Astrology and English Medicine in the Late Twelfth Century</w:t>
      </w:r>
      <w:r w:rsidR="001F7ACA">
        <w:rPr>
          <w:lang w:val="en-US"/>
        </w:rPr>
        <w:t>,</w:t>
      </w:r>
      <w:r w:rsidR="00814432">
        <w:rPr>
          <w:lang w:val="en-US"/>
        </w:rPr>
        <w:t>”</w:t>
      </w:r>
      <w:r w:rsidR="001F7ACA">
        <w:rPr>
          <w:lang w:val="en-US"/>
        </w:rPr>
        <w:t xml:space="preserve"> </w:t>
      </w:r>
      <w:r>
        <w:rPr>
          <w:lang w:val="en-US"/>
        </w:rPr>
        <w:t>455.</w:t>
      </w:r>
    </w:p>
  </w:footnote>
  <w:footnote w:id="7">
    <w:p w14:paraId="38F28AAB" w14:textId="2E349851" w:rsidR="001F7ACA" w:rsidRPr="0007276D" w:rsidRDefault="001F7ACA" w:rsidP="001F7ACA">
      <w:pPr>
        <w:pStyle w:val="FootnoteText"/>
        <w:rPr>
          <w:lang w:val="en-US"/>
        </w:rPr>
      </w:pPr>
      <w:r>
        <w:rPr>
          <w:rStyle w:val="FootnoteReference"/>
        </w:rPr>
        <w:footnoteRef/>
      </w:r>
      <w:r w:rsidRPr="0007276D">
        <w:rPr>
          <w:lang w:val="en-US"/>
        </w:rPr>
        <w:t xml:space="preserve"> </w:t>
      </w:r>
      <w:r>
        <w:rPr>
          <w:lang w:val="en-US"/>
        </w:rPr>
        <w:t xml:space="preserve">In the footnotes, French </w:t>
      </w:r>
      <w:r w:rsidRPr="006D7D9F">
        <w:rPr>
          <w:lang w:val="en-US"/>
        </w:rPr>
        <w:t xml:space="preserve">discusses Abu </w:t>
      </w:r>
      <w:proofErr w:type="spellStart"/>
      <w:r w:rsidRPr="006D7D9F">
        <w:rPr>
          <w:lang w:val="en-US"/>
        </w:rPr>
        <w:t>Ma</w:t>
      </w:r>
      <w:r w:rsidRPr="006D7D9F">
        <w:rPr>
          <w:rFonts w:ascii="Arial" w:hAnsi="Arial" w:cs="Arial"/>
          <w:lang w:val="en-US"/>
        </w:rPr>
        <w:t>ʿ</w:t>
      </w:r>
      <w:r w:rsidRPr="006D7D9F">
        <w:rPr>
          <w:lang w:val="en-US"/>
        </w:rPr>
        <w:t>shar</w:t>
      </w:r>
      <w:r w:rsidRPr="006D7D9F">
        <w:rPr>
          <w:rFonts w:ascii="Aptos" w:hAnsi="Aptos" w:cs="Aptos"/>
          <w:lang w:val="en-US"/>
        </w:rPr>
        <w:t>’</w:t>
      </w:r>
      <w:r w:rsidRPr="006D7D9F">
        <w:rPr>
          <w:lang w:val="en-US"/>
        </w:rPr>
        <w:t>s</w:t>
      </w:r>
      <w:proofErr w:type="spellEnd"/>
      <w:r w:rsidRPr="006D7D9F">
        <w:rPr>
          <w:lang w:val="en-US"/>
        </w:rPr>
        <w:t xml:space="preserve"> </w:t>
      </w:r>
      <w:proofErr w:type="spellStart"/>
      <w:r w:rsidRPr="006D7D9F">
        <w:rPr>
          <w:i/>
          <w:iCs/>
          <w:lang w:val="en-US"/>
        </w:rPr>
        <w:t>Introductorium</w:t>
      </w:r>
      <w:proofErr w:type="spellEnd"/>
      <w:r w:rsidRPr="006D7D9F">
        <w:rPr>
          <w:i/>
          <w:iCs/>
          <w:lang w:val="en-US"/>
        </w:rPr>
        <w:t xml:space="preserve"> </w:t>
      </w:r>
      <w:proofErr w:type="spellStart"/>
      <w:r w:rsidRPr="006D7D9F">
        <w:rPr>
          <w:i/>
          <w:iCs/>
          <w:lang w:val="en-US"/>
        </w:rPr>
        <w:t>Maius</w:t>
      </w:r>
      <w:proofErr w:type="spellEnd"/>
      <w:r w:rsidRPr="006D7D9F">
        <w:rPr>
          <w:lang w:val="en-US"/>
        </w:rPr>
        <w:t xml:space="preserve"> </w:t>
      </w:r>
      <w:r>
        <w:rPr>
          <w:lang w:val="en-US"/>
        </w:rPr>
        <w:t xml:space="preserve">on </w:t>
      </w:r>
      <w:r w:rsidRPr="006D7D9F">
        <w:rPr>
          <w:lang w:val="en-US"/>
        </w:rPr>
        <w:t>page 456</w:t>
      </w:r>
      <w:r>
        <w:rPr>
          <w:lang w:val="en-US"/>
        </w:rPr>
        <w:t xml:space="preserve"> and Roger’s works from</w:t>
      </w:r>
      <w:r w:rsidR="00814432">
        <w:rPr>
          <w:lang w:val="en-US"/>
        </w:rPr>
        <w:t xml:space="preserve"> page</w:t>
      </w:r>
      <w:r>
        <w:rPr>
          <w:lang w:val="en-US"/>
        </w:rPr>
        <w:t xml:space="preserve"> 465 onwards.</w:t>
      </w:r>
    </w:p>
  </w:footnote>
  <w:footnote w:id="8">
    <w:p w14:paraId="4F25E149" w14:textId="23FC98E4" w:rsidR="004F148D" w:rsidRPr="00B64FCC" w:rsidRDefault="004F148D" w:rsidP="004F148D">
      <w:pPr>
        <w:pStyle w:val="FootnoteText"/>
        <w:rPr>
          <w:lang w:val="en-US"/>
        </w:rPr>
      </w:pPr>
      <w:r w:rsidRPr="008D1E05">
        <w:rPr>
          <w:rStyle w:val="FootnoteReference"/>
        </w:rPr>
        <w:footnoteRef/>
      </w:r>
      <w:r w:rsidRPr="00B64FCC">
        <w:rPr>
          <w:lang w:val="en-US"/>
        </w:rPr>
        <w:t xml:space="preserve"> Rutkin, </w:t>
      </w:r>
      <w:r w:rsidRPr="00B64FCC">
        <w:rPr>
          <w:rFonts w:cs="Constantia"/>
          <w:lang w:val="en-US"/>
        </w:rPr>
        <w:t>“</w:t>
      </w:r>
      <w:r w:rsidRPr="00B64FCC">
        <w:rPr>
          <w:lang w:val="en-US"/>
        </w:rPr>
        <w:t>How to Accurately Account for Astrology</w:t>
      </w:r>
      <w:r w:rsidRPr="00B64FCC">
        <w:rPr>
          <w:rFonts w:cs="Constantia"/>
          <w:lang w:val="en-US"/>
        </w:rPr>
        <w:t>’</w:t>
      </w:r>
      <w:r w:rsidRPr="00B64FCC">
        <w:rPr>
          <w:lang w:val="en-US"/>
        </w:rPr>
        <w:t>s Marginalization in the History of Science and Culture: The Central Importance of an Interpretive Framework,</w:t>
      </w:r>
      <w:r w:rsidRPr="00B64FCC">
        <w:rPr>
          <w:rFonts w:cs="Constantia"/>
          <w:lang w:val="en-US"/>
        </w:rPr>
        <w:t>”</w:t>
      </w:r>
      <w:r w:rsidRPr="00B64FCC">
        <w:rPr>
          <w:lang w:val="en-US"/>
        </w:rPr>
        <w:t xml:space="preserve"> 219</w:t>
      </w:r>
      <w:r w:rsidR="0024197D">
        <w:rPr>
          <w:lang w:val="en-US"/>
        </w:rPr>
        <w:t>.</w:t>
      </w:r>
    </w:p>
  </w:footnote>
  <w:footnote w:id="9">
    <w:p w14:paraId="7B409870" w14:textId="79950201" w:rsidR="004F148D" w:rsidRPr="00CC553D" w:rsidRDefault="004F148D" w:rsidP="004F148D">
      <w:pPr>
        <w:pStyle w:val="FootnoteText"/>
        <w:rPr>
          <w:lang w:val="en-US"/>
        </w:rPr>
      </w:pPr>
      <w:r>
        <w:rPr>
          <w:rStyle w:val="FootnoteReference"/>
        </w:rPr>
        <w:footnoteRef/>
      </w:r>
      <w:r w:rsidRPr="00CC553D">
        <w:rPr>
          <w:lang w:val="en-US"/>
        </w:rPr>
        <w:t xml:space="preserve"> </w:t>
      </w:r>
      <w:r>
        <w:rPr>
          <w:lang w:val="en-US"/>
        </w:rPr>
        <w:t xml:space="preserve">French, </w:t>
      </w:r>
      <w:r w:rsidR="0024197D">
        <w:rPr>
          <w:lang w:val="en-US"/>
        </w:rPr>
        <w:t>“</w:t>
      </w:r>
      <w:r w:rsidR="0024197D" w:rsidRPr="00542F21">
        <w:rPr>
          <w:lang w:val="en-US"/>
        </w:rPr>
        <w:t>Foretelling the Future: Arabic Astrology and English Medicine in the Late Twelfth Century</w:t>
      </w:r>
      <w:r w:rsidR="0024197D">
        <w:rPr>
          <w:lang w:val="en-US"/>
        </w:rPr>
        <w:t xml:space="preserve">,” </w:t>
      </w:r>
      <w:r>
        <w:rPr>
          <w:lang w:val="en-US"/>
        </w:rPr>
        <w:t>453.</w:t>
      </w:r>
    </w:p>
  </w:footnote>
  <w:footnote w:id="10">
    <w:p w14:paraId="7915555A" w14:textId="77777777" w:rsidR="00196B3C" w:rsidRPr="00010FC7" w:rsidRDefault="00196B3C" w:rsidP="00196B3C">
      <w:pPr>
        <w:pStyle w:val="FootnoteText"/>
        <w:rPr>
          <w:lang w:val="en-US"/>
        </w:rPr>
      </w:pPr>
      <w:r w:rsidRPr="006B31C5">
        <w:rPr>
          <w:rStyle w:val="FootnoteReference"/>
        </w:rPr>
        <w:footnoteRef/>
      </w:r>
      <w:r w:rsidRPr="00010FC7">
        <w:rPr>
          <w:lang w:val="en-US"/>
        </w:rPr>
        <w:t xml:space="preserve"> </w:t>
      </w:r>
      <w:r>
        <w:rPr>
          <w:lang w:val="en-US"/>
        </w:rPr>
        <w:t xml:space="preserve">Newman, </w:t>
      </w:r>
      <w:r w:rsidRPr="005A02C9">
        <w:rPr>
          <w:i/>
          <w:iCs/>
          <w:lang w:val="en-US"/>
        </w:rPr>
        <w:t>Secrets of Nature: Astrology and Alchemy in Modern Europe</w:t>
      </w:r>
      <w:r>
        <w:rPr>
          <w:lang w:val="en-US"/>
        </w:rPr>
        <w:t xml:space="preserve">, </w:t>
      </w:r>
      <w:r w:rsidRPr="00010FC7">
        <w:rPr>
          <w:lang w:val="en-US"/>
        </w:rPr>
        <w:t>2</w:t>
      </w:r>
      <w:r>
        <w:rPr>
          <w:lang w:val="en-US"/>
        </w:rPr>
        <w:t>.</w:t>
      </w:r>
    </w:p>
  </w:footnote>
  <w:footnote w:id="11">
    <w:p w14:paraId="122FB723" w14:textId="03A055B2" w:rsidR="00CF31A2" w:rsidRPr="00AB5120" w:rsidRDefault="00CF31A2">
      <w:pPr>
        <w:pStyle w:val="FootnoteText"/>
        <w:rPr>
          <w:lang w:val="en-US"/>
        </w:rPr>
      </w:pPr>
      <w:r>
        <w:rPr>
          <w:rStyle w:val="FootnoteReference"/>
        </w:rPr>
        <w:footnoteRef/>
      </w:r>
      <w:r w:rsidRPr="00CF31A2">
        <w:rPr>
          <w:lang w:val="en-US"/>
        </w:rPr>
        <w:t xml:space="preserve"> </w:t>
      </w:r>
      <w:r w:rsidR="00DD1D16">
        <w:rPr>
          <w:lang w:val="en-US"/>
        </w:rPr>
        <w:t>A</w:t>
      </w:r>
      <w:r w:rsidR="00DD1D16" w:rsidRPr="00DD1D16">
        <w:rPr>
          <w:lang w:val="en-US"/>
        </w:rPr>
        <w:t xml:space="preserve"> perception reinforced by critics such as Theodor W. Adorno, who in </w:t>
      </w:r>
      <w:r w:rsidR="00DD1D16" w:rsidRPr="00DD1D16">
        <w:rPr>
          <w:i/>
          <w:iCs/>
          <w:lang w:val="en-US"/>
        </w:rPr>
        <w:t>The Stars Down to Earth</w:t>
      </w:r>
      <w:r w:rsidR="00DD1D16" w:rsidRPr="00DD1D16">
        <w:rPr>
          <w:lang w:val="en-US"/>
        </w:rPr>
        <w:t xml:space="preserve"> (1953) interpreted astrology as a symptom of modern mass culture and pseudo-rational thinking</w:t>
      </w:r>
      <w:r w:rsidR="00FE4BB7">
        <w:rPr>
          <w:lang w:val="en-US"/>
        </w:rPr>
        <w:t>.</w:t>
      </w:r>
    </w:p>
  </w:footnote>
  <w:footnote w:id="12">
    <w:p w14:paraId="7A384F3A" w14:textId="4DD771B3" w:rsidR="00E25CF1" w:rsidRPr="0024260A" w:rsidRDefault="00E25CF1" w:rsidP="00E25CF1">
      <w:pPr>
        <w:pStyle w:val="FootnoteText"/>
        <w:rPr>
          <w:lang w:val="en-US"/>
        </w:rPr>
      </w:pPr>
      <w:r>
        <w:rPr>
          <w:rStyle w:val="FootnoteReference"/>
        </w:rPr>
        <w:footnoteRef/>
      </w:r>
      <w:r w:rsidRPr="00E25CF1">
        <w:rPr>
          <w:lang w:val="en-US"/>
        </w:rPr>
        <w:t xml:space="preserve"> </w:t>
      </w:r>
      <w:r>
        <w:rPr>
          <w:lang w:val="en-US"/>
        </w:rPr>
        <w:t>Aroney,</w:t>
      </w:r>
      <w:r w:rsidR="00913179">
        <w:rPr>
          <w:lang w:val="en-US"/>
        </w:rPr>
        <w:t xml:space="preserve"> “Reassessing the Marginalization of Astrology in the Early Modern World,”</w:t>
      </w:r>
      <w:r>
        <w:rPr>
          <w:lang w:val="en-US"/>
        </w:rPr>
        <w:t xml:space="preserve"> 1171.</w:t>
      </w:r>
    </w:p>
  </w:footnote>
  <w:footnote w:id="13">
    <w:p w14:paraId="72B57809" w14:textId="77777777" w:rsidR="00196B3C" w:rsidRPr="006C5965" w:rsidRDefault="00196B3C" w:rsidP="00196B3C">
      <w:pPr>
        <w:pStyle w:val="FootnoteText"/>
        <w:rPr>
          <w:lang w:val="en-US"/>
        </w:rPr>
      </w:pPr>
      <w:r>
        <w:rPr>
          <w:rStyle w:val="FootnoteReference"/>
        </w:rPr>
        <w:footnoteRef/>
      </w:r>
      <w:r w:rsidRPr="006C5965">
        <w:rPr>
          <w:lang w:val="en-US"/>
        </w:rPr>
        <w:t xml:space="preserve"> Thorndike, “The True place of Astrology in the History of Science,” 273.</w:t>
      </w:r>
    </w:p>
  </w:footnote>
  <w:footnote w:id="14">
    <w:p w14:paraId="525470B4" w14:textId="3C7B49B9" w:rsidR="00522DDA" w:rsidRPr="00522DDA" w:rsidRDefault="00522DDA">
      <w:pPr>
        <w:pStyle w:val="FootnoteText"/>
        <w:rPr>
          <w:lang w:val="en-US"/>
        </w:rPr>
      </w:pPr>
      <w:r>
        <w:rPr>
          <w:rStyle w:val="FootnoteReference"/>
        </w:rPr>
        <w:footnoteRef/>
      </w:r>
      <w:r w:rsidRPr="002878ED">
        <w:rPr>
          <w:lang w:val="en-US"/>
        </w:rPr>
        <w:t xml:space="preserve"> </w:t>
      </w:r>
      <w:r>
        <w:rPr>
          <w:lang w:val="en-US"/>
        </w:rPr>
        <w:t>Aroney, 1154.</w:t>
      </w:r>
    </w:p>
  </w:footnote>
  <w:footnote w:id="15">
    <w:p w14:paraId="7C774372" w14:textId="3E25975B" w:rsidR="002878ED" w:rsidRPr="002878ED" w:rsidRDefault="002878ED">
      <w:pPr>
        <w:pStyle w:val="FootnoteText"/>
        <w:rPr>
          <w:lang w:val="en-US"/>
        </w:rPr>
      </w:pPr>
      <w:r>
        <w:rPr>
          <w:rStyle w:val="FootnoteReference"/>
        </w:rPr>
        <w:footnoteRef/>
      </w:r>
      <w:r w:rsidRPr="002878ED">
        <w:rPr>
          <w:lang w:val="en-US"/>
        </w:rPr>
        <w:t xml:space="preserve"> </w:t>
      </w:r>
      <w:r>
        <w:rPr>
          <w:lang w:val="en-US"/>
        </w:rPr>
        <w:t>Aroney, 1155.</w:t>
      </w:r>
    </w:p>
  </w:footnote>
  <w:footnote w:id="16">
    <w:p w14:paraId="0089EE59" w14:textId="5541F6AE" w:rsidR="00DF5193" w:rsidRPr="00DF5193" w:rsidRDefault="00DF5193">
      <w:pPr>
        <w:pStyle w:val="FootnoteText"/>
        <w:rPr>
          <w:lang w:val="en-US"/>
        </w:rPr>
      </w:pPr>
      <w:r>
        <w:rPr>
          <w:rStyle w:val="FootnoteReference"/>
        </w:rPr>
        <w:footnoteRef/>
      </w:r>
      <w:r w:rsidRPr="0063334D">
        <w:rPr>
          <w:lang w:val="en-US"/>
        </w:rPr>
        <w:t xml:space="preserve"> </w:t>
      </w:r>
      <w:r>
        <w:rPr>
          <w:lang w:val="en-US"/>
        </w:rPr>
        <w:t>Aroney, 1159.</w:t>
      </w:r>
    </w:p>
  </w:footnote>
  <w:footnote w:id="17">
    <w:p w14:paraId="31BDE4DC" w14:textId="36B41FEC" w:rsidR="00890E9C" w:rsidRPr="00890E9C" w:rsidRDefault="00890E9C">
      <w:pPr>
        <w:pStyle w:val="FootnoteText"/>
        <w:rPr>
          <w:lang w:val="en-US"/>
        </w:rPr>
      </w:pPr>
      <w:r>
        <w:rPr>
          <w:rStyle w:val="FootnoteReference"/>
        </w:rPr>
        <w:footnoteRef/>
      </w:r>
      <w:r w:rsidRPr="001310C5">
        <w:rPr>
          <w:lang w:val="en-US"/>
        </w:rPr>
        <w:t xml:space="preserve"> </w:t>
      </w:r>
      <w:r>
        <w:rPr>
          <w:lang w:val="en-US"/>
        </w:rPr>
        <w:t>Aroney, 1169.</w:t>
      </w:r>
    </w:p>
  </w:footnote>
  <w:footnote w:id="18">
    <w:p w14:paraId="06ACD544" w14:textId="172B188F" w:rsidR="00A16467" w:rsidRPr="00A16467" w:rsidRDefault="00A16467">
      <w:pPr>
        <w:pStyle w:val="FootnoteText"/>
        <w:rPr>
          <w:lang w:val="en-US"/>
        </w:rPr>
      </w:pPr>
      <w:r>
        <w:rPr>
          <w:rStyle w:val="FootnoteReference"/>
        </w:rPr>
        <w:footnoteRef/>
      </w:r>
      <w:r w:rsidRPr="001310C5">
        <w:rPr>
          <w:lang w:val="en-US"/>
        </w:rPr>
        <w:t xml:space="preserve"> </w:t>
      </w:r>
      <w:r w:rsidR="0042481B">
        <w:rPr>
          <w:lang w:val="en-US"/>
        </w:rPr>
        <w:t>Ibid.</w:t>
      </w:r>
    </w:p>
  </w:footnote>
  <w:footnote w:id="19">
    <w:p w14:paraId="38C34A0B" w14:textId="77777777" w:rsidR="00EF73BE" w:rsidRPr="001D4300" w:rsidRDefault="00EF73BE" w:rsidP="00EF73BE">
      <w:pPr>
        <w:pStyle w:val="FootnoteText"/>
        <w:rPr>
          <w:lang w:val="en-US"/>
        </w:rPr>
      </w:pPr>
      <w:r>
        <w:rPr>
          <w:rStyle w:val="FootnoteReference"/>
        </w:rPr>
        <w:footnoteRef/>
      </w:r>
      <w:r w:rsidRPr="00432EB5">
        <w:rPr>
          <w:lang w:val="en-US"/>
        </w:rPr>
        <w:t xml:space="preserve"> </w:t>
      </w:r>
      <w:r>
        <w:rPr>
          <w:lang w:val="en-US"/>
        </w:rPr>
        <w:t>Aroney, 1153.</w:t>
      </w:r>
    </w:p>
  </w:footnote>
  <w:footnote w:id="20">
    <w:p w14:paraId="6C7C2246" w14:textId="5512D0CE" w:rsidR="00DF516A" w:rsidRPr="00DF516A" w:rsidRDefault="00DF516A">
      <w:pPr>
        <w:pStyle w:val="FootnoteText"/>
        <w:rPr>
          <w:lang w:val="en-US"/>
        </w:rPr>
      </w:pPr>
      <w:r>
        <w:rPr>
          <w:rStyle w:val="FootnoteReference"/>
        </w:rPr>
        <w:footnoteRef/>
      </w:r>
      <w:r w:rsidRPr="007F30FB">
        <w:rPr>
          <w:lang w:val="en-US"/>
        </w:rPr>
        <w:t xml:space="preserve"> </w:t>
      </w:r>
      <w:r>
        <w:rPr>
          <w:lang w:val="en-US"/>
        </w:rPr>
        <w:t>Aroney, 1175.</w:t>
      </w:r>
    </w:p>
  </w:footnote>
  <w:footnote w:id="21">
    <w:p w14:paraId="59296840" w14:textId="616DECA8" w:rsidR="00AD0857" w:rsidRPr="00AD0857" w:rsidRDefault="00AD0857">
      <w:pPr>
        <w:pStyle w:val="FootnoteText"/>
        <w:rPr>
          <w:lang w:val="en-US"/>
        </w:rPr>
      </w:pPr>
      <w:r>
        <w:rPr>
          <w:rStyle w:val="FootnoteReference"/>
        </w:rPr>
        <w:footnoteRef/>
      </w:r>
      <w:r w:rsidRPr="00823716">
        <w:rPr>
          <w:lang w:val="en-US"/>
        </w:rPr>
        <w:t xml:space="preserve"> </w:t>
      </w:r>
      <w:r>
        <w:rPr>
          <w:lang w:val="en-US"/>
        </w:rPr>
        <w:t>French, 479.</w:t>
      </w:r>
    </w:p>
  </w:footnote>
  <w:footnote w:id="22">
    <w:p w14:paraId="4A8DBAF5" w14:textId="77777777" w:rsidR="00EB53FF" w:rsidRPr="00D273FA" w:rsidRDefault="00EB53FF" w:rsidP="00EB53FF">
      <w:pPr>
        <w:pStyle w:val="FootnoteText"/>
        <w:rPr>
          <w:lang w:val="en-US"/>
        </w:rPr>
      </w:pPr>
      <w:r>
        <w:rPr>
          <w:rStyle w:val="FootnoteReference"/>
        </w:rPr>
        <w:footnoteRef/>
      </w:r>
      <w:r w:rsidRPr="007F30FB">
        <w:rPr>
          <w:lang w:val="en-US"/>
        </w:rPr>
        <w:t xml:space="preserve"> </w:t>
      </w:r>
      <w:r>
        <w:rPr>
          <w:lang w:val="en-US"/>
        </w:rPr>
        <w:t>Aroney, 1163.</w:t>
      </w:r>
    </w:p>
  </w:footnote>
  <w:footnote w:id="23">
    <w:p w14:paraId="3A4A229E" w14:textId="77777777" w:rsidR="00EB53FF" w:rsidRPr="008A0AFD" w:rsidRDefault="00EB53FF" w:rsidP="00EB53FF">
      <w:pPr>
        <w:pStyle w:val="FootnoteText"/>
        <w:rPr>
          <w:lang w:val="en-US"/>
        </w:rPr>
      </w:pPr>
      <w:r>
        <w:rPr>
          <w:rStyle w:val="FootnoteReference"/>
        </w:rPr>
        <w:footnoteRef/>
      </w:r>
      <w:r w:rsidRPr="00823716">
        <w:rPr>
          <w:lang w:val="en-US"/>
        </w:rPr>
        <w:t xml:space="preserve"> </w:t>
      </w:r>
      <w:r>
        <w:rPr>
          <w:lang w:val="en-US"/>
        </w:rPr>
        <w:t>Aroney, 1167.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927915"/>
      <w:docPartObj>
        <w:docPartGallery w:val="Page Numbers (Top of Page)"/>
        <w:docPartUnique/>
      </w:docPartObj>
    </w:sdtPr>
    <w:sdtContent>
      <w:p w14:paraId="48E542B8" w14:textId="0C3D3FB8" w:rsidR="00A62289" w:rsidRDefault="00A62289">
        <w:pPr>
          <w:pStyle w:val="Header"/>
          <w:jc w:val="right"/>
        </w:pPr>
        <w:r>
          <w:fldChar w:fldCharType="begin"/>
        </w:r>
        <w:r>
          <w:instrText>PAGE   \* MERGEFORMAT</w:instrText>
        </w:r>
        <w:r>
          <w:fldChar w:fldCharType="separate"/>
        </w:r>
        <w:r>
          <w:t>2</w:t>
        </w:r>
        <w:r>
          <w:fldChar w:fldCharType="end"/>
        </w:r>
      </w:p>
    </w:sdtContent>
  </w:sdt>
  <w:p w14:paraId="144BE4B1" w14:textId="77777777" w:rsidR="00A62289" w:rsidRDefault="00A62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44848"/>
    <w:multiLevelType w:val="multilevel"/>
    <w:tmpl w:val="7D8C0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366AEF"/>
    <w:multiLevelType w:val="hybridMultilevel"/>
    <w:tmpl w:val="63DA2C3E"/>
    <w:lvl w:ilvl="0" w:tplc="94F64110">
      <w:start w:val="23"/>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750493481">
    <w:abstractNumId w:val="0"/>
  </w:num>
  <w:num w:numId="2" w16cid:durableId="439450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4CD"/>
    <w:rsid w:val="00010FC7"/>
    <w:rsid w:val="00014431"/>
    <w:rsid w:val="000170C0"/>
    <w:rsid w:val="00017CAF"/>
    <w:rsid w:val="000230AA"/>
    <w:rsid w:val="00024819"/>
    <w:rsid w:val="00032AFC"/>
    <w:rsid w:val="00033EF8"/>
    <w:rsid w:val="000430C1"/>
    <w:rsid w:val="00043CAD"/>
    <w:rsid w:val="00046DF8"/>
    <w:rsid w:val="00050568"/>
    <w:rsid w:val="000542F8"/>
    <w:rsid w:val="00062E42"/>
    <w:rsid w:val="00063D5A"/>
    <w:rsid w:val="0007276D"/>
    <w:rsid w:val="00076DCF"/>
    <w:rsid w:val="0009317E"/>
    <w:rsid w:val="000975B1"/>
    <w:rsid w:val="000A130E"/>
    <w:rsid w:val="000B67DC"/>
    <w:rsid w:val="000D59E5"/>
    <w:rsid w:val="000E40D0"/>
    <w:rsid w:val="000E48B7"/>
    <w:rsid w:val="000E7CBA"/>
    <w:rsid w:val="000F633E"/>
    <w:rsid w:val="00111BC9"/>
    <w:rsid w:val="00111F6C"/>
    <w:rsid w:val="001310C5"/>
    <w:rsid w:val="00135AC8"/>
    <w:rsid w:val="001400E1"/>
    <w:rsid w:val="00141344"/>
    <w:rsid w:val="00141818"/>
    <w:rsid w:val="0014582C"/>
    <w:rsid w:val="001462ED"/>
    <w:rsid w:val="00153B11"/>
    <w:rsid w:val="00170B9F"/>
    <w:rsid w:val="001719E4"/>
    <w:rsid w:val="001810BD"/>
    <w:rsid w:val="00184FEA"/>
    <w:rsid w:val="00185B9B"/>
    <w:rsid w:val="0019311C"/>
    <w:rsid w:val="00194AA9"/>
    <w:rsid w:val="00196B3C"/>
    <w:rsid w:val="0019794A"/>
    <w:rsid w:val="001B415F"/>
    <w:rsid w:val="001B5DDC"/>
    <w:rsid w:val="001B7FD9"/>
    <w:rsid w:val="001C60A5"/>
    <w:rsid w:val="001C71AA"/>
    <w:rsid w:val="001D4300"/>
    <w:rsid w:val="001E57E4"/>
    <w:rsid w:val="001E760B"/>
    <w:rsid w:val="001F7ACA"/>
    <w:rsid w:val="0020096E"/>
    <w:rsid w:val="0020323D"/>
    <w:rsid w:val="00206554"/>
    <w:rsid w:val="002144CD"/>
    <w:rsid w:val="00215B45"/>
    <w:rsid w:val="00215F62"/>
    <w:rsid w:val="00221166"/>
    <w:rsid w:val="0024197D"/>
    <w:rsid w:val="0024228B"/>
    <w:rsid w:val="0024260A"/>
    <w:rsid w:val="00265BD0"/>
    <w:rsid w:val="00283E0D"/>
    <w:rsid w:val="002878ED"/>
    <w:rsid w:val="00294526"/>
    <w:rsid w:val="002A6DE9"/>
    <w:rsid w:val="002B0BAE"/>
    <w:rsid w:val="002D3AC9"/>
    <w:rsid w:val="002D5D70"/>
    <w:rsid w:val="002F7BE9"/>
    <w:rsid w:val="00301689"/>
    <w:rsid w:val="00301DEA"/>
    <w:rsid w:val="0031207E"/>
    <w:rsid w:val="003129FB"/>
    <w:rsid w:val="003173EB"/>
    <w:rsid w:val="00327CD7"/>
    <w:rsid w:val="00330671"/>
    <w:rsid w:val="00335BD0"/>
    <w:rsid w:val="00340854"/>
    <w:rsid w:val="00341781"/>
    <w:rsid w:val="00345DF7"/>
    <w:rsid w:val="003633CF"/>
    <w:rsid w:val="00371E95"/>
    <w:rsid w:val="0037357B"/>
    <w:rsid w:val="00375C97"/>
    <w:rsid w:val="00383A9C"/>
    <w:rsid w:val="00392DF7"/>
    <w:rsid w:val="00395DA4"/>
    <w:rsid w:val="003A3B89"/>
    <w:rsid w:val="003C5605"/>
    <w:rsid w:val="003C683B"/>
    <w:rsid w:val="003D0D20"/>
    <w:rsid w:val="003F25F5"/>
    <w:rsid w:val="0040070E"/>
    <w:rsid w:val="00405C59"/>
    <w:rsid w:val="004148D9"/>
    <w:rsid w:val="0041533B"/>
    <w:rsid w:val="0042481B"/>
    <w:rsid w:val="00432EB5"/>
    <w:rsid w:val="00443D0C"/>
    <w:rsid w:val="00481B1D"/>
    <w:rsid w:val="00482DEB"/>
    <w:rsid w:val="00483FD7"/>
    <w:rsid w:val="0049446A"/>
    <w:rsid w:val="00497C8E"/>
    <w:rsid w:val="004D143B"/>
    <w:rsid w:val="004D570B"/>
    <w:rsid w:val="004D6223"/>
    <w:rsid w:val="004D7F49"/>
    <w:rsid w:val="004F0917"/>
    <w:rsid w:val="004F148D"/>
    <w:rsid w:val="004F14C8"/>
    <w:rsid w:val="0050749B"/>
    <w:rsid w:val="005112A8"/>
    <w:rsid w:val="00511D56"/>
    <w:rsid w:val="0051700C"/>
    <w:rsid w:val="00522DDA"/>
    <w:rsid w:val="00524E72"/>
    <w:rsid w:val="005254D1"/>
    <w:rsid w:val="005313D4"/>
    <w:rsid w:val="00542F21"/>
    <w:rsid w:val="00562034"/>
    <w:rsid w:val="005715BC"/>
    <w:rsid w:val="00574E08"/>
    <w:rsid w:val="00577F4B"/>
    <w:rsid w:val="005854F6"/>
    <w:rsid w:val="00590F96"/>
    <w:rsid w:val="005A02C9"/>
    <w:rsid w:val="005A0C60"/>
    <w:rsid w:val="005A1CAE"/>
    <w:rsid w:val="005A5000"/>
    <w:rsid w:val="005C0C42"/>
    <w:rsid w:val="005C6F58"/>
    <w:rsid w:val="005D573B"/>
    <w:rsid w:val="005E1140"/>
    <w:rsid w:val="005E580E"/>
    <w:rsid w:val="005F472C"/>
    <w:rsid w:val="00602A63"/>
    <w:rsid w:val="0060598F"/>
    <w:rsid w:val="00606ACC"/>
    <w:rsid w:val="00624404"/>
    <w:rsid w:val="0063334D"/>
    <w:rsid w:val="0064216E"/>
    <w:rsid w:val="0066621D"/>
    <w:rsid w:val="00675D86"/>
    <w:rsid w:val="00680722"/>
    <w:rsid w:val="006A028C"/>
    <w:rsid w:val="006A6442"/>
    <w:rsid w:val="006A69AA"/>
    <w:rsid w:val="006C5965"/>
    <w:rsid w:val="006D3329"/>
    <w:rsid w:val="006D4DC9"/>
    <w:rsid w:val="006D7D9F"/>
    <w:rsid w:val="006E1238"/>
    <w:rsid w:val="006E1938"/>
    <w:rsid w:val="006E39CC"/>
    <w:rsid w:val="006E410C"/>
    <w:rsid w:val="006F16F9"/>
    <w:rsid w:val="006F2399"/>
    <w:rsid w:val="006F6085"/>
    <w:rsid w:val="006F6819"/>
    <w:rsid w:val="006F6E15"/>
    <w:rsid w:val="00703CEF"/>
    <w:rsid w:val="00714DDB"/>
    <w:rsid w:val="007213CC"/>
    <w:rsid w:val="00724BA5"/>
    <w:rsid w:val="00725C3F"/>
    <w:rsid w:val="007318F6"/>
    <w:rsid w:val="00733F12"/>
    <w:rsid w:val="007431AF"/>
    <w:rsid w:val="007541AD"/>
    <w:rsid w:val="0076551F"/>
    <w:rsid w:val="0077117F"/>
    <w:rsid w:val="007725B1"/>
    <w:rsid w:val="007768D0"/>
    <w:rsid w:val="00777C05"/>
    <w:rsid w:val="00782F45"/>
    <w:rsid w:val="007834BC"/>
    <w:rsid w:val="00784EC8"/>
    <w:rsid w:val="00797428"/>
    <w:rsid w:val="007A392A"/>
    <w:rsid w:val="007A490D"/>
    <w:rsid w:val="007B0A2C"/>
    <w:rsid w:val="007D1F0C"/>
    <w:rsid w:val="007F30FB"/>
    <w:rsid w:val="007F3AFC"/>
    <w:rsid w:val="007F5E63"/>
    <w:rsid w:val="00814432"/>
    <w:rsid w:val="00823716"/>
    <w:rsid w:val="00827C07"/>
    <w:rsid w:val="00832373"/>
    <w:rsid w:val="00855A74"/>
    <w:rsid w:val="00855E25"/>
    <w:rsid w:val="00870B45"/>
    <w:rsid w:val="0087457B"/>
    <w:rsid w:val="00890E9C"/>
    <w:rsid w:val="008A0AFD"/>
    <w:rsid w:val="008A2E6A"/>
    <w:rsid w:val="008B2132"/>
    <w:rsid w:val="008B3370"/>
    <w:rsid w:val="008C00EF"/>
    <w:rsid w:val="008C0220"/>
    <w:rsid w:val="008C67BE"/>
    <w:rsid w:val="008D5B22"/>
    <w:rsid w:val="008E11EA"/>
    <w:rsid w:val="008E2D7B"/>
    <w:rsid w:val="008E31CB"/>
    <w:rsid w:val="008E4627"/>
    <w:rsid w:val="00900DD5"/>
    <w:rsid w:val="00913179"/>
    <w:rsid w:val="00914013"/>
    <w:rsid w:val="00922638"/>
    <w:rsid w:val="00933DE0"/>
    <w:rsid w:val="0093402D"/>
    <w:rsid w:val="00937D27"/>
    <w:rsid w:val="00937ECD"/>
    <w:rsid w:val="00941E6E"/>
    <w:rsid w:val="009451B1"/>
    <w:rsid w:val="009659EE"/>
    <w:rsid w:val="009815D4"/>
    <w:rsid w:val="00983F22"/>
    <w:rsid w:val="009A3833"/>
    <w:rsid w:val="009A4ECA"/>
    <w:rsid w:val="009B5931"/>
    <w:rsid w:val="009C42B9"/>
    <w:rsid w:val="009C445A"/>
    <w:rsid w:val="009D46C4"/>
    <w:rsid w:val="009E0356"/>
    <w:rsid w:val="009E149E"/>
    <w:rsid w:val="009E52D3"/>
    <w:rsid w:val="009E7EAD"/>
    <w:rsid w:val="009F2931"/>
    <w:rsid w:val="00A03CA9"/>
    <w:rsid w:val="00A15FE0"/>
    <w:rsid w:val="00A16467"/>
    <w:rsid w:val="00A16D13"/>
    <w:rsid w:val="00A22C94"/>
    <w:rsid w:val="00A248D4"/>
    <w:rsid w:val="00A26003"/>
    <w:rsid w:val="00A26CF2"/>
    <w:rsid w:val="00A271B0"/>
    <w:rsid w:val="00A322C4"/>
    <w:rsid w:val="00A44156"/>
    <w:rsid w:val="00A441B0"/>
    <w:rsid w:val="00A472CE"/>
    <w:rsid w:val="00A568D0"/>
    <w:rsid w:val="00A62289"/>
    <w:rsid w:val="00A6251D"/>
    <w:rsid w:val="00A67B83"/>
    <w:rsid w:val="00A72CBF"/>
    <w:rsid w:val="00A91F74"/>
    <w:rsid w:val="00AB5120"/>
    <w:rsid w:val="00AB5C83"/>
    <w:rsid w:val="00AB6CFA"/>
    <w:rsid w:val="00AD0857"/>
    <w:rsid w:val="00AE0F02"/>
    <w:rsid w:val="00AF3508"/>
    <w:rsid w:val="00B1149B"/>
    <w:rsid w:val="00B206C0"/>
    <w:rsid w:val="00B45756"/>
    <w:rsid w:val="00B510D0"/>
    <w:rsid w:val="00B54FCB"/>
    <w:rsid w:val="00B63C1B"/>
    <w:rsid w:val="00B64FCC"/>
    <w:rsid w:val="00B714AA"/>
    <w:rsid w:val="00B93D9B"/>
    <w:rsid w:val="00BB2540"/>
    <w:rsid w:val="00BC1235"/>
    <w:rsid w:val="00BC3D89"/>
    <w:rsid w:val="00BC7856"/>
    <w:rsid w:val="00C27E8B"/>
    <w:rsid w:val="00C31AA8"/>
    <w:rsid w:val="00C35814"/>
    <w:rsid w:val="00C43391"/>
    <w:rsid w:val="00C50BCC"/>
    <w:rsid w:val="00C53758"/>
    <w:rsid w:val="00C61549"/>
    <w:rsid w:val="00C72456"/>
    <w:rsid w:val="00C872B7"/>
    <w:rsid w:val="00C876AE"/>
    <w:rsid w:val="00C94F9A"/>
    <w:rsid w:val="00CA1CA2"/>
    <w:rsid w:val="00CA7C28"/>
    <w:rsid w:val="00CB0D71"/>
    <w:rsid w:val="00CC553D"/>
    <w:rsid w:val="00CC7DBE"/>
    <w:rsid w:val="00CD06A8"/>
    <w:rsid w:val="00CD65A1"/>
    <w:rsid w:val="00CD6722"/>
    <w:rsid w:val="00CD7188"/>
    <w:rsid w:val="00CF28BA"/>
    <w:rsid w:val="00CF31A2"/>
    <w:rsid w:val="00D05960"/>
    <w:rsid w:val="00D273FA"/>
    <w:rsid w:val="00D3390A"/>
    <w:rsid w:val="00D35191"/>
    <w:rsid w:val="00D37078"/>
    <w:rsid w:val="00D54E94"/>
    <w:rsid w:val="00D62765"/>
    <w:rsid w:val="00D62772"/>
    <w:rsid w:val="00D63431"/>
    <w:rsid w:val="00D75DA3"/>
    <w:rsid w:val="00D769EA"/>
    <w:rsid w:val="00D76B21"/>
    <w:rsid w:val="00D77AC6"/>
    <w:rsid w:val="00D80EB4"/>
    <w:rsid w:val="00D83461"/>
    <w:rsid w:val="00D84CD6"/>
    <w:rsid w:val="00D9206E"/>
    <w:rsid w:val="00D9372D"/>
    <w:rsid w:val="00DA7A8E"/>
    <w:rsid w:val="00DB0531"/>
    <w:rsid w:val="00DB3F34"/>
    <w:rsid w:val="00DC6B2B"/>
    <w:rsid w:val="00DD1D16"/>
    <w:rsid w:val="00DF0D74"/>
    <w:rsid w:val="00DF12FA"/>
    <w:rsid w:val="00DF516A"/>
    <w:rsid w:val="00DF5193"/>
    <w:rsid w:val="00E03F32"/>
    <w:rsid w:val="00E06AF1"/>
    <w:rsid w:val="00E21386"/>
    <w:rsid w:val="00E259CE"/>
    <w:rsid w:val="00E25CF1"/>
    <w:rsid w:val="00E313B7"/>
    <w:rsid w:val="00E46CD4"/>
    <w:rsid w:val="00E74601"/>
    <w:rsid w:val="00E81FF7"/>
    <w:rsid w:val="00EB496B"/>
    <w:rsid w:val="00EB53FF"/>
    <w:rsid w:val="00EB6E28"/>
    <w:rsid w:val="00EC0BC1"/>
    <w:rsid w:val="00EC1062"/>
    <w:rsid w:val="00EF02A8"/>
    <w:rsid w:val="00EF119C"/>
    <w:rsid w:val="00EF73BE"/>
    <w:rsid w:val="00F04111"/>
    <w:rsid w:val="00F0797A"/>
    <w:rsid w:val="00F1159B"/>
    <w:rsid w:val="00F16BF9"/>
    <w:rsid w:val="00F230B2"/>
    <w:rsid w:val="00F63977"/>
    <w:rsid w:val="00F6687C"/>
    <w:rsid w:val="00F748A5"/>
    <w:rsid w:val="00F85202"/>
    <w:rsid w:val="00F96A00"/>
    <w:rsid w:val="00FC1130"/>
    <w:rsid w:val="00FC2991"/>
    <w:rsid w:val="00FC35D8"/>
    <w:rsid w:val="00FC6CB2"/>
    <w:rsid w:val="00FD1859"/>
    <w:rsid w:val="00FD2A22"/>
    <w:rsid w:val="00FD3CE5"/>
    <w:rsid w:val="00FD4794"/>
    <w:rsid w:val="00FD4887"/>
    <w:rsid w:val="00FD50E7"/>
    <w:rsid w:val="00FD5430"/>
    <w:rsid w:val="00FE4BB7"/>
    <w:rsid w:val="00FF072C"/>
    <w:rsid w:val="00FF0A2D"/>
    <w:rsid w:val="00FF418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ED23"/>
  <w15:chartTrackingRefBased/>
  <w15:docId w15:val="{090C70DF-01F5-4000-B245-384DEF95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4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44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144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4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4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4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44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44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4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4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4CD"/>
    <w:rPr>
      <w:rFonts w:eastAsiaTheme="majorEastAsia" w:cstheme="majorBidi"/>
      <w:color w:val="272727" w:themeColor="text1" w:themeTint="D8"/>
    </w:rPr>
  </w:style>
  <w:style w:type="paragraph" w:styleId="Title">
    <w:name w:val="Title"/>
    <w:basedOn w:val="Normal"/>
    <w:next w:val="Normal"/>
    <w:link w:val="TitleChar"/>
    <w:uiPriority w:val="10"/>
    <w:qFormat/>
    <w:rsid w:val="00214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4CD"/>
    <w:pPr>
      <w:spacing w:before="160"/>
      <w:jc w:val="center"/>
    </w:pPr>
    <w:rPr>
      <w:i/>
      <w:iCs/>
      <w:color w:val="404040" w:themeColor="text1" w:themeTint="BF"/>
    </w:rPr>
  </w:style>
  <w:style w:type="character" w:customStyle="1" w:styleId="QuoteChar">
    <w:name w:val="Quote Char"/>
    <w:basedOn w:val="DefaultParagraphFont"/>
    <w:link w:val="Quote"/>
    <w:uiPriority w:val="29"/>
    <w:rsid w:val="002144CD"/>
    <w:rPr>
      <w:i/>
      <w:iCs/>
      <w:color w:val="404040" w:themeColor="text1" w:themeTint="BF"/>
    </w:rPr>
  </w:style>
  <w:style w:type="paragraph" w:styleId="ListParagraph">
    <w:name w:val="List Paragraph"/>
    <w:basedOn w:val="Normal"/>
    <w:uiPriority w:val="34"/>
    <w:qFormat/>
    <w:rsid w:val="002144CD"/>
    <w:pPr>
      <w:ind w:left="720"/>
      <w:contextualSpacing/>
    </w:pPr>
  </w:style>
  <w:style w:type="character" w:styleId="IntenseEmphasis">
    <w:name w:val="Intense Emphasis"/>
    <w:basedOn w:val="DefaultParagraphFont"/>
    <w:uiPriority w:val="21"/>
    <w:qFormat/>
    <w:rsid w:val="002144CD"/>
    <w:rPr>
      <w:i/>
      <w:iCs/>
      <w:color w:val="0F4761" w:themeColor="accent1" w:themeShade="BF"/>
    </w:rPr>
  </w:style>
  <w:style w:type="paragraph" w:styleId="IntenseQuote">
    <w:name w:val="Intense Quote"/>
    <w:basedOn w:val="Normal"/>
    <w:next w:val="Normal"/>
    <w:link w:val="IntenseQuoteChar"/>
    <w:uiPriority w:val="30"/>
    <w:qFormat/>
    <w:rsid w:val="00214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4CD"/>
    <w:rPr>
      <w:i/>
      <w:iCs/>
      <w:color w:val="0F4761" w:themeColor="accent1" w:themeShade="BF"/>
    </w:rPr>
  </w:style>
  <w:style w:type="character" w:styleId="IntenseReference">
    <w:name w:val="Intense Reference"/>
    <w:basedOn w:val="DefaultParagraphFont"/>
    <w:uiPriority w:val="32"/>
    <w:qFormat/>
    <w:rsid w:val="002144CD"/>
    <w:rPr>
      <w:b/>
      <w:bCs/>
      <w:smallCaps/>
      <w:color w:val="0F4761" w:themeColor="accent1" w:themeShade="BF"/>
      <w:spacing w:val="5"/>
    </w:rPr>
  </w:style>
  <w:style w:type="paragraph" w:styleId="FootnoteText">
    <w:name w:val="footnote text"/>
    <w:basedOn w:val="Normal"/>
    <w:link w:val="FootnoteTextChar"/>
    <w:uiPriority w:val="99"/>
    <w:unhideWhenUsed/>
    <w:rsid w:val="00A568D0"/>
    <w:pPr>
      <w:spacing w:after="0" w:line="240" w:lineRule="auto"/>
    </w:pPr>
    <w:rPr>
      <w:sz w:val="20"/>
      <w:szCs w:val="20"/>
    </w:rPr>
  </w:style>
  <w:style w:type="character" w:customStyle="1" w:styleId="FootnoteTextChar">
    <w:name w:val="Footnote Text Char"/>
    <w:basedOn w:val="DefaultParagraphFont"/>
    <w:link w:val="FootnoteText"/>
    <w:uiPriority w:val="99"/>
    <w:rsid w:val="00A568D0"/>
    <w:rPr>
      <w:sz w:val="20"/>
      <w:szCs w:val="20"/>
    </w:rPr>
  </w:style>
  <w:style w:type="character" w:styleId="FootnoteReference">
    <w:name w:val="footnote reference"/>
    <w:basedOn w:val="DefaultParagraphFont"/>
    <w:uiPriority w:val="99"/>
    <w:semiHidden/>
    <w:unhideWhenUsed/>
    <w:rsid w:val="00A568D0"/>
    <w:rPr>
      <w:vertAlign w:val="superscript"/>
    </w:rPr>
  </w:style>
  <w:style w:type="character" w:styleId="Hyperlink">
    <w:name w:val="Hyperlink"/>
    <w:basedOn w:val="DefaultParagraphFont"/>
    <w:uiPriority w:val="99"/>
    <w:unhideWhenUsed/>
    <w:rsid w:val="00A568D0"/>
    <w:rPr>
      <w:color w:val="467886" w:themeColor="hyperlink"/>
      <w:u w:val="single"/>
    </w:rPr>
  </w:style>
  <w:style w:type="character" w:styleId="UnresolvedMention">
    <w:name w:val="Unresolved Mention"/>
    <w:basedOn w:val="DefaultParagraphFont"/>
    <w:uiPriority w:val="99"/>
    <w:semiHidden/>
    <w:unhideWhenUsed/>
    <w:rsid w:val="00A568D0"/>
    <w:rPr>
      <w:color w:val="605E5C"/>
      <w:shd w:val="clear" w:color="auto" w:fill="E1DFDD"/>
    </w:rPr>
  </w:style>
  <w:style w:type="character" w:styleId="CommentReference">
    <w:name w:val="annotation reference"/>
    <w:basedOn w:val="DefaultParagraphFont"/>
    <w:uiPriority w:val="99"/>
    <w:semiHidden/>
    <w:unhideWhenUsed/>
    <w:rsid w:val="0009317E"/>
    <w:rPr>
      <w:sz w:val="16"/>
      <w:szCs w:val="16"/>
    </w:rPr>
  </w:style>
  <w:style w:type="paragraph" w:styleId="CommentText">
    <w:name w:val="annotation text"/>
    <w:basedOn w:val="Normal"/>
    <w:link w:val="CommentTextChar"/>
    <w:uiPriority w:val="99"/>
    <w:unhideWhenUsed/>
    <w:rsid w:val="0009317E"/>
    <w:pPr>
      <w:spacing w:line="240" w:lineRule="auto"/>
    </w:pPr>
    <w:rPr>
      <w:sz w:val="20"/>
      <w:szCs w:val="20"/>
    </w:rPr>
  </w:style>
  <w:style w:type="character" w:customStyle="1" w:styleId="CommentTextChar">
    <w:name w:val="Comment Text Char"/>
    <w:basedOn w:val="DefaultParagraphFont"/>
    <w:link w:val="CommentText"/>
    <w:uiPriority w:val="99"/>
    <w:rsid w:val="0009317E"/>
    <w:rPr>
      <w:sz w:val="20"/>
      <w:szCs w:val="20"/>
    </w:rPr>
  </w:style>
  <w:style w:type="paragraph" w:styleId="CommentSubject">
    <w:name w:val="annotation subject"/>
    <w:basedOn w:val="CommentText"/>
    <w:next w:val="CommentText"/>
    <w:link w:val="CommentSubjectChar"/>
    <w:uiPriority w:val="99"/>
    <w:semiHidden/>
    <w:unhideWhenUsed/>
    <w:rsid w:val="0009317E"/>
    <w:rPr>
      <w:b/>
      <w:bCs/>
    </w:rPr>
  </w:style>
  <w:style w:type="character" w:customStyle="1" w:styleId="CommentSubjectChar">
    <w:name w:val="Comment Subject Char"/>
    <w:basedOn w:val="CommentTextChar"/>
    <w:link w:val="CommentSubject"/>
    <w:uiPriority w:val="99"/>
    <w:semiHidden/>
    <w:rsid w:val="0009317E"/>
    <w:rPr>
      <w:b/>
      <w:bCs/>
      <w:sz w:val="20"/>
      <w:szCs w:val="20"/>
    </w:rPr>
  </w:style>
  <w:style w:type="character" w:styleId="FollowedHyperlink">
    <w:name w:val="FollowedHyperlink"/>
    <w:basedOn w:val="DefaultParagraphFont"/>
    <w:uiPriority w:val="99"/>
    <w:semiHidden/>
    <w:unhideWhenUsed/>
    <w:rsid w:val="007F5E63"/>
    <w:rPr>
      <w:color w:val="96607D" w:themeColor="followedHyperlink"/>
      <w:u w:val="single"/>
    </w:rPr>
  </w:style>
  <w:style w:type="paragraph" w:styleId="NormalWeb">
    <w:name w:val="Normal (Web)"/>
    <w:basedOn w:val="Normal"/>
    <w:rsid w:val="00D05960"/>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paragraph" w:styleId="Header">
    <w:name w:val="header"/>
    <w:basedOn w:val="Normal"/>
    <w:link w:val="HeaderChar"/>
    <w:uiPriority w:val="99"/>
    <w:unhideWhenUsed/>
    <w:rsid w:val="00A622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289"/>
  </w:style>
  <w:style w:type="paragraph" w:styleId="Footer">
    <w:name w:val="footer"/>
    <w:basedOn w:val="Normal"/>
    <w:link w:val="FooterChar"/>
    <w:uiPriority w:val="99"/>
    <w:unhideWhenUsed/>
    <w:rsid w:val="00A622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5965">
      <w:bodyDiv w:val="1"/>
      <w:marLeft w:val="0"/>
      <w:marRight w:val="0"/>
      <w:marTop w:val="0"/>
      <w:marBottom w:val="0"/>
      <w:divBdr>
        <w:top w:val="none" w:sz="0" w:space="0" w:color="auto"/>
        <w:left w:val="none" w:sz="0" w:space="0" w:color="auto"/>
        <w:bottom w:val="none" w:sz="0" w:space="0" w:color="auto"/>
        <w:right w:val="none" w:sz="0" w:space="0" w:color="auto"/>
      </w:divBdr>
    </w:div>
    <w:div w:id="571429229">
      <w:bodyDiv w:val="1"/>
      <w:marLeft w:val="0"/>
      <w:marRight w:val="0"/>
      <w:marTop w:val="0"/>
      <w:marBottom w:val="0"/>
      <w:divBdr>
        <w:top w:val="none" w:sz="0" w:space="0" w:color="auto"/>
        <w:left w:val="none" w:sz="0" w:space="0" w:color="auto"/>
        <w:bottom w:val="none" w:sz="0" w:space="0" w:color="auto"/>
        <w:right w:val="none" w:sz="0" w:space="0" w:color="auto"/>
      </w:divBdr>
    </w:div>
    <w:div w:id="828788500">
      <w:bodyDiv w:val="1"/>
      <w:marLeft w:val="0"/>
      <w:marRight w:val="0"/>
      <w:marTop w:val="0"/>
      <w:marBottom w:val="0"/>
      <w:divBdr>
        <w:top w:val="none" w:sz="0" w:space="0" w:color="auto"/>
        <w:left w:val="none" w:sz="0" w:space="0" w:color="auto"/>
        <w:bottom w:val="none" w:sz="0" w:space="0" w:color="auto"/>
        <w:right w:val="none" w:sz="0" w:space="0" w:color="auto"/>
      </w:divBdr>
    </w:div>
    <w:div w:id="905533646">
      <w:bodyDiv w:val="1"/>
      <w:marLeft w:val="0"/>
      <w:marRight w:val="0"/>
      <w:marTop w:val="0"/>
      <w:marBottom w:val="0"/>
      <w:divBdr>
        <w:top w:val="none" w:sz="0" w:space="0" w:color="auto"/>
        <w:left w:val="none" w:sz="0" w:space="0" w:color="auto"/>
        <w:bottom w:val="none" w:sz="0" w:space="0" w:color="auto"/>
        <w:right w:val="none" w:sz="0" w:space="0" w:color="auto"/>
      </w:divBdr>
    </w:div>
    <w:div w:id="984352882">
      <w:bodyDiv w:val="1"/>
      <w:marLeft w:val="0"/>
      <w:marRight w:val="0"/>
      <w:marTop w:val="0"/>
      <w:marBottom w:val="0"/>
      <w:divBdr>
        <w:top w:val="none" w:sz="0" w:space="0" w:color="auto"/>
        <w:left w:val="none" w:sz="0" w:space="0" w:color="auto"/>
        <w:bottom w:val="none" w:sz="0" w:space="0" w:color="auto"/>
        <w:right w:val="none" w:sz="0" w:space="0" w:color="auto"/>
      </w:divBdr>
    </w:div>
    <w:div w:id="1468934990">
      <w:bodyDiv w:val="1"/>
      <w:marLeft w:val="0"/>
      <w:marRight w:val="0"/>
      <w:marTop w:val="0"/>
      <w:marBottom w:val="0"/>
      <w:divBdr>
        <w:top w:val="none" w:sz="0" w:space="0" w:color="auto"/>
        <w:left w:val="none" w:sz="0" w:space="0" w:color="auto"/>
        <w:bottom w:val="none" w:sz="0" w:space="0" w:color="auto"/>
        <w:right w:val="none" w:sz="0" w:space="0" w:color="auto"/>
      </w:divBdr>
    </w:div>
    <w:div w:id="2069302381">
      <w:bodyDiv w:val="1"/>
      <w:marLeft w:val="0"/>
      <w:marRight w:val="0"/>
      <w:marTop w:val="0"/>
      <w:marBottom w:val="0"/>
      <w:divBdr>
        <w:top w:val="none" w:sz="0" w:space="0" w:color="auto"/>
        <w:left w:val="none" w:sz="0" w:space="0" w:color="auto"/>
        <w:bottom w:val="none" w:sz="0" w:space="0" w:color="auto"/>
        <w:right w:val="none" w:sz="0" w:space="0" w:color="auto"/>
      </w:divBdr>
    </w:div>
    <w:div w:id="211609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63/15733823-00233P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373EB-2A77-4D12-9191-15FA2D9DE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7</Pages>
  <Words>2143</Words>
  <Characters>11787</Characters>
  <Application>Microsoft Office Word</Application>
  <DocSecurity>0</DocSecurity>
  <Lines>98</Lines>
  <Paragraphs>27</Paragraphs>
  <ScaleCrop>false</ScaleCrop>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Abraham</dc:creator>
  <cp:keywords/>
  <dc:description/>
  <cp:lastModifiedBy>Cheryl Abraham</cp:lastModifiedBy>
  <cp:revision>357</cp:revision>
  <dcterms:created xsi:type="dcterms:W3CDTF">2025-10-26T12:31:00Z</dcterms:created>
  <dcterms:modified xsi:type="dcterms:W3CDTF">2025-11-06T23:06:00Z</dcterms:modified>
</cp:coreProperties>
</file>