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B68D2" w:rsidRPr="003B26CB" w:rsidRDefault="00DB68D2" w:rsidP="003B26CB">
      <w:pPr>
        <w:spacing w:before="800" w:line="360" w:lineRule="auto"/>
        <w:rPr>
          <w:rFonts w:ascii="Arial" w:eastAsia="Arial" w:hAnsi="Arial" w:cs="Arial"/>
          <w:b/>
          <w:sz w:val="22"/>
          <w:szCs w:val="22"/>
        </w:rPr>
      </w:pPr>
      <w:r w:rsidRPr="003B26CB">
        <w:rPr>
          <w:rFonts w:ascii="Arial" w:eastAsia="等线" w:hAnsi="Arial" w:cs="Arial"/>
          <w:noProof/>
          <w:kern w:val="2"/>
          <w:sz w:val="22"/>
          <w:szCs w:val="22"/>
          <w14:ligatures w14:val="standardContextual"/>
        </w:rPr>
        <w:drawing>
          <wp:inline distT="0" distB="0" distL="0" distR="0" wp14:anchorId="5A2122B7" wp14:editId="443DAF88">
            <wp:extent cx="2619375" cy="116589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C50325" w:rsidRPr="003B26CB" w:rsidRDefault="001818E2" w:rsidP="003B26CB">
      <w:pPr>
        <w:spacing w:before="800" w:line="360" w:lineRule="auto"/>
        <w:rPr>
          <w:rFonts w:ascii="Arial" w:hAnsi="Arial" w:cs="Arial"/>
          <w:b/>
          <w:sz w:val="24"/>
          <w:szCs w:val="24"/>
        </w:rPr>
      </w:pPr>
      <w:r w:rsidRPr="003B26CB">
        <w:rPr>
          <w:rFonts w:ascii="Arial" w:eastAsia="Arial" w:hAnsi="Arial" w:cs="Arial"/>
          <w:b/>
          <w:sz w:val="24"/>
          <w:szCs w:val="24"/>
        </w:rPr>
        <w:t xml:space="preserve">STUDENT NAME: </w:t>
      </w:r>
      <w:r w:rsidRPr="003B26CB">
        <w:rPr>
          <w:rFonts w:ascii="Arial" w:eastAsia="Arial" w:hAnsi="Arial" w:cs="Arial"/>
          <w:sz w:val="24"/>
          <w:szCs w:val="24"/>
        </w:rPr>
        <w:t>ABDA PARVEEN</w:t>
      </w:r>
    </w:p>
    <w:p w:rsidR="001818E2" w:rsidRPr="003B26CB" w:rsidRDefault="001818E2" w:rsidP="003B26CB">
      <w:pPr>
        <w:spacing w:before="100" w:line="360" w:lineRule="auto"/>
        <w:rPr>
          <w:rFonts w:ascii="Arial" w:eastAsia="Arial" w:hAnsi="Arial" w:cs="Arial"/>
          <w:sz w:val="24"/>
          <w:szCs w:val="24"/>
        </w:rPr>
      </w:pPr>
      <w:r w:rsidRPr="003B26CB">
        <w:rPr>
          <w:rFonts w:ascii="Arial" w:eastAsia="Arial" w:hAnsi="Arial" w:cs="Arial"/>
          <w:b/>
          <w:sz w:val="24"/>
          <w:szCs w:val="24"/>
        </w:rPr>
        <w:t xml:space="preserve">STUDENT NUMBER: </w:t>
      </w:r>
      <w:r w:rsidRPr="003B26CB">
        <w:rPr>
          <w:rFonts w:ascii="Arial" w:eastAsia="Arial" w:hAnsi="Arial" w:cs="Arial"/>
          <w:sz w:val="24"/>
          <w:szCs w:val="24"/>
        </w:rPr>
        <w:t>2530580</w:t>
      </w:r>
    </w:p>
    <w:p w:rsidR="001818E2" w:rsidRPr="003B26CB" w:rsidRDefault="001818E2" w:rsidP="003B26CB">
      <w:pPr>
        <w:spacing w:before="100" w:line="360" w:lineRule="auto"/>
        <w:rPr>
          <w:rFonts w:ascii="Arial" w:eastAsia="Arial" w:hAnsi="Arial" w:cs="Arial"/>
          <w:b/>
          <w:sz w:val="24"/>
          <w:szCs w:val="24"/>
        </w:rPr>
      </w:pPr>
      <w:r w:rsidRPr="003B26CB">
        <w:rPr>
          <w:rFonts w:ascii="Arial" w:eastAsia="Arial" w:hAnsi="Arial" w:cs="Arial"/>
          <w:b/>
          <w:sz w:val="24"/>
          <w:szCs w:val="24"/>
        </w:rPr>
        <w:t xml:space="preserve"> MODULE CODE: </w:t>
      </w:r>
      <w:r w:rsidR="003B26CB" w:rsidRPr="003B26CB">
        <w:rPr>
          <w:rFonts w:ascii="Arial" w:eastAsia="Arial" w:hAnsi="Arial" w:cs="Arial"/>
          <w:sz w:val="24"/>
          <w:szCs w:val="24"/>
        </w:rPr>
        <w:t>LCHS4010</w:t>
      </w:r>
    </w:p>
    <w:p w:rsidR="003B26CB" w:rsidRDefault="001818E2" w:rsidP="003B26CB">
      <w:pPr>
        <w:spacing w:before="100" w:line="360" w:lineRule="auto"/>
        <w:rPr>
          <w:rFonts w:ascii="Arial" w:eastAsia="Arial" w:hAnsi="Arial" w:cs="Arial"/>
          <w:sz w:val="24"/>
          <w:szCs w:val="24"/>
        </w:rPr>
      </w:pPr>
      <w:r w:rsidRPr="003B26CB">
        <w:rPr>
          <w:rFonts w:ascii="Arial" w:eastAsia="Arial" w:hAnsi="Arial" w:cs="Arial"/>
          <w:b/>
          <w:sz w:val="24"/>
          <w:szCs w:val="24"/>
        </w:rPr>
        <w:t xml:space="preserve">MODULE TITLE: </w:t>
      </w:r>
      <w:r w:rsidR="003B26CB" w:rsidRPr="003B26CB">
        <w:rPr>
          <w:rFonts w:ascii="Arial" w:eastAsia="Arial" w:hAnsi="Arial" w:cs="Arial"/>
          <w:sz w:val="24"/>
          <w:szCs w:val="24"/>
        </w:rPr>
        <w:t>Psychology in Health and Social Care</w:t>
      </w:r>
    </w:p>
    <w:p w:rsidR="00C50325" w:rsidRPr="003B26CB" w:rsidRDefault="003B26CB" w:rsidP="003B26CB">
      <w:pPr>
        <w:spacing w:before="100" w:line="360" w:lineRule="auto"/>
        <w:rPr>
          <w:rFonts w:ascii="Arial" w:hAnsi="Arial" w:cs="Arial"/>
          <w:sz w:val="24"/>
          <w:szCs w:val="24"/>
        </w:rPr>
      </w:pPr>
      <w:r w:rsidRPr="003B26CB">
        <w:rPr>
          <w:rFonts w:ascii="Arial" w:eastAsia="Arial" w:hAnsi="Arial" w:cs="Arial"/>
          <w:sz w:val="24"/>
          <w:szCs w:val="24"/>
        </w:rPr>
        <w:t xml:space="preserve"> </w:t>
      </w:r>
      <w:r w:rsidR="001818E2" w:rsidRPr="003B26CB">
        <w:rPr>
          <w:rFonts w:ascii="Arial" w:eastAsia="Arial" w:hAnsi="Arial" w:cs="Arial"/>
          <w:b/>
          <w:sz w:val="24"/>
          <w:szCs w:val="24"/>
        </w:rPr>
        <w:t xml:space="preserve">MODULE LEADER: </w:t>
      </w:r>
      <w:r w:rsidRPr="003B26CB">
        <w:rPr>
          <w:rFonts w:ascii="Arial" w:eastAsia="Arial" w:hAnsi="Arial" w:cs="Arial"/>
          <w:b/>
          <w:sz w:val="24"/>
          <w:szCs w:val="24"/>
        </w:rPr>
        <w:t>Neale Haddon</w:t>
      </w:r>
    </w:p>
    <w:p w:rsidR="001818E2" w:rsidRPr="003B26CB" w:rsidRDefault="001818E2" w:rsidP="003B26CB">
      <w:pPr>
        <w:spacing w:before="100" w:line="360" w:lineRule="auto"/>
        <w:rPr>
          <w:rFonts w:ascii="Arial" w:eastAsia="Arial" w:hAnsi="Arial" w:cs="Arial"/>
          <w:sz w:val="24"/>
          <w:szCs w:val="24"/>
        </w:rPr>
      </w:pPr>
      <w:r w:rsidRPr="003B26CB">
        <w:rPr>
          <w:rFonts w:ascii="Arial" w:eastAsia="Arial" w:hAnsi="Arial" w:cs="Arial"/>
          <w:b/>
          <w:sz w:val="24"/>
          <w:szCs w:val="24"/>
        </w:rPr>
        <w:t xml:space="preserve">DATE OF SUBMISSION: </w:t>
      </w:r>
      <w:r w:rsidR="003B26CB" w:rsidRPr="003B26CB">
        <w:rPr>
          <w:rFonts w:ascii="Arial" w:eastAsia="Arial" w:hAnsi="Arial" w:cs="Arial"/>
          <w:sz w:val="24"/>
          <w:szCs w:val="24"/>
        </w:rPr>
        <w:t>16/10</w:t>
      </w:r>
      <w:r w:rsidRPr="003B26CB">
        <w:rPr>
          <w:rFonts w:ascii="Arial" w:eastAsia="Arial" w:hAnsi="Arial" w:cs="Arial"/>
          <w:sz w:val="24"/>
          <w:szCs w:val="24"/>
        </w:rPr>
        <w:t>/2026</w:t>
      </w:r>
    </w:p>
    <w:p w:rsidR="00861443" w:rsidRPr="003B26CB" w:rsidRDefault="00861443" w:rsidP="003B26CB">
      <w:pPr>
        <w:spacing w:before="100" w:line="360" w:lineRule="auto"/>
        <w:rPr>
          <w:rFonts w:ascii="Arial" w:eastAsia="Arial" w:hAnsi="Arial" w:cs="Arial"/>
          <w:b/>
          <w:sz w:val="24"/>
          <w:szCs w:val="24"/>
        </w:rPr>
      </w:pPr>
    </w:p>
    <w:p w:rsidR="00861443" w:rsidRPr="003B26CB" w:rsidRDefault="00861443" w:rsidP="003B26CB">
      <w:pPr>
        <w:spacing w:before="100" w:line="360" w:lineRule="auto"/>
        <w:jc w:val="center"/>
        <w:rPr>
          <w:rFonts w:ascii="Arial" w:eastAsia="Arial" w:hAnsi="Arial" w:cs="Arial"/>
          <w:b/>
          <w:sz w:val="24"/>
          <w:szCs w:val="24"/>
        </w:rPr>
      </w:pPr>
    </w:p>
    <w:p w:rsidR="00861443" w:rsidRPr="003B26CB" w:rsidRDefault="00861443" w:rsidP="003B26CB">
      <w:pPr>
        <w:spacing w:before="100" w:line="360" w:lineRule="auto"/>
        <w:jc w:val="center"/>
        <w:rPr>
          <w:rFonts w:ascii="Arial" w:eastAsia="Arial" w:hAnsi="Arial" w:cs="Arial"/>
          <w:b/>
          <w:sz w:val="24"/>
          <w:szCs w:val="24"/>
        </w:rPr>
      </w:pPr>
    </w:p>
    <w:p w:rsidR="00C50325" w:rsidRPr="003B26CB" w:rsidRDefault="001818E2" w:rsidP="003B26CB">
      <w:pPr>
        <w:spacing w:before="100" w:line="360" w:lineRule="auto"/>
        <w:jc w:val="center"/>
        <w:rPr>
          <w:rFonts w:ascii="Arial" w:hAnsi="Arial" w:cs="Arial"/>
          <w:b/>
          <w:sz w:val="24"/>
          <w:szCs w:val="24"/>
        </w:rPr>
      </w:pPr>
      <w:r w:rsidRPr="003B26CB">
        <w:rPr>
          <w:rFonts w:ascii="Arial" w:eastAsia="Arial" w:hAnsi="Arial" w:cs="Arial"/>
          <w:b/>
          <w:sz w:val="24"/>
          <w:szCs w:val="24"/>
        </w:rPr>
        <w:t xml:space="preserve">TITLE: </w:t>
      </w:r>
      <w:r w:rsidR="003B26CB" w:rsidRPr="003B26CB">
        <w:rPr>
          <w:rFonts w:ascii="Arial" w:eastAsia="Arial" w:hAnsi="Arial" w:cs="Arial"/>
          <w:b/>
          <w:sz w:val="24"/>
          <w:szCs w:val="24"/>
        </w:rPr>
        <w:t>Supporting older adults with depression in care homes while applying Erikson’s Psychosocial Theory and Operant Conditioning</w:t>
      </w:r>
    </w:p>
    <w:p w:rsidR="00C50325" w:rsidRPr="003B26CB" w:rsidRDefault="004A2C0A" w:rsidP="003B26CB">
      <w:pPr>
        <w:spacing w:line="360" w:lineRule="auto"/>
        <w:rPr>
          <w:rFonts w:ascii="Arial" w:hAnsi="Arial" w:cs="Arial"/>
          <w:sz w:val="24"/>
          <w:szCs w:val="24"/>
        </w:rPr>
      </w:pPr>
      <w:r w:rsidRPr="003B26CB">
        <w:rPr>
          <w:rFonts w:ascii="Arial" w:hAnsi="Arial" w:cs="Arial"/>
          <w:sz w:val="24"/>
          <w:szCs w:val="24"/>
        </w:rPr>
        <w:br w:type="page"/>
      </w:r>
    </w:p>
    <w:p w:rsidR="003B26CB" w:rsidRPr="003B26CB" w:rsidRDefault="003B26CB" w:rsidP="003B26CB">
      <w:pPr>
        <w:spacing w:line="360" w:lineRule="auto"/>
        <w:rPr>
          <w:rFonts w:ascii="Arial" w:hAnsi="Arial" w:cs="Arial"/>
          <w:sz w:val="22"/>
          <w:szCs w:val="22"/>
        </w:rPr>
      </w:pPr>
      <w:r w:rsidRPr="003B26CB">
        <w:rPr>
          <w:rFonts w:ascii="Arial" w:eastAsia="Arial" w:hAnsi="Arial" w:cs="Arial"/>
          <w:b/>
          <w:bCs/>
          <w:sz w:val="22"/>
          <w:szCs w:val="22"/>
        </w:rPr>
        <w:lastRenderedPageBreak/>
        <w:t>1. Introduction</w:t>
      </w:r>
    </w:p>
    <w:p w:rsidR="003B26CB" w:rsidRPr="003B26CB" w:rsidRDefault="003B26CB" w:rsidP="003B26CB">
      <w:pPr>
        <w:keepNext/>
        <w:spacing w:before="200" w:after="80" w:line="360" w:lineRule="auto"/>
        <w:ind w:firstLine="720"/>
        <w:rPr>
          <w:rFonts w:ascii="Arial" w:hAnsi="Arial" w:cs="Arial"/>
          <w:sz w:val="22"/>
          <w:szCs w:val="22"/>
        </w:rPr>
      </w:pPr>
      <w:r w:rsidRPr="003B26CB">
        <w:rPr>
          <w:rFonts w:ascii="Arial" w:hAnsi="Arial" w:cs="Arial"/>
          <w:sz w:val="22"/>
          <w:szCs w:val="22"/>
        </w:rPr>
        <w:t>This report is written for health and social care professionals who support older adults (aged 65 and over) living in residential care homes. It concentrates on depression, which may manifest in later life as withdrawal, loss of interest, hopelessness, and changes in sleep or appetite, instead of sadness, and can be confused with normal ageing. A World Health Organisation meta-analysis estimated the prevalence of depression in older adults at 19.2% and that this was greater in nursing homes (Jalali et al., 2024). Moving into care often brings loss of home, independence and relationships, so staff need to understand why low mood develops. The report explains two theories from the module, Erikson’s psychosocial theory (Erikson, 1963) and operant conditioning (Skinner, 1953). It then evaluates how each can be applied, identifies challenges and suggests strategies.</w:t>
      </w:r>
    </w:p>
    <w:p w:rsidR="003B26CB" w:rsidRPr="003B26CB" w:rsidRDefault="003B26CB" w:rsidP="003B26CB">
      <w:pPr>
        <w:keepNext/>
        <w:spacing w:before="200" w:after="80" w:line="360" w:lineRule="auto"/>
        <w:rPr>
          <w:rFonts w:ascii="Arial" w:hAnsi="Arial" w:cs="Arial"/>
          <w:sz w:val="22"/>
          <w:szCs w:val="22"/>
        </w:rPr>
      </w:pPr>
      <w:r w:rsidRPr="003B26CB">
        <w:rPr>
          <w:rFonts w:ascii="Arial" w:eastAsia="Arial" w:hAnsi="Arial" w:cs="Arial"/>
          <w:b/>
          <w:bCs/>
          <w:sz w:val="22"/>
          <w:szCs w:val="22"/>
        </w:rPr>
        <w:t>2. Erikson’s psychosocial theory</w:t>
      </w:r>
    </w:p>
    <w:p w:rsidR="003B26CB" w:rsidRPr="003B26CB" w:rsidRDefault="003B26CB" w:rsidP="003B26CB">
      <w:pPr>
        <w:keepNext/>
        <w:spacing w:before="200" w:after="80" w:line="360" w:lineRule="auto"/>
        <w:ind w:firstLine="720"/>
        <w:rPr>
          <w:rFonts w:ascii="Arial" w:hAnsi="Arial" w:cs="Arial"/>
          <w:sz w:val="22"/>
          <w:szCs w:val="22"/>
        </w:rPr>
      </w:pPr>
      <w:r w:rsidRPr="003B26CB">
        <w:rPr>
          <w:rFonts w:ascii="Arial" w:hAnsi="Arial" w:cs="Arial"/>
          <w:sz w:val="22"/>
          <w:szCs w:val="22"/>
        </w:rPr>
        <w:t>Erikson (1963) proposed that people pass through eight stages, each with a psychosocial crisis. The crisis of integrity versus despair is the final one, starting from around 65 onwards. Those who accept their life as meaningful, including its mistakes, develop integrity, while those who feel regret, or feel it is too late to change, experience despair. In depression, it means that depressed mood can be due to past and current circumstances not being resolved. Admission to a care home can intensify this crisis because it prompts reflection on loss, ageing and death. There is a link, which has been supported by research. In their study, Cetinkol, Baştuğ and Özel Kızıl (2020) concluded that 100 adults aged 50 and above with depression had less positive attitude towards the past. In the same vein, Desmet et al. (2022) reported that the Integrity/Despair construct was able to account for the link between negative religious coping and depressive symptoms in geriatric patients.</w:t>
      </w:r>
    </w:p>
    <w:p w:rsidR="003B26CB" w:rsidRPr="003B26CB" w:rsidRDefault="003B26CB" w:rsidP="003B26CB">
      <w:pPr>
        <w:keepNext/>
        <w:spacing w:before="200" w:after="80" w:line="360" w:lineRule="auto"/>
        <w:ind w:firstLine="720"/>
        <w:rPr>
          <w:rFonts w:ascii="Arial" w:hAnsi="Arial" w:cs="Arial"/>
          <w:sz w:val="22"/>
          <w:szCs w:val="22"/>
        </w:rPr>
      </w:pPr>
      <w:r w:rsidRPr="003B26CB">
        <w:rPr>
          <w:rFonts w:ascii="Arial" w:hAnsi="Arial" w:cs="Arial"/>
          <w:sz w:val="22"/>
          <w:szCs w:val="22"/>
        </w:rPr>
        <w:t>The primary application is life review, when staff support the resident to tell and make sense of their life story. Lin et al. (2024) conducted a meta-analysis of RCTs in older adults with depression, which revealed a large effect of life review and reminiscence for depression. In practice, a key worker could hold weekly one-to-one sessions using photographs or a memory box to build a life story book, asking about achievements and how they coped with hardship. Activity coordinators could run group sessions on themes such as work and music. If a resident says sorry, staff should listen to and accept this, but not give them immediate reassurance, and refer residents if their distress escalates to the GP or mental health team.</w:t>
      </w:r>
    </w:p>
    <w:p w:rsidR="003B26CB" w:rsidRPr="003B26CB" w:rsidRDefault="003B26CB" w:rsidP="003B26CB">
      <w:pPr>
        <w:keepNext/>
        <w:spacing w:before="200" w:after="80" w:line="360" w:lineRule="auto"/>
        <w:ind w:firstLine="720"/>
        <w:rPr>
          <w:rFonts w:ascii="Arial" w:hAnsi="Arial" w:cs="Arial"/>
          <w:sz w:val="22"/>
          <w:szCs w:val="22"/>
        </w:rPr>
      </w:pPr>
      <w:r w:rsidRPr="003B26CB">
        <w:rPr>
          <w:rFonts w:ascii="Arial" w:hAnsi="Arial" w:cs="Arial"/>
          <w:sz w:val="22"/>
          <w:szCs w:val="22"/>
        </w:rPr>
        <w:t>There are some limitations with the evidence. Lin et al. (2024) concluded that long-term effects are unclear, so benefits may be short-lived. Gramaglia et al. (2021) examined non-pharmacological interventions in LTC, but focused on those without or mild cognitive impairment, meaning that the benefits of conducting life review may be less relevant for people with advanced dementia. Filip, Lukavská and Poláčková Šolcová (2020) found that ego integrity can be viewed as a product or as an entire process of integrating positive and negative events in life, and life-reviewing dialogue was found to be associated with greater well-being amongst the participants, with participants who expressed despair having lower levels of well-being. Erikson's theory, however, is descriptive and not how staff should intervene and life review is an application based on it, not one imposed by it. The phases are also general and may not be applicable to all cultures and some people may not want to deal with painful memories.</w:t>
      </w:r>
    </w:p>
    <w:p w:rsidR="003B26CB" w:rsidRPr="003B26CB" w:rsidRDefault="003B26CB" w:rsidP="003B26CB">
      <w:pPr>
        <w:keepNext/>
        <w:spacing w:before="200" w:after="80" w:line="360" w:lineRule="auto"/>
        <w:rPr>
          <w:rFonts w:ascii="Arial" w:hAnsi="Arial" w:cs="Arial"/>
          <w:sz w:val="22"/>
          <w:szCs w:val="22"/>
        </w:rPr>
      </w:pPr>
      <w:r w:rsidRPr="003B26CB">
        <w:rPr>
          <w:rFonts w:ascii="Arial" w:eastAsia="Arial" w:hAnsi="Arial" w:cs="Arial"/>
          <w:b/>
          <w:bCs/>
          <w:sz w:val="22"/>
          <w:szCs w:val="22"/>
        </w:rPr>
        <w:t>3. Operant conditioning</w:t>
      </w:r>
    </w:p>
    <w:p w:rsidR="003B26CB" w:rsidRPr="003B26CB" w:rsidRDefault="003B26CB" w:rsidP="003B26CB">
      <w:pPr>
        <w:keepNext/>
        <w:spacing w:before="200" w:after="80" w:line="360" w:lineRule="auto"/>
        <w:ind w:firstLine="720"/>
        <w:rPr>
          <w:rFonts w:ascii="Arial" w:hAnsi="Arial" w:cs="Arial"/>
          <w:sz w:val="22"/>
          <w:szCs w:val="22"/>
        </w:rPr>
      </w:pPr>
      <w:r w:rsidRPr="003B26CB">
        <w:rPr>
          <w:rFonts w:ascii="Arial" w:hAnsi="Arial" w:cs="Arial"/>
          <w:sz w:val="22"/>
          <w:szCs w:val="22"/>
        </w:rPr>
        <w:t>Operant conditioning is a learning theory and not a stage theory but it is applicable to later life because behaviour is still influenced by the environment. Skinner (1953) stated that behaviour is determined by its consequences. If the behaviour is followed by something that is rewarding, then the behaviour is more likely to be repeated (positive reinforcement) and if the behaviour is followed by something that is unpleasant, then the behaviour is less likely to be repeated (negative reinforcement). When the reinforcement is no longer given, the behaviour gradually fades, this is called extinction. This view can maintain the depression when rewarding activities are reduced and inactivity persists, as the withdrawal is likely to entail fewer positive experiences and may even be accompanied by relief from exertion or discomfort. Baltes and Wahl (1992) identified a dependency-support script that occurs in institutions; staff attune to residents' dependency behaviors and ignore their independent behaviors, so residents learn helpless behaviors are reinforced.</w:t>
      </w:r>
    </w:p>
    <w:p w:rsidR="003B26CB" w:rsidRPr="003B26CB" w:rsidRDefault="003B26CB" w:rsidP="003B26CB">
      <w:pPr>
        <w:keepNext/>
        <w:spacing w:before="200" w:after="80" w:line="360" w:lineRule="auto"/>
        <w:ind w:firstLine="720"/>
        <w:rPr>
          <w:rFonts w:ascii="Arial" w:hAnsi="Arial" w:cs="Arial"/>
          <w:sz w:val="22"/>
          <w:szCs w:val="22"/>
        </w:rPr>
      </w:pPr>
      <w:r w:rsidRPr="003B26CB">
        <w:rPr>
          <w:rFonts w:ascii="Arial" w:hAnsi="Arial" w:cs="Arial"/>
          <w:sz w:val="22"/>
          <w:szCs w:val="22"/>
        </w:rPr>
        <w:t>Behavioural activation (BA) applies these principles by helping residents plan and take part in meaningful activities. The National Institute for Health and Care Excellence (NICE, 2022) lists individual and group BA among recommended treatment options for depression in adults, although the guideline is not specific to care homes. In reality, a key worker may agree a simple plan with a person living in the house, e.g. to look after the plants or to attend a music group once a week. Staff would be warm towards the resident immediately after participation, thus overcoming the dependency-support script. Almeida et al. (2022) conducted a cluster randomised trial in 54 aged care facilities (ACFs) in Australia delivering BA for 8–12 weeks via a structured workbook.</w:t>
      </w:r>
    </w:p>
    <w:p w:rsidR="003B26CB" w:rsidRPr="003B26CB" w:rsidRDefault="003B26CB" w:rsidP="003B26CB">
      <w:pPr>
        <w:keepNext/>
        <w:spacing w:before="200" w:after="80" w:line="360" w:lineRule="auto"/>
        <w:ind w:firstLine="720"/>
        <w:rPr>
          <w:rFonts w:ascii="Arial" w:hAnsi="Arial" w:cs="Arial"/>
          <w:sz w:val="22"/>
          <w:szCs w:val="22"/>
        </w:rPr>
      </w:pPr>
      <w:r w:rsidRPr="003B26CB">
        <w:rPr>
          <w:rFonts w:ascii="Arial" w:hAnsi="Arial" w:cs="Arial"/>
          <w:sz w:val="22"/>
          <w:szCs w:val="22"/>
        </w:rPr>
        <w:t>However, Almeida et al. (2022) found no statistically significant differences between groups at any time point, which suggests BA may be harder to deliver effectively in routine care home conditions. BA also resembles Activity theory (Havighurst, 1961), but some older people may be content with a reduced social life, so plans should follow each resident’s preferences. In addition, operant conditioning focuses on observable behaviour and gives little weight to thoughts and emotions, which cognitive explanations of depression emphasise, so it may overlook the personal meaning of loss. Respectful praise, and praising without coming across as child-like, should also be considered to maintain the dignity and autonomy of residents.</w:t>
      </w:r>
    </w:p>
    <w:p w:rsidR="003B26CB" w:rsidRPr="003B26CB" w:rsidRDefault="003B26CB" w:rsidP="003B26CB">
      <w:pPr>
        <w:keepNext/>
        <w:spacing w:before="200" w:after="80" w:line="360" w:lineRule="auto"/>
        <w:rPr>
          <w:rFonts w:ascii="Arial" w:hAnsi="Arial" w:cs="Arial"/>
          <w:sz w:val="22"/>
          <w:szCs w:val="22"/>
        </w:rPr>
      </w:pPr>
      <w:r w:rsidRPr="003B26CB">
        <w:rPr>
          <w:rFonts w:ascii="Arial" w:eastAsia="Arial" w:hAnsi="Arial" w:cs="Arial"/>
          <w:b/>
          <w:bCs/>
          <w:sz w:val="22"/>
          <w:szCs w:val="22"/>
        </w:rPr>
        <w:t>4. Comparing and combining the theories</w:t>
      </w:r>
    </w:p>
    <w:p w:rsidR="003B26CB" w:rsidRPr="003B26CB" w:rsidRDefault="003B26CB" w:rsidP="003B26CB">
      <w:pPr>
        <w:keepNext/>
        <w:spacing w:before="200" w:after="80" w:line="360" w:lineRule="auto"/>
        <w:ind w:firstLine="720"/>
        <w:rPr>
          <w:rFonts w:ascii="Arial" w:hAnsi="Arial" w:cs="Arial"/>
          <w:sz w:val="22"/>
          <w:szCs w:val="22"/>
        </w:rPr>
      </w:pPr>
      <w:r w:rsidRPr="003B26CB">
        <w:rPr>
          <w:rFonts w:ascii="Arial" w:hAnsi="Arial" w:cs="Arial"/>
          <w:sz w:val="22"/>
          <w:szCs w:val="22"/>
        </w:rPr>
        <w:t>Theories are mutually supportive and complementary. Erikson provides insight into why a resident might experience despair, highlighting the importance of meaning, regret and acceptance. Operant conditioning provides an explanation of what maintains low activity and how the environment can change. This might benefit a resident who has withdrawn after admission to both of these: life review to explore loss and regret, and a structured activity plan supported by staff. These are both uncertain and have unclear long-term effects (Lin et al., 2024) and no significant trial effect (Almeida et al., 2022), and should be used in conjunction with, rather than in place of, professional assessment. Life review relies on reflection and communication, which may work well for people who have good cognitive function; and BA is less dependent on verbal reflection and could be practical for people with cognitive issues, but this must be tested.</w:t>
      </w:r>
    </w:p>
    <w:p w:rsidR="003B26CB" w:rsidRPr="003B26CB" w:rsidRDefault="003B26CB" w:rsidP="003B26CB">
      <w:pPr>
        <w:keepNext/>
        <w:spacing w:before="200" w:after="80" w:line="360" w:lineRule="auto"/>
        <w:rPr>
          <w:rFonts w:ascii="Arial" w:hAnsi="Arial" w:cs="Arial"/>
          <w:sz w:val="22"/>
          <w:szCs w:val="22"/>
        </w:rPr>
      </w:pPr>
      <w:r w:rsidRPr="003B26CB">
        <w:rPr>
          <w:rFonts w:ascii="Arial" w:eastAsia="Arial" w:hAnsi="Arial" w:cs="Arial"/>
          <w:b/>
          <w:bCs/>
          <w:sz w:val="22"/>
          <w:szCs w:val="22"/>
        </w:rPr>
        <w:t>5. Challenges and strategies</w:t>
      </w:r>
    </w:p>
    <w:p w:rsidR="003B26CB" w:rsidRPr="003B26CB" w:rsidRDefault="003B26CB" w:rsidP="003B26CB">
      <w:pPr>
        <w:keepNext/>
        <w:spacing w:before="200" w:after="80" w:line="360" w:lineRule="auto"/>
        <w:ind w:firstLine="720"/>
        <w:rPr>
          <w:rFonts w:ascii="Arial" w:hAnsi="Arial" w:cs="Arial"/>
          <w:sz w:val="22"/>
          <w:szCs w:val="22"/>
        </w:rPr>
      </w:pPr>
      <w:r w:rsidRPr="003B26CB">
        <w:rPr>
          <w:rFonts w:ascii="Arial" w:hAnsi="Arial" w:cs="Arial"/>
          <w:sz w:val="22"/>
          <w:szCs w:val="22"/>
        </w:rPr>
        <w:t>Azulai and Hall (2020) identified six barriers to recognising depression in residential care: insufficient knowledge and training, misconceived beliefs, limited resources, unclear assessment protocols, organisational culture and communication difficulties. These also have an impact on the application of the theories.</w:t>
      </w:r>
    </w:p>
    <w:p w:rsidR="003B26CB" w:rsidRPr="003B26CB" w:rsidRDefault="003B26CB" w:rsidP="003B26CB">
      <w:pPr>
        <w:keepNext/>
        <w:spacing w:before="200" w:after="80" w:line="360" w:lineRule="auto"/>
        <w:ind w:firstLine="720"/>
        <w:rPr>
          <w:rFonts w:ascii="Arial" w:hAnsi="Arial" w:cs="Arial"/>
          <w:sz w:val="22"/>
          <w:szCs w:val="22"/>
        </w:rPr>
      </w:pPr>
      <w:r w:rsidRPr="003B26CB">
        <w:rPr>
          <w:rFonts w:ascii="Arial" w:hAnsi="Arial" w:cs="Arial"/>
          <w:sz w:val="22"/>
          <w:szCs w:val="22"/>
        </w:rPr>
        <w:t>The first difficulty is the barrier of knowledge and beliefs. Staff may see low mood as a normal part of ageing, so a withdrawn resident is never offered either approach. They should also differentiate between choice and withdrawal, as older individuals may intentionally maintain a few relationships (Carstensen et al., 1999) while someone who no longer enjoys the quality of contact may be suffering from depression. Depression awareness training for all staff, including care assistants, can help. Unclear protocols and communication would be addressed if regular screening with a validated tool such as the PHQ-9 (Almeida et al. 2022) was carried out with a clear pathway to the GP or mental health team and all outcomes shared on handovers.</w:t>
      </w:r>
    </w:p>
    <w:p w:rsidR="003B26CB" w:rsidRPr="003B26CB" w:rsidRDefault="003B26CB" w:rsidP="003B26CB">
      <w:pPr>
        <w:keepNext/>
        <w:spacing w:before="200" w:after="80" w:line="360" w:lineRule="auto"/>
        <w:ind w:firstLine="720"/>
        <w:rPr>
          <w:rFonts w:ascii="Arial" w:hAnsi="Arial" w:cs="Arial"/>
          <w:sz w:val="22"/>
          <w:szCs w:val="22"/>
        </w:rPr>
      </w:pPr>
      <w:r w:rsidRPr="003B26CB">
        <w:rPr>
          <w:rFonts w:ascii="Arial" w:hAnsi="Arial" w:cs="Arial"/>
          <w:sz w:val="22"/>
          <w:szCs w:val="22"/>
        </w:rPr>
        <w:t>The second challenge is time and resources for doing the work. Fisher et al. (2025) found that lack of staff time and lack of perceived management support were barriers to implementing reminiscence and cognitive stimulation therapy in care homes, while resources, adaptable activities and staff training were facilitators. That review was about dementia, but there are likely to be similar barriers here. Short activities can be built into routines such as personal care or mealtimes, and group sessions can be used, which NICE (2022) also includes for BA.</w:t>
      </w:r>
    </w:p>
    <w:p w:rsidR="003B26CB" w:rsidRPr="003B26CB" w:rsidRDefault="003B26CB" w:rsidP="003B26CB">
      <w:pPr>
        <w:keepNext/>
        <w:spacing w:before="200" w:after="80" w:line="360" w:lineRule="auto"/>
        <w:ind w:firstLine="720"/>
        <w:rPr>
          <w:rFonts w:ascii="Arial" w:hAnsi="Arial" w:cs="Arial"/>
          <w:sz w:val="22"/>
          <w:szCs w:val="22"/>
        </w:rPr>
      </w:pPr>
      <w:r w:rsidRPr="003B26CB">
        <w:rPr>
          <w:rFonts w:ascii="Arial" w:hAnsi="Arial" w:cs="Arial"/>
          <w:sz w:val="22"/>
          <w:szCs w:val="22"/>
        </w:rPr>
        <w:t>The third challenge is attitudes and values of the organisation. The dependency-support script may persist because doing tasks for residents is quicker (Baltes and Wahl, 1992). Management support, reflective practice and recognising staff who encourage independence can help to change this, and reflective supervision can also support staff who find it distressing to hear residents’ regrets. Finally, residents may decline, become upset or have memory difficulties, so staff should obtain consent, go at the resident’s pace, respect refusal and adapt activities, for example with music or photographs.</w:t>
      </w:r>
    </w:p>
    <w:p w:rsidR="003B26CB" w:rsidRPr="003B26CB" w:rsidRDefault="003B26CB" w:rsidP="003B26CB">
      <w:pPr>
        <w:keepNext/>
        <w:spacing w:before="200" w:after="80" w:line="360" w:lineRule="auto"/>
        <w:rPr>
          <w:rFonts w:ascii="Arial" w:hAnsi="Arial" w:cs="Arial"/>
          <w:sz w:val="22"/>
          <w:szCs w:val="22"/>
        </w:rPr>
      </w:pPr>
      <w:r w:rsidRPr="003B26CB">
        <w:rPr>
          <w:rFonts w:ascii="Arial" w:eastAsia="Arial" w:hAnsi="Arial" w:cs="Arial"/>
          <w:b/>
          <w:bCs/>
          <w:sz w:val="22"/>
          <w:szCs w:val="22"/>
        </w:rPr>
        <w:t>6. Conclusion</w:t>
      </w:r>
    </w:p>
    <w:p w:rsidR="003B26CB" w:rsidRPr="003B26CB" w:rsidRDefault="003B26CB" w:rsidP="003B26CB">
      <w:pPr>
        <w:keepNext/>
        <w:spacing w:before="300" w:after="80" w:line="360" w:lineRule="auto"/>
        <w:ind w:firstLine="720"/>
        <w:rPr>
          <w:rFonts w:ascii="Arial" w:hAnsi="Arial" w:cs="Arial"/>
          <w:sz w:val="22"/>
          <w:szCs w:val="22"/>
        </w:rPr>
      </w:pPr>
      <w:r w:rsidRPr="003B26CB">
        <w:rPr>
          <w:rFonts w:ascii="Arial" w:hAnsi="Arial" w:cs="Arial"/>
          <w:sz w:val="22"/>
          <w:szCs w:val="22"/>
        </w:rPr>
        <w:t>Depression is common in care homes and often under-recognised. Erikson's theory assists staff in comprehending the significance of low mood and operant conditioning illustrates how day to day care may strengthen helplessness or foster participation. Evidence for life review and behavioural activation is encouraging but less robust, and professionals should use both interventions judiciously and skillfully, with training, protocols and frequent review.</w:t>
      </w:r>
    </w:p>
    <w:p w:rsidR="003B26CB" w:rsidRPr="003B26CB" w:rsidRDefault="003B26CB" w:rsidP="003B26CB">
      <w:pPr>
        <w:keepNext/>
        <w:spacing w:before="300" w:after="80" w:line="360" w:lineRule="auto"/>
        <w:rPr>
          <w:rFonts w:ascii="Arial" w:hAnsi="Arial" w:cs="Arial"/>
          <w:sz w:val="22"/>
          <w:szCs w:val="22"/>
        </w:rPr>
      </w:pPr>
      <w:r w:rsidRPr="003B26CB">
        <w:rPr>
          <w:rFonts w:ascii="Arial" w:eastAsia="Arial" w:hAnsi="Arial" w:cs="Arial"/>
          <w:b/>
          <w:bCs/>
          <w:sz w:val="22"/>
          <w:szCs w:val="22"/>
        </w:rPr>
        <w:t>References</w:t>
      </w:r>
      <w:bookmarkStart w:id="0" w:name="_GoBack"/>
      <w:bookmarkEnd w:id="0"/>
    </w:p>
    <w:p w:rsidR="003B26CB" w:rsidRPr="003B26CB" w:rsidRDefault="003B26CB" w:rsidP="003B26CB">
      <w:pPr>
        <w:spacing w:after="120" w:line="360" w:lineRule="auto"/>
        <w:ind w:left="720" w:hanging="720"/>
        <w:rPr>
          <w:rFonts w:ascii="Arial" w:hAnsi="Arial" w:cs="Arial"/>
          <w:color w:val="222222"/>
          <w:sz w:val="22"/>
          <w:szCs w:val="22"/>
          <w:shd w:val="clear" w:color="auto" w:fill="FFFFFF"/>
        </w:rPr>
      </w:pPr>
      <w:r w:rsidRPr="003B26CB">
        <w:rPr>
          <w:rFonts w:ascii="Arial" w:hAnsi="Arial" w:cs="Arial"/>
          <w:color w:val="222222"/>
          <w:sz w:val="22"/>
          <w:szCs w:val="22"/>
          <w:shd w:val="clear" w:color="auto" w:fill="FFFFFF"/>
        </w:rPr>
        <w:t xml:space="preserve">Almeida, O.P., Patel, H., Velasquez, D., Kelly, R., Lai, R., Ford, A.H., Curran, E., Flicker, L., Chong, T.W., Etherton-Beer, C. and LoGiudice, D., 2022. Behavioral activation in nursing homes to treat depression (BAN-Dep): results from a clustered, randomized, single-blinded, controlled clinical trial. </w:t>
      </w:r>
      <w:r w:rsidRPr="003B26CB">
        <w:rPr>
          <w:rFonts w:ascii="Arial" w:hAnsi="Arial" w:cs="Arial"/>
          <w:i/>
          <w:iCs/>
          <w:color w:val="222222"/>
          <w:sz w:val="22"/>
          <w:szCs w:val="22"/>
          <w:shd w:val="clear" w:color="auto" w:fill="FFFFFF"/>
        </w:rPr>
        <w:t>The American Journal of Geriatric Psychiatry</w:t>
      </w:r>
      <w:r w:rsidRPr="003B26CB">
        <w:rPr>
          <w:rFonts w:ascii="Arial" w:hAnsi="Arial" w:cs="Arial"/>
          <w:color w:val="222222"/>
          <w:sz w:val="22"/>
          <w:szCs w:val="22"/>
          <w:shd w:val="clear" w:color="auto" w:fill="FFFFFF"/>
        </w:rPr>
        <w:t xml:space="preserve">, </w:t>
      </w:r>
      <w:r w:rsidRPr="003B26CB">
        <w:rPr>
          <w:rFonts w:ascii="Arial" w:hAnsi="Arial" w:cs="Arial"/>
          <w:i/>
          <w:iCs/>
          <w:color w:val="222222"/>
          <w:sz w:val="22"/>
          <w:szCs w:val="22"/>
          <w:shd w:val="clear" w:color="auto" w:fill="FFFFFF"/>
        </w:rPr>
        <w:t>30</w:t>
      </w:r>
      <w:r w:rsidRPr="003B26CB">
        <w:rPr>
          <w:rFonts w:ascii="Arial" w:hAnsi="Arial" w:cs="Arial"/>
          <w:color w:val="222222"/>
          <w:sz w:val="22"/>
          <w:szCs w:val="22"/>
          <w:shd w:val="clear" w:color="auto" w:fill="FFFFFF"/>
        </w:rPr>
        <w:t>(12), pp.1313-1323.</w:t>
      </w:r>
    </w:p>
    <w:p w:rsidR="003B26CB" w:rsidRPr="003B26CB" w:rsidRDefault="003B26CB" w:rsidP="003B26CB">
      <w:pPr>
        <w:spacing w:after="120" w:line="360" w:lineRule="auto"/>
        <w:ind w:left="720" w:hanging="720"/>
        <w:rPr>
          <w:rFonts w:ascii="Arial" w:hAnsi="Arial" w:cs="Arial"/>
          <w:color w:val="222222"/>
          <w:sz w:val="22"/>
          <w:szCs w:val="22"/>
          <w:shd w:val="clear" w:color="auto" w:fill="FFFFFF"/>
        </w:rPr>
      </w:pPr>
      <w:r w:rsidRPr="003B26CB">
        <w:rPr>
          <w:rFonts w:ascii="Arial" w:hAnsi="Arial" w:cs="Arial"/>
          <w:color w:val="222222"/>
          <w:sz w:val="22"/>
          <w:szCs w:val="22"/>
          <w:shd w:val="clear" w:color="auto" w:fill="FFFFFF"/>
        </w:rPr>
        <w:t xml:space="preserve">Azulai, A. and Hall, B.L., 2020. Barriers to the recognition of geriatric depression in residential care facilities in Alberta. </w:t>
      </w:r>
      <w:r w:rsidRPr="003B26CB">
        <w:rPr>
          <w:rFonts w:ascii="Arial" w:hAnsi="Arial" w:cs="Arial"/>
          <w:i/>
          <w:iCs/>
          <w:color w:val="222222"/>
          <w:sz w:val="22"/>
          <w:szCs w:val="22"/>
          <w:shd w:val="clear" w:color="auto" w:fill="FFFFFF"/>
        </w:rPr>
        <w:t>Issues in mental health nursing</w:t>
      </w:r>
      <w:r w:rsidRPr="003B26CB">
        <w:rPr>
          <w:rFonts w:ascii="Arial" w:hAnsi="Arial" w:cs="Arial"/>
          <w:color w:val="222222"/>
          <w:sz w:val="22"/>
          <w:szCs w:val="22"/>
          <w:shd w:val="clear" w:color="auto" w:fill="FFFFFF"/>
        </w:rPr>
        <w:t xml:space="preserve">, </w:t>
      </w:r>
      <w:r w:rsidRPr="003B26CB">
        <w:rPr>
          <w:rFonts w:ascii="Arial" w:hAnsi="Arial" w:cs="Arial"/>
          <w:i/>
          <w:iCs/>
          <w:color w:val="222222"/>
          <w:sz w:val="22"/>
          <w:szCs w:val="22"/>
          <w:shd w:val="clear" w:color="auto" w:fill="FFFFFF"/>
        </w:rPr>
        <w:t>41</w:t>
      </w:r>
      <w:r w:rsidRPr="003B26CB">
        <w:rPr>
          <w:rFonts w:ascii="Arial" w:hAnsi="Arial" w:cs="Arial"/>
          <w:color w:val="222222"/>
          <w:sz w:val="22"/>
          <w:szCs w:val="22"/>
          <w:shd w:val="clear" w:color="auto" w:fill="FFFFFF"/>
        </w:rPr>
        <w:t>(10), pp.887-898.</w:t>
      </w:r>
    </w:p>
    <w:p w:rsidR="003B26CB" w:rsidRPr="003B26CB" w:rsidRDefault="003B26CB" w:rsidP="003B26CB">
      <w:pPr>
        <w:spacing w:after="120" w:line="360" w:lineRule="auto"/>
        <w:ind w:left="720" w:hanging="720"/>
        <w:rPr>
          <w:rFonts w:ascii="Arial" w:hAnsi="Arial" w:cs="Arial"/>
          <w:color w:val="222222"/>
          <w:sz w:val="22"/>
          <w:szCs w:val="22"/>
          <w:shd w:val="clear" w:color="auto" w:fill="FFFFFF"/>
        </w:rPr>
      </w:pPr>
      <w:r w:rsidRPr="003B26CB">
        <w:rPr>
          <w:rFonts w:ascii="Arial" w:hAnsi="Arial" w:cs="Arial"/>
          <w:color w:val="222222"/>
          <w:sz w:val="22"/>
          <w:szCs w:val="22"/>
          <w:shd w:val="clear" w:color="auto" w:fill="FFFFFF"/>
        </w:rPr>
        <w:t xml:space="preserve">Baltes, M.M. and Wahl, H.W., 1992. The dependency-support script in institutions: Generalization to community settings. </w:t>
      </w:r>
      <w:r w:rsidRPr="003B26CB">
        <w:rPr>
          <w:rFonts w:ascii="Arial" w:hAnsi="Arial" w:cs="Arial"/>
          <w:i/>
          <w:iCs/>
          <w:color w:val="222222"/>
          <w:sz w:val="22"/>
          <w:szCs w:val="22"/>
          <w:shd w:val="clear" w:color="auto" w:fill="FFFFFF"/>
        </w:rPr>
        <w:t>Psychology and Aging</w:t>
      </w:r>
      <w:r w:rsidRPr="003B26CB">
        <w:rPr>
          <w:rFonts w:ascii="Arial" w:hAnsi="Arial" w:cs="Arial"/>
          <w:color w:val="222222"/>
          <w:sz w:val="22"/>
          <w:szCs w:val="22"/>
          <w:shd w:val="clear" w:color="auto" w:fill="FFFFFF"/>
        </w:rPr>
        <w:t xml:space="preserve">, </w:t>
      </w:r>
      <w:r w:rsidRPr="003B26CB">
        <w:rPr>
          <w:rFonts w:ascii="Arial" w:hAnsi="Arial" w:cs="Arial"/>
          <w:i/>
          <w:iCs/>
          <w:color w:val="222222"/>
          <w:sz w:val="22"/>
          <w:szCs w:val="22"/>
          <w:shd w:val="clear" w:color="auto" w:fill="FFFFFF"/>
        </w:rPr>
        <w:t>7</w:t>
      </w:r>
      <w:r w:rsidRPr="003B26CB">
        <w:rPr>
          <w:rFonts w:ascii="Arial" w:hAnsi="Arial" w:cs="Arial"/>
          <w:color w:val="222222"/>
          <w:sz w:val="22"/>
          <w:szCs w:val="22"/>
          <w:shd w:val="clear" w:color="auto" w:fill="FFFFFF"/>
        </w:rPr>
        <w:t>(3), p.409.</w:t>
      </w:r>
    </w:p>
    <w:p w:rsidR="003B26CB" w:rsidRPr="003B26CB" w:rsidRDefault="003B26CB" w:rsidP="003B26CB">
      <w:pPr>
        <w:spacing w:after="120" w:line="360" w:lineRule="auto"/>
        <w:ind w:left="720" w:hanging="720"/>
        <w:rPr>
          <w:rFonts w:ascii="Arial" w:hAnsi="Arial" w:cs="Arial"/>
          <w:color w:val="222222"/>
          <w:sz w:val="22"/>
          <w:szCs w:val="22"/>
          <w:shd w:val="clear" w:color="auto" w:fill="FFFFFF"/>
        </w:rPr>
      </w:pPr>
      <w:r w:rsidRPr="003B26CB">
        <w:rPr>
          <w:rFonts w:ascii="Arial" w:hAnsi="Arial" w:cs="Arial"/>
          <w:color w:val="222222"/>
          <w:sz w:val="22"/>
          <w:szCs w:val="22"/>
          <w:shd w:val="clear" w:color="auto" w:fill="FFFFFF"/>
        </w:rPr>
        <w:t xml:space="preserve">Carstensen, L.L., Isaacowitz, D.M. and Charles, S.T., 1999. Taking time seriously: A theory of socioemotional selectivity. </w:t>
      </w:r>
      <w:r w:rsidRPr="003B26CB">
        <w:rPr>
          <w:rFonts w:ascii="Arial" w:hAnsi="Arial" w:cs="Arial"/>
          <w:i/>
          <w:iCs/>
          <w:color w:val="222222"/>
          <w:sz w:val="22"/>
          <w:szCs w:val="22"/>
          <w:shd w:val="clear" w:color="auto" w:fill="FFFFFF"/>
        </w:rPr>
        <w:t>American psychologist</w:t>
      </w:r>
      <w:r w:rsidRPr="003B26CB">
        <w:rPr>
          <w:rFonts w:ascii="Arial" w:hAnsi="Arial" w:cs="Arial"/>
          <w:color w:val="222222"/>
          <w:sz w:val="22"/>
          <w:szCs w:val="22"/>
          <w:shd w:val="clear" w:color="auto" w:fill="FFFFFF"/>
        </w:rPr>
        <w:t xml:space="preserve">, </w:t>
      </w:r>
      <w:r w:rsidRPr="003B26CB">
        <w:rPr>
          <w:rFonts w:ascii="Arial" w:hAnsi="Arial" w:cs="Arial"/>
          <w:i/>
          <w:iCs/>
          <w:color w:val="222222"/>
          <w:sz w:val="22"/>
          <w:szCs w:val="22"/>
          <w:shd w:val="clear" w:color="auto" w:fill="FFFFFF"/>
        </w:rPr>
        <w:t>54</w:t>
      </w:r>
      <w:r w:rsidRPr="003B26CB">
        <w:rPr>
          <w:rFonts w:ascii="Arial" w:hAnsi="Arial" w:cs="Arial"/>
          <w:color w:val="222222"/>
          <w:sz w:val="22"/>
          <w:szCs w:val="22"/>
          <w:shd w:val="clear" w:color="auto" w:fill="FFFFFF"/>
        </w:rPr>
        <w:t>(3), p.165.</w:t>
      </w:r>
    </w:p>
    <w:p w:rsidR="003B26CB" w:rsidRPr="003B26CB" w:rsidRDefault="003B26CB" w:rsidP="003B26CB">
      <w:pPr>
        <w:spacing w:after="120" w:line="360" w:lineRule="auto"/>
        <w:ind w:left="720" w:hanging="720"/>
        <w:rPr>
          <w:rFonts w:ascii="Arial" w:hAnsi="Arial" w:cs="Arial"/>
          <w:color w:val="222222"/>
          <w:sz w:val="22"/>
          <w:szCs w:val="22"/>
          <w:shd w:val="clear" w:color="auto" w:fill="FFFFFF"/>
        </w:rPr>
      </w:pPr>
      <w:r w:rsidRPr="003B26CB">
        <w:rPr>
          <w:rFonts w:ascii="Arial" w:hAnsi="Arial" w:cs="Arial"/>
          <w:color w:val="222222"/>
          <w:sz w:val="22"/>
          <w:szCs w:val="22"/>
          <w:shd w:val="clear" w:color="auto" w:fill="FFFFFF"/>
        </w:rPr>
        <w:t xml:space="preserve">Cetinkol, G., Bastug, G. and Ozel Kizil, E.T., 2020. Poor acceptance of the past is related to depressive symptoms in older adults. </w:t>
      </w:r>
      <w:r w:rsidRPr="003B26CB">
        <w:rPr>
          <w:rFonts w:ascii="Arial" w:hAnsi="Arial" w:cs="Arial"/>
          <w:i/>
          <w:iCs/>
          <w:color w:val="222222"/>
          <w:sz w:val="22"/>
          <w:szCs w:val="22"/>
          <w:shd w:val="clear" w:color="auto" w:fill="FFFFFF"/>
        </w:rPr>
        <w:t>GeroPsych: The Journal of Gerontopsychology and Geriatric Psychiatry</w:t>
      </w:r>
      <w:r w:rsidRPr="003B26CB">
        <w:rPr>
          <w:rFonts w:ascii="Arial" w:hAnsi="Arial" w:cs="Arial"/>
          <w:color w:val="222222"/>
          <w:sz w:val="22"/>
          <w:szCs w:val="22"/>
          <w:shd w:val="clear" w:color="auto" w:fill="FFFFFF"/>
        </w:rPr>
        <w:t xml:space="preserve">, </w:t>
      </w:r>
      <w:r w:rsidRPr="003B26CB">
        <w:rPr>
          <w:rFonts w:ascii="Arial" w:hAnsi="Arial" w:cs="Arial"/>
          <w:i/>
          <w:iCs/>
          <w:color w:val="222222"/>
          <w:sz w:val="22"/>
          <w:szCs w:val="22"/>
          <w:shd w:val="clear" w:color="auto" w:fill="FFFFFF"/>
        </w:rPr>
        <w:t>33</w:t>
      </w:r>
      <w:r w:rsidRPr="003B26CB">
        <w:rPr>
          <w:rFonts w:ascii="Arial" w:hAnsi="Arial" w:cs="Arial"/>
          <w:color w:val="222222"/>
          <w:sz w:val="22"/>
          <w:szCs w:val="22"/>
          <w:shd w:val="clear" w:color="auto" w:fill="FFFFFF"/>
        </w:rPr>
        <w:t>(4), p.246.</w:t>
      </w:r>
    </w:p>
    <w:p w:rsidR="003B26CB" w:rsidRPr="003B26CB" w:rsidRDefault="003B26CB" w:rsidP="003B26CB">
      <w:pPr>
        <w:spacing w:after="120" w:line="360" w:lineRule="auto"/>
        <w:ind w:left="720" w:hanging="720"/>
        <w:rPr>
          <w:rFonts w:ascii="Arial" w:hAnsi="Arial" w:cs="Arial"/>
          <w:color w:val="222222"/>
          <w:sz w:val="22"/>
          <w:szCs w:val="22"/>
          <w:shd w:val="clear" w:color="auto" w:fill="FFFFFF"/>
        </w:rPr>
      </w:pPr>
      <w:r w:rsidRPr="003B26CB">
        <w:rPr>
          <w:rFonts w:ascii="Arial" w:hAnsi="Arial" w:cs="Arial"/>
          <w:color w:val="222222"/>
          <w:sz w:val="22"/>
          <w:szCs w:val="22"/>
          <w:shd w:val="clear" w:color="auto" w:fill="FFFFFF"/>
        </w:rPr>
        <w:t xml:space="preserve">Desmet, L., Dezutter, J., Vandenhoeck, A. and Dillen, A., 2022. Religious coping styles and depressive symptoms in geriatric patients: Understanding the relationship through experiences of integrity and despair. </w:t>
      </w:r>
      <w:r w:rsidRPr="003B26CB">
        <w:rPr>
          <w:rFonts w:ascii="Arial" w:hAnsi="Arial" w:cs="Arial"/>
          <w:i/>
          <w:iCs/>
          <w:color w:val="222222"/>
          <w:sz w:val="22"/>
          <w:szCs w:val="22"/>
          <w:shd w:val="clear" w:color="auto" w:fill="FFFFFF"/>
        </w:rPr>
        <w:t>International journal of environmental research and public health</w:t>
      </w:r>
      <w:r w:rsidRPr="003B26CB">
        <w:rPr>
          <w:rFonts w:ascii="Arial" w:hAnsi="Arial" w:cs="Arial"/>
          <w:color w:val="222222"/>
          <w:sz w:val="22"/>
          <w:szCs w:val="22"/>
          <w:shd w:val="clear" w:color="auto" w:fill="FFFFFF"/>
        </w:rPr>
        <w:t xml:space="preserve">, </w:t>
      </w:r>
      <w:r w:rsidRPr="003B26CB">
        <w:rPr>
          <w:rFonts w:ascii="Arial" w:hAnsi="Arial" w:cs="Arial"/>
          <w:i/>
          <w:iCs/>
          <w:color w:val="222222"/>
          <w:sz w:val="22"/>
          <w:szCs w:val="22"/>
          <w:shd w:val="clear" w:color="auto" w:fill="FFFFFF"/>
        </w:rPr>
        <w:t>19</w:t>
      </w:r>
      <w:r w:rsidRPr="003B26CB">
        <w:rPr>
          <w:rFonts w:ascii="Arial" w:hAnsi="Arial" w:cs="Arial"/>
          <w:color w:val="222222"/>
          <w:sz w:val="22"/>
          <w:szCs w:val="22"/>
          <w:shd w:val="clear" w:color="auto" w:fill="FFFFFF"/>
        </w:rPr>
        <w:t>(7), p.3835.</w:t>
      </w:r>
    </w:p>
    <w:p w:rsidR="003B26CB" w:rsidRPr="003B26CB" w:rsidRDefault="003B26CB" w:rsidP="003B26CB">
      <w:pPr>
        <w:spacing w:after="120" w:line="360" w:lineRule="auto"/>
        <w:ind w:left="720" w:hanging="720"/>
        <w:rPr>
          <w:rFonts w:ascii="Arial" w:hAnsi="Arial" w:cs="Arial"/>
          <w:color w:val="222222"/>
          <w:sz w:val="22"/>
          <w:szCs w:val="22"/>
          <w:shd w:val="clear" w:color="auto" w:fill="FFFFFF"/>
        </w:rPr>
      </w:pPr>
      <w:r w:rsidRPr="003B26CB">
        <w:rPr>
          <w:rFonts w:ascii="Arial" w:hAnsi="Arial" w:cs="Arial"/>
          <w:color w:val="222222"/>
          <w:sz w:val="22"/>
          <w:szCs w:val="22"/>
          <w:shd w:val="clear" w:color="auto" w:fill="FFFFFF"/>
        </w:rPr>
        <w:t xml:space="preserve">Erikson, E.H., 1963. Childhood and Society, 2nd Edn New York. </w:t>
      </w:r>
      <w:r w:rsidRPr="003B26CB">
        <w:rPr>
          <w:rFonts w:ascii="Arial" w:hAnsi="Arial" w:cs="Arial"/>
          <w:i/>
          <w:iCs/>
          <w:color w:val="222222"/>
          <w:sz w:val="22"/>
          <w:szCs w:val="22"/>
          <w:shd w:val="clear" w:color="auto" w:fill="FFFFFF"/>
        </w:rPr>
        <w:t>NY: Norton.[Google Scholar]</w:t>
      </w:r>
      <w:r w:rsidRPr="003B26CB">
        <w:rPr>
          <w:rFonts w:ascii="Arial" w:hAnsi="Arial" w:cs="Arial"/>
          <w:color w:val="222222"/>
          <w:sz w:val="22"/>
          <w:szCs w:val="22"/>
          <w:shd w:val="clear" w:color="auto" w:fill="FFFFFF"/>
        </w:rPr>
        <w:t>.</w:t>
      </w:r>
    </w:p>
    <w:p w:rsidR="003B26CB" w:rsidRPr="003B26CB" w:rsidRDefault="003B26CB" w:rsidP="003B26CB">
      <w:pPr>
        <w:spacing w:after="120" w:line="360" w:lineRule="auto"/>
        <w:ind w:left="720" w:hanging="720"/>
        <w:rPr>
          <w:rFonts w:ascii="Arial" w:hAnsi="Arial" w:cs="Arial"/>
          <w:color w:val="222222"/>
          <w:sz w:val="22"/>
          <w:szCs w:val="22"/>
          <w:shd w:val="clear" w:color="auto" w:fill="FFFFFF"/>
        </w:rPr>
      </w:pPr>
      <w:r w:rsidRPr="003B26CB">
        <w:rPr>
          <w:rFonts w:ascii="Arial" w:hAnsi="Arial" w:cs="Arial"/>
          <w:color w:val="222222"/>
          <w:sz w:val="22"/>
          <w:szCs w:val="22"/>
          <w:shd w:val="clear" w:color="auto" w:fill="FFFFFF"/>
        </w:rPr>
        <w:t xml:space="preserve">Filip, M., Lukavská, K. and Šolcová, I.P., 2020. Dialogical and integrated self in late adulthood: Examining two adaptive ways of growing old. </w:t>
      </w:r>
      <w:r w:rsidRPr="003B26CB">
        <w:rPr>
          <w:rFonts w:ascii="Arial" w:hAnsi="Arial" w:cs="Arial"/>
          <w:i/>
          <w:iCs/>
          <w:color w:val="222222"/>
          <w:sz w:val="22"/>
          <w:szCs w:val="22"/>
          <w:shd w:val="clear" w:color="auto" w:fill="FFFFFF"/>
        </w:rPr>
        <w:t>The International Journal of Aging and Human Development</w:t>
      </w:r>
      <w:r w:rsidRPr="003B26CB">
        <w:rPr>
          <w:rFonts w:ascii="Arial" w:hAnsi="Arial" w:cs="Arial"/>
          <w:color w:val="222222"/>
          <w:sz w:val="22"/>
          <w:szCs w:val="22"/>
          <w:shd w:val="clear" w:color="auto" w:fill="FFFFFF"/>
        </w:rPr>
        <w:t xml:space="preserve">, </w:t>
      </w:r>
      <w:r w:rsidRPr="003B26CB">
        <w:rPr>
          <w:rFonts w:ascii="Arial" w:hAnsi="Arial" w:cs="Arial"/>
          <w:i/>
          <w:iCs/>
          <w:color w:val="222222"/>
          <w:sz w:val="22"/>
          <w:szCs w:val="22"/>
          <w:shd w:val="clear" w:color="auto" w:fill="FFFFFF"/>
        </w:rPr>
        <w:t>90</w:t>
      </w:r>
      <w:r w:rsidRPr="003B26CB">
        <w:rPr>
          <w:rFonts w:ascii="Arial" w:hAnsi="Arial" w:cs="Arial"/>
          <w:color w:val="222222"/>
          <w:sz w:val="22"/>
          <w:szCs w:val="22"/>
          <w:shd w:val="clear" w:color="auto" w:fill="FFFFFF"/>
        </w:rPr>
        <w:t>(4), pp.337-362.</w:t>
      </w:r>
    </w:p>
    <w:p w:rsidR="003B26CB" w:rsidRPr="003B26CB" w:rsidRDefault="003B26CB" w:rsidP="003B26CB">
      <w:pPr>
        <w:spacing w:after="120" w:line="360" w:lineRule="auto"/>
        <w:ind w:left="720" w:hanging="720"/>
        <w:rPr>
          <w:rFonts w:ascii="Arial" w:hAnsi="Arial" w:cs="Arial"/>
          <w:color w:val="222222"/>
          <w:sz w:val="22"/>
          <w:szCs w:val="22"/>
          <w:shd w:val="clear" w:color="auto" w:fill="FFFFFF"/>
        </w:rPr>
      </w:pPr>
      <w:r w:rsidRPr="003B26CB">
        <w:rPr>
          <w:rFonts w:ascii="Arial" w:hAnsi="Arial" w:cs="Arial"/>
          <w:color w:val="222222"/>
          <w:sz w:val="22"/>
          <w:szCs w:val="22"/>
          <w:shd w:val="clear" w:color="auto" w:fill="FFFFFF"/>
        </w:rPr>
        <w:t xml:space="preserve">Fisher, E., Chick, I., Fossey, J. and Spector, A., 2025. Barriers and facilitators to implementing cognitive stimulation and reminiscence therapy for dementia in care homes: systematic review. </w:t>
      </w:r>
      <w:r w:rsidRPr="003B26CB">
        <w:rPr>
          <w:rFonts w:ascii="Arial" w:hAnsi="Arial" w:cs="Arial"/>
          <w:i/>
          <w:iCs/>
          <w:color w:val="222222"/>
          <w:sz w:val="22"/>
          <w:szCs w:val="22"/>
          <w:shd w:val="clear" w:color="auto" w:fill="FFFFFF"/>
        </w:rPr>
        <w:t>International journal of geriatric psychiatry</w:t>
      </w:r>
      <w:r w:rsidRPr="003B26CB">
        <w:rPr>
          <w:rFonts w:ascii="Arial" w:hAnsi="Arial" w:cs="Arial"/>
          <w:color w:val="222222"/>
          <w:sz w:val="22"/>
          <w:szCs w:val="22"/>
          <w:shd w:val="clear" w:color="auto" w:fill="FFFFFF"/>
        </w:rPr>
        <w:t xml:space="preserve">, </w:t>
      </w:r>
      <w:r w:rsidRPr="003B26CB">
        <w:rPr>
          <w:rFonts w:ascii="Arial" w:hAnsi="Arial" w:cs="Arial"/>
          <w:i/>
          <w:iCs/>
          <w:color w:val="222222"/>
          <w:sz w:val="22"/>
          <w:szCs w:val="22"/>
          <w:shd w:val="clear" w:color="auto" w:fill="FFFFFF"/>
        </w:rPr>
        <w:t>40</w:t>
      </w:r>
      <w:r w:rsidRPr="003B26CB">
        <w:rPr>
          <w:rFonts w:ascii="Arial" w:hAnsi="Arial" w:cs="Arial"/>
          <w:color w:val="222222"/>
          <w:sz w:val="22"/>
          <w:szCs w:val="22"/>
          <w:shd w:val="clear" w:color="auto" w:fill="FFFFFF"/>
        </w:rPr>
        <w:t>(7), p.e70124.</w:t>
      </w:r>
    </w:p>
    <w:p w:rsidR="003B26CB" w:rsidRPr="003B26CB" w:rsidRDefault="003B26CB" w:rsidP="003B26CB">
      <w:pPr>
        <w:spacing w:after="120" w:line="360" w:lineRule="auto"/>
        <w:ind w:left="720" w:hanging="720"/>
        <w:rPr>
          <w:rFonts w:ascii="Arial" w:hAnsi="Arial" w:cs="Arial"/>
          <w:color w:val="222222"/>
          <w:sz w:val="22"/>
          <w:szCs w:val="22"/>
          <w:shd w:val="clear" w:color="auto" w:fill="FFFFFF"/>
        </w:rPr>
      </w:pPr>
      <w:r w:rsidRPr="003B26CB">
        <w:rPr>
          <w:rFonts w:ascii="Arial" w:hAnsi="Arial" w:cs="Arial"/>
          <w:color w:val="222222"/>
          <w:sz w:val="22"/>
          <w:szCs w:val="22"/>
          <w:shd w:val="clear" w:color="auto" w:fill="FFFFFF"/>
        </w:rPr>
        <w:t xml:space="preserve">Gramaglia, C., Gattoni, E., Marangon, D., Concina, D., Grossini, E., Rinaldi, C., Panella, M. and Zeppegno, P., 2021. Non-pharmacological approaches to depressed elderly with no or mild cognitive impairment in long-term care facilities. A systematic review of the literature. </w:t>
      </w:r>
      <w:r w:rsidRPr="003B26CB">
        <w:rPr>
          <w:rFonts w:ascii="Arial" w:hAnsi="Arial" w:cs="Arial"/>
          <w:i/>
          <w:iCs/>
          <w:color w:val="222222"/>
          <w:sz w:val="22"/>
          <w:szCs w:val="22"/>
          <w:shd w:val="clear" w:color="auto" w:fill="FFFFFF"/>
        </w:rPr>
        <w:t>Frontiers in public health</w:t>
      </w:r>
      <w:r w:rsidRPr="003B26CB">
        <w:rPr>
          <w:rFonts w:ascii="Arial" w:hAnsi="Arial" w:cs="Arial"/>
          <w:color w:val="222222"/>
          <w:sz w:val="22"/>
          <w:szCs w:val="22"/>
          <w:shd w:val="clear" w:color="auto" w:fill="FFFFFF"/>
        </w:rPr>
        <w:t xml:space="preserve">, </w:t>
      </w:r>
      <w:r w:rsidRPr="003B26CB">
        <w:rPr>
          <w:rFonts w:ascii="Arial" w:hAnsi="Arial" w:cs="Arial"/>
          <w:i/>
          <w:iCs/>
          <w:color w:val="222222"/>
          <w:sz w:val="22"/>
          <w:szCs w:val="22"/>
          <w:shd w:val="clear" w:color="auto" w:fill="FFFFFF"/>
        </w:rPr>
        <w:t>9</w:t>
      </w:r>
      <w:r w:rsidRPr="003B26CB">
        <w:rPr>
          <w:rFonts w:ascii="Arial" w:hAnsi="Arial" w:cs="Arial"/>
          <w:color w:val="222222"/>
          <w:sz w:val="22"/>
          <w:szCs w:val="22"/>
          <w:shd w:val="clear" w:color="auto" w:fill="FFFFFF"/>
        </w:rPr>
        <w:t>, p.685860.</w:t>
      </w:r>
    </w:p>
    <w:p w:rsidR="003B26CB" w:rsidRPr="003B26CB" w:rsidRDefault="003B26CB" w:rsidP="003B26CB">
      <w:pPr>
        <w:spacing w:after="120" w:line="360" w:lineRule="auto"/>
        <w:ind w:left="720" w:hanging="720"/>
        <w:rPr>
          <w:rFonts w:ascii="Arial" w:hAnsi="Arial" w:cs="Arial"/>
          <w:color w:val="222222"/>
          <w:sz w:val="22"/>
          <w:szCs w:val="22"/>
          <w:shd w:val="clear" w:color="auto" w:fill="FFFFFF"/>
        </w:rPr>
      </w:pPr>
      <w:r w:rsidRPr="003B26CB">
        <w:rPr>
          <w:rFonts w:ascii="Arial" w:hAnsi="Arial" w:cs="Arial"/>
          <w:color w:val="222222"/>
          <w:sz w:val="22"/>
          <w:szCs w:val="22"/>
          <w:shd w:val="clear" w:color="auto" w:fill="FFFFFF"/>
        </w:rPr>
        <w:t xml:space="preserve">Havighurst, R.J., 1961. Successful aging. </w:t>
      </w:r>
      <w:r w:rsidRPr="003B26CB">
        <w:rPr>
          <w:rFonts w:ascii="Arial" w:hAnsi="Arial" w:cs="Arial"/>
          <w:i/>
          <w:iCs/>
          <w:color w:val="222222"/>
          <w:sz w:val="22"/>
          <w:szCs w:val="22"/>
          <w:shd w:val="clear" w:color="auto" w:fill="FFFFFF"/>
        </w:rPr>
        <w:t>The gerontologist</w:t>
      </w:r>
      <w:r w:rsidRPr="003B26CB">
        <w:rPr>
          <w:rFonts w:ascii="Arial" w:hAnsi="Arial" w:cs="Arial"/>
          <w:color w:val="222222"/>
          <w:sz w:val="22"/>
          <w:szCs w:val="22"/>
          <w:shd w:val="clear" w:color="auto" w:fill="FFFFFF"/>
        </w:rPr>
        <w:t>.</w:t>
      </w:r>
    </w:p>
    <w:p w:rsidR="003B26CB" w:rsidRPr="003B26CB" w:rsidRDefault="003B26CB" w:rsidP="003B26CB">
      <w:pPr>
        <w:spacing w:after="120" w:line="360" w:lineRule="auto"/>
        <w:ind w:left="720" w:hanging="720"/>
        <w:rPr>
          <w:rFonts w:ascii="Arial" w:hAnsi="Arial" w:cs="Arial"/>
          <w:color w:val="222222"/>
          <w:sz w:val="22"/>
          <w:szCs w:val="22"/>
          <w:shd w:val="clear" w:color="auto" w:fill="FFFFFF"/>
        </w:rPr>
      </w:pPr>
      <w:r w:rsidRPr="003B26CB">
        <w:rPr>
          <w:rFonts w:ascii="Arial" w:hAnsi="Arial" w:cs="Arial"/>
          <w:color w:val="222222"/>
          <w:sz w:val="22"/>
          <w:szCs w:val="22"/>
          <w:shd w:val="clear" w:color="auto" w:fill="FFFFFF"/>
        </w:rPr>
        <w:t xml:space="preserve">Jalali, A., Ziapour, A., Karimi, Z., Rezaei, M., Emami, B., Kalhori, R.P., Khosravi, F., Sameni, J.S. and Kazeminia, M., 2024. Global prevalence of depression, anxiety, and stress in the elderly population: a systematic review and meta-analysis. </w:t>
      </w:r>
      <w:r w:rsidRPr="003B26CB">
        <w:rPr>
          <w:rFonts w:ascii="Arial" w:hAnsi="Arial" w:cs="Arial"/>
          <w:i/>
          <w:iCs/>
          <w:color w:val="222222"/>
          <w:sz w:val="22"/>
          <w:szCs w:val="22"/>
          <w:shd w:val="clear" w:color="auto" w:fill="FFFFFF"/>
        </w:rPr>
        <w:t>BMC geriatrics</w:t>
      </w:r>
      <w:r w:rsidRPr="003B26CB">
        <w:rPr>
          <w:rFonts w:ascii="Arial" w:hAnsi="Arial" w:cs="Arial"/>
          <w:color w:val="222222"/>
          <w:sz w:val="22"/>
          <w:szCs w:val="22"/>
          <w:shd w:val="clear" w:color="auto" w:fill="FFFFFF"/>
        </w:rPr>
        <w:t xml:space="preserve">, </w:t>
      </w:r>
      <w:r w:rsidRPr="003B26CB">
        <w:rPr>
          <w:rFonts w:ascii="Arial" w:hAnsi="Arial" w:cs="Arial"/>
          <w:i/>
          <w:iCs/>
          <w:color w:val="222222"/>
          <w:sz w:val="22"/>
          <w:szCs w:val="22"/>
          <w:shd w:val="clear" w:color="auto" w:fill="FFFFFF"/>
        </w:rPr>
        <w:t>24</w:t>
      </w:r>
      <w:r w:rsidRPr="003B26CB">
        <w:rPr>
          <w:rFonts w:ascii="Arial" w:hAnsi="Arial" w:cs="Arial"/>
          <w:color w:val="222222"/>
          <w:sz w:val="22"/>
          <w:szCs w:val="22"/>
          <w:shd w:val="clear" w:color="auto" w:fill="FFFFFF"/>
        </w:rPr>
        <w:t>(1), p.809.</w:t>
      </w:r>
    </w:p>
    <w:p w:rsidR="003B26CB" w:rsidRPr="003B26CB" w:rsidRDefault="003B26CB" w:rsidP="003B26CB">
      <w:pPr>
        <w:spacing w:after="120" w:line="360" w:lineRule="auto"/>
        <w:ind w:left="720" w:hanging="720"/>
        <w:rPr>
          <w:rFonts w:ascii="Arial" w:hAnsi="Arial" w:cs="Arial"/>
          <w:color w:val="222222"/>
          <w:sz w:val="22"/>
          <w:szCs w:val="22"/>
          <w:shd w:val="clear" w:color="auto" w:fill="FFFFFF"/>
        </w:rPr>
      </w:pPr>
      <w:r w:rsidRPr="003B26CB">
        <w:rPr>
          <w:rFonts w:ascii="Arial" w:hAnsi="Arial" w:cs="Arial"/>
          <w:color w:val="222222"/>
          <w:sz w:val="22"/>
          <w:szCs w:val="22"/>
          <w:shd w:val="clear" w:color="auto" w:fill="FFFFFF"/>
        </w:rPr>
        <w:t xml:space="preserve">Lin, J., Zhao, R., Li, H., Lei, Y. and Cuijpers, P., 2024. Looking back on life: An updated meta-analysis of the effect of life review therapy and reminiscence on late-life depression. </w:t>
      </w:r>
      <w:r w:rsidRPr="003B26CB">
        <w:rPr>
          <w:rFonts w:ascii="Arial" w:hAnsi="Arial" w:cs="Arial"/>
          <w:i/>
          <w:iCs/>
          <w:color w:val="222222"/>
          <w:sz w:val="22"/>
          <w:szCs w:val="22"/>
          <w:shd w:val="clear" w:color="auto" w:fill="FFFFFF"/>
        </w:rPr>
        <w:t>Journal of Affective Disorders</w:t>
      </w:r>
      <w:r w:rsidRPr="003B26CB">
        <w:rPr>
          <w:rFonts w:ascii="Arial" w:hAnsi="Arial" w:cs="Arial"/>
          <w:color w:val="222222"/>
          <w:sz w:val="22"/>
          <w:szCs w:val="22"/>
          <w:shd w:val="clear" w:color="auto" w:fill="FFFFFF"/>
        </w:rPr>
        <w:t xml:space="preserve">, </w:t>
      </w:r>
      <w:r w:rsidRPr="003B26CB">
        <w:rPr>
          <w:rFonts w:ascii="Arial" w:hAnsi="Arial" w:cs="Arial"/>
          <w:i/>
          <w:iCs/>
          <w:color w:val="222222"/>
          <w:sz w:val="22"/>
          <w:szCs w:val="22"/>
          <w:shd w:val="clear" w:color="auto" w:fill="FFFFFF"/>
        </w:rPr>
        <w:t>347</w:t>
      </w:r>
      <w:r w:rsidRPr="003B26CB">
        <w:rPr>
          <w:rFonts w:ascii="Arial" w:hAnsi="Arial" w:cs="Arial"/>
          <w:color w:val="222222"/>
          <w:sz w:val="22"/>
          <w:szCs w:val="22"/>
          <w:shd w:val="clear" w:color="auto" w:fill="FFFFFF"/>
        </w:rPr>
        <w:t>, pp.163-174.</w:t>
      </w:r>
    </w:p>
    <w:p w:rsidR="003B26CB" w:rsidRPr="003B26CB" w:rsidRDefault="003B26CB" w:rsidP="003B26CB">
      <w:pPr>
        <w:spacing w:after="120" w:line="360" w:lineRule="auto"/>
        <w:ind w:left="720" w:hanging="720"/>
        <w:rPr>
          <w:rFonts w:ascii="Arial" w:hAnsi="Arial" w:cs="Arial"/>
          <w:sz w:val="22"/>
          <w:szCs w:val="22"/>
        </w:rPr>
      </w:pPr>
      <w:r w:rsidRPr="003B26CB">
        <w:rPr>
          <w:rFonts w:ascii="Arial" w:eastAsia="Arial" w:hAnsi="Arial" w:cs="Arial"/>
          <w:sz w:val="22"/>
          <w:szCs w:val="22"/>
        </w:rPr>
        <w:t xml:space="preserve">National Institute for Health and Care Excellence (2022) </w:t>
      </w:r>
      <w:r w:rsidRPr="003B26CB">
        <w:rPr>
          <w:rFonts w:ascii="Arial" w:eastAsia="Arial" w:hAnsi="Arial" w:cs="Arial"/>
          <w:i/>
          <w:iCs/>
          <w:sz w:val="22"/>
          <w:szCs w:val="22"/>
        </w:rPr>
        <w:t>Depression in adults: treatment and management</w:t>
      </w:r>
      <w:r w:rsidRPr="003B26CB">
        <w:rPr>
          <w:rFonts w:ascii="Arial" w:eastAsia="Arial" w:hAnsi="Arial" w:cs="Arial"/>
          <w:sz w:val="22"/>
          <w:szCs w:val="22"/>
        </w:rPr>
        <w:t>. NICE guideline NG222. Available at: https://www.nice.org.uk/guidance/ng222 (Accessed: 6 October 2026).</w:t>
      </w:r>
    </w:p>
    <w:p w:rsidR="003B26CB" w:rsidRPr="003B26CB" w:rsidRDefault="003B26CB" w:rsidP="003B26CB">
      <w:pPr>
        <w:spacing w:after="120" w:line="360" w:lineRule="auto"/>
        <w:ind w:left="720" w:hanging="720"/>
        <w:rPr>
          <w:rFonts w:ascii="Arial" w:hAnsi="Arial" w:cs="Arial"/>
          <w:sz w:val="22"/>
          <w:szCs w:val="22"/>
        </w:rPr>
      </w:pPr>
      <w:r w:rsidRPr="003B26CB">
        <w:rPr>
          <w:rFonts w:ascii="Arial" w:hAnsi="Arial" w:cs="Arial"/>
          <w:color w:val="222222"/>
          <w:sz w:val="22"/>
          <w:szCs w:val="22"/>
          <w:shd w:val="clear" w:color="auto" w:fill="FFFFFF"/>
        </w:rPr>
        <w:t xml:space="preserve">Skinner, B.F., 1967. </w:t>
      </w:r>
      <w:r w:rsidRPr="003B26CB">
        <w:rPr>
          <w:rFonts w:ascii="Arial" w:hAnsi="Arial" w:cs="Arial"/>
          <w:i/>
          <w:iCs/>
          <w:color w:val="222222"/>
          <w:sz w:val="22"/>
          <w:szCs w:val="22"/>
          <w:shd w:val="clear" w:color="auto" w:fill="FFFFFF"/>
        </w:rPr>
        <w:t>Science and human behavior</w:t>
      </w:r>
      <w:r w:rsidRPr="003B26CB">
        <w:rPr>
          <w:rFonts w:ascii="Arial" w:hAnsi="Arial" w:cs="Arial"/>
          <w:color w:val="222222"/>
          <w:sz w:val="22"/>
          <w:szCs w:val="22"/>
          <w:shd w:val="clear" w:color="auto" w:fill="FFFFFF"/>
        </w:rPr>
        <w:t>. Free Press.</w:t>
      </w:r>
    </w:p>
    <w:p w:rsidR="003B26CB" w:rsidRPr="003B26CB" w:rsidRDefault="003B26CB" w:rsidP="003B26CB">
      <w:pPr>
        <w:spacing w:line="360" w:lineRule="auto"/>
        <w:rPr>
          <w:rFonts w:ascii="Arial" w:hAnsi="Arial" w:cs="Arial"/>
          <w:sz w:val="22"/>
          <w:szCs w:val="22"/>
        </w:rPr>
      </w:pPr>
    </w:p>
    <w:p w:rsidR="001818E2" w:rsidRPr="003B26CB" w:rsidRDefault="001818E2" w:rsidP="003B26CB">
      <w:pPr>
        <w:spacing w:line="360" w:lineRule="auto"/>
        <w:ind w:left="720" w:hanging="720"/>
        <w:rPr>
          <w:rFonts w:ascii="Arial" w:hAnsi="Arial" w:cs="Arial"/>
          <w:color w:val="222222"/>
          <w:sz w:val="22"/>
          <w:szCs w:val="22"/>
          <w:shd w:val="clear" w:color="auto" w:fill="FFFFFF"/>
        </w:rPr>
      </w:pPr>
    </w:p>
    <w:sectPr w:rsidR="001818E2" w:rsidRPr="003B26CB">
      <w:headerReference w:type="default" r:id="rId9"/>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E649E" w:rsidRDefault="001E649E">
      <w:r>
        <w:separator/>
      </w:r>
    </w:p>
  </w:endnote>
  <w:endnote w:type="continuationSeparator" w:id="0">
    <w:p w:rsidR="001E649E" w:rsidRDefault="001E64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w:altName w:val="MS Gothic"/>
    <w:panose1 w:val="00000000000000000000"/>
    <w:charset w:val="80"/>
    <w:family w:val="roman"/>
    <w:notTrueType/>
    <w:pitch w:val="default"/>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50325" w:rsidRDefault="004A2C0A">
    <w:pPr>
      <w:jc w:val="center"/>
    </w:pPr>
    <w:r>
      <w:rPr>
        <w:rFonts w:ascii="Arial" w:eastAsia="Arial" w:hAnsi="Arial" w:cs="Arial"/>
        <w:sz w:val="18"/>
        <w:szCs w:val="18"/>
      </w:rPr>
      <w:t xml:space="preserve"> </w:t>
    </w:r>
    <w:r>
      <w:rPr>
        <w:rFonts w:ascii="Arial" w:eastAsia="Arial" w:hAnsi="Arial" w:cs="Arial"/>
        <w:sz w:val="18"/>
        <w:szCs w:val="18"/>
      </w:rPr>
      <w:fldChar w:fldCharType="begin"/>
    </w:r>
    <w:r>
      <w:rPr>
        <w:rFonts w:ascii="Arial" w:eastAsia="Arial" w:hAnsi="Arial" w:cs="Arial"/>
        <w:sz w:val="18"/>
        <w:szCs w:val="18"/>
      </w:rPr>
      <w:instrText>PAGE</w:instrText>
    </w:r>
    <w:r>
      <w:rPr>
        <w:rFonts w:ascii="Arial" w:eastAsia="Arial" w:hAnsi="Arial" w:cs="Arial"/>
        <w:sz w:val="18"/>
        <w:szCs w:val="18"/>
      </w:rPr>
      <w:fldChar w:fldCharType="separate"/>
    </w:r>
    <w:r w:rsidR="001E649E">
      <w:rPr>
        <w:rFonts w:ascii="Arial" w:eastAsia="Arial" w:hAnsi="Arial" w:cs="Arial"/>
        <w:noProof/>
        <w:sz w:val="18"/>
        <w:szCs w:val="18"/>
      </w:rPr>
      <w:t>1</w:t>
    </w:r>
    <w:r>
      <w:rPr>
        <w:rFonts w:ascii="Arial" w:eastAsia="Arial" w:hAnsi="Arial" w:cs="Arial"/>
        <w:sz w:val="18"/>
        <w:szCs w:val="18"/>
      </w:rPr>
      <w:fldChar w:fldCharType="end"/>
    </w:r>
    <w:r w:rsidR="00654700">
      <w:rPr>
        <w:rFonts w:ascii="Arial" w:eastAsia="Arial" w:hAnsi="Arial" w:cs="Arial"/>
        <w:sz w:val="18"/>
        <w:szCs w:val="18"/>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E649E" w:rsidRDefault="001E649E">
      <w:r>
        <w:separator/>
      </w:r>
    </w:p>
  </w:footnote>
  <w:footnote w:type="continuationSeparator" w:id="0">
    <w:p w:rsidR="001E649E" w:rsidRDefault="001E649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50325" w:rsidRDefault="00C50325" w:rsidP="009E31BD">
    <w:pPr>
      <w:tabs>
        <w:tab w:val="left" w:pos="5784"/>
        <w:tab w:val="right" w:pos="9026"/>
      </w:tabs>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1A44E8"/>
    <w:multiLevelType w:val="hybridMultilevel"/>
    <w:tmpl w:val="5E3A4C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DB46843"/>
    <w:multiLevelType w:val="hybridMultilevel"/>
    <w:tmpl w:val="6C546B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B7872C4"/>
    <w:multiLevelType w:val="hybridMultilevel"/>
    <w:tmpl w:val="266C48B4"/>
    <w:lvl w:ilvl="0" w:tplc="B2FE26A2">
      <w:start w:val="1"/>
      <w:numFmt w:val="bullet"/>
      <w:lvlText w:val="●"/>
      <w:lvlJc w:val="left"/>
      <w:pPr>
        <w:ind w:left="720" w:hanging="360"/>
      </w:pPr>
    </w:lvl>
    <w:lvl w:ilvl="1" w:tplc="90C458C0">
      <w:start w:val="1"/>
      <w:numFmt w:val="bullet"/>
      <w:lvlText w:val="○"/>
      <w:lvlJc w:val="left"/>
      <w:pPr>
        <w:ind w:left="1440" w:hanging="360"/>
      </w:pPr>
    </w:lvl>
    <w:lvl w:ilvl="2" w:tplc="25768CBE">
      <w:start w:val="1"/>
      <w:numFmt w:val="bullet"/>
      <w:lvlText w:val="■"/>
      <w:lvlJc w:val="left"/>
      <w:pPr>
        <w:ind w:left="2160" w:hanging="360"/>
      </w:pPr>
    </w:lvl>
    <w:lvl w:ilvl="3" w:tplc="E60E5904">
      <w:start w:val="1"/>
      <w:numFmt w:val="bullet"/>
      <w:lvlText w:val="●"/>
      <w:lvlJc w:val="left"/>
      <w:pPr>
        <w:ind w:left="2880" w:hanging="360"/>
      </w:pPr>
    </w:lvl>
    <w:lvl w:ilvl="4" w:tplc="52064B20">
      <w:start w:val="1"/>
      <w:numFmt w:val="bullet"/>
      <w:lvlText w:val="○"/>
      <w:lvlJc w:val="left"/>
      <w:pPr>
        <w:ind w:left="3600" w:hanging="360"/>
      </w:pPr>
    </w:lvl>
    <w:lvl w:ilvl="5" w:tplc="57DC07EC">
      <w:start w:val="1"/>
      <w:numFmt w:val="bullet"/>
      <w:lvlText w:val="■"/>
      <w:lvlJc w:val="left"/>
      <w:pPr>
        <w:ind w:left="4320" w:hanging="360"/>
      </w:pPr>
    </w:lvl>
    <w:lvl w:ilvl="6" w:tplc="472CB354">
      <w:start w:val="1"/>
      <w:numFmt w:val="bullet"/>
      <w:lvlText w:val="●"/>
      <w:lvlJc w:val="left"/>
      <w:pPr>
        <w:ind w:left="5040" w:hanging="360"/>
      </w:pPr>
    </w:lvl>
    <w:lvl w:ilvl="7" w:tplc="43849670">
      <w:start w:val="1"/>
      <w:numFmt w:val="bullet"/>
      <w:lvlText w:val="●"/>
      <w:lvlJc w:val="left"/>
      <w:pPr>
        <w:ind w:left="5760" w:hanging="360"/>
      </w:pPr>
    </w:lvl>
    <w:lvl w:ilvl="8" w:tplc="D9B0F49A">
      <w:start w:val="1"/>
      <w:numFmt w:val="bullet"/>
      <w:lvlText w:val="●"/>
      <w:lvlJc w:val="left"/>
      <w:pPr>
        <w:ind w:left="6480" w:hanging="360"/>
      </w:pPr>
    </w:lvl>
  </w:abstractNum>
  <w:num w:numId="1">
    <w:abstractNumId w:val="2"/>
    <w:lvlOverride w:ilvl="0">
      <w:startOverride w:val="1"/>
    </w:lvlOverride>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
  <w:rsids>
    <w:rsidRoot w:val="00C50325"/>
    <w:rsid w:val="0006709A"/>
    <w:rsid w:val="001818E2"/>
    <w:rsid w:val="001E649E"/>
    <w:rsid w:val="00203D14"/>
    <w:rsid w:val="003277D4"/>
    <w:rsid w:val="003B26CB"/>
    <w:rsid w:val="004A2C0A"/>
    <w:rsid w:val="004D28A0"/>
    <w:rsid w:val="004D4FD1"/>
    <w:rsid w:val="00590761"/>
    <w:rsid w:val="005A08C9"/>
    <w:rsid w:val="005C4C56"/>
    <w:rsid w:val="00654700"/>
    <w:rsid w:val="00694464"/>
    <w:rsid w:val="006B05C4"/>
    <w:rsid w:val="00720C36"/>
    <w:rsid w:val="007A3007"/>
    <w:rsid w:val="00861443"/>
    <w:rsid w:val="008C3187"/>
    <w:rsid w:val="009E31BD"/>
    <w:rsid w:val="00BB7A13"/>
    <w:rsid w:val="00C50325"/>
    <w:rsid w:val="00C66048"/>
    <w:rsid w:val="00DB68D2"/>
    <w:rsid w:val="00F94014"/>
    <w:rsid w:val="00FE4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autoRedefine/>
    <w:qFormat/>
    <w:rsid w:val="001818E2"/>
    <w:pPr>
      <w:outlineLvl w:val="0"/>
    </w:pPr>
    <w:rPr>
      <w:rFonts w:ascii="Arial" w:hAnsi="Arial"/>
      <w:b/>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9E31BD"/>
    <w:pPr>
      <w:spacing w:after="100"/>
    </w:pPr>
  </w:style>
  <w:style w:type="paragraph" w:styleId="BalloonText">
    <w:name w:val="Balloon Text"/>
    <w:basedOn w:val="Normal"/>
    <w:link w:val="BalloonTextChar"/>
    <w:uiPriority w:val="99"/>
    <w:semiHidden/>
    <w:unhideWhenUsed/>
    <w:rsid w:val="009E31BD"/>
    <w:rPr>
      <w:rFonts w:ascii="Tahoma" w:hAnsi="Tahoma" w:cs="Tahoma"/>
      <w:sz w:val="16"/>
      <w:szCs w:val="16"/>
    </w:rPr>
  </w:style>
  <w:style w:type="character" w:customStyle="1" w:styleId="BalloonTextChar">
    <w:name w:val="Balloon Text Char"/>
    <w:basedOn w:val="DefaultParagraphFont"/>
    <w:link w:val="BalloonText"/>
    <w:uiPriority w:val="99"/>
    <w:semiHidden/>
    <w:rsid w:val="009E31BD"/>
    <w:rPr>
      <w:rFonts w:ascii="Tahoma" w:hAnsi="Tahoma" w:cs="Tahoma"/>
      <w:sz w:val="16"/>
      <w:szCs w:val="16"/>
    </w:rPr>
  </w:style>
  <w:style w:type="paragraph" w:styleId="Header">
    <w:name w:val="header"/>
    <w:basedOn w:val="Normal"/>
    <w:link w:val="HeaderChar"/>
    <w:uiPriority w:val="99"/>
    <w:unhideWhenUsed/>
    <w:rsid w:val="009E31BD"/>
    <w:pPr>
      <w:tabs>
        <w:tab w:val="center" w:pos="4680"/>
        <w:tab w:val="right" w:pos="9360"/>
      </w:tabs>
    </w:pPr>
  </w:style>
  <w:style w:type="character" w:customStyle="1" w:styleId="HeaderChar">
    <w:name w:val="Header Char"/>
    <w:basedOn w:val="DefaultParagraphFont"/>
    <w:link w:val="Header"/>
    <w:uiPriority w:val="99"/>
    <w:rsid w:val="009E31BD"/>
  </w:style>
  <w:style w:type="paragraph" w:styleId="Footer">
    <w:name w:val="footer"/>
    <w:basedOn w:val="Normal"/>
    <w:link w:val="FooterChar"/>
    <w:uiPriority w:val="99"/>
    <w:unhideWhenUsed/>
    <w:rsid w:val="009E31BD"/>
    <w:pPr>
      <w:tabs>
        <w:tab w:val="center" w:pos="4680"/>
        <w:tab w:val="right" w:pos="9360"/>
      </w:tabs>
    </w:pPr>
  </w:style>
  <w:style w:type="character" w:customStyle="1" w:styleId="FooterChar">
    <w:name w:val="Footer Char"/>
    <w:basedOn w:val="DefaultParagraphFont"/>
    <w:link w:val="Footer"/>
    <w:uiPriority w:val="99"/>
    <w:rsid w:val="009E31B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autoRedefine/>
    <w:qFormat/>
    <w:rsid w:val="001818E2"/>
    <w:pPr>
      <w:outlineLvl w:val="0"/>
    </w:pPr>
    <w:rPr>
      <w:rFonts w:ascii="Arial" w:hAnsi="Arial"/>
      <w:b/>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9E31BD"/>
    <w:pPr>
      <w:spacing w:after="100"/>
    </w:pPr>
  </w:style>
  <w:style w:type="paragraph" w:styleId="BalloonText">
    <w:name w:val="Balloon Text"/>
    <w:basedOn w:val="Normal"/>
    <w:link w:val="BalloonTextChar"/>
    <w:uiPriority w:val="99"/>
    <w:semiHidden/>
    <w:unhideWhenUsed/>
    <w:rsid w:val="009E31BD"/>
    <w:rPr>
      <w:rFonts w:ascii="Tahoma" w:hAnsi="Tahoma" w:cs="Tahoma"/>
      <w:sz w:val="16"/>
      <w:szCs w:val="16"/>
    </w:rPr>
  </w:style>
  <w:style w:type="character" w:customStyle="1" w:styleId="BalloonTextChar">
    <w:name w:val="Balloon Text Char"/>
    <w:basedOn w:val="DefaultParagraphFont"/>
    <w:link w:val="BalloonText"/>
    <w:uiPriority w:val="99"/>
    <w:semiHidden/>
    <w:rsid w:val="009E31BD"/>
    <w:rPr>
      <w:rFonts w:ascii="Tahoma" w:hAnsi="Tahoma" w:cs="Tahoma"/>
      <w:sz w:val="16"/>
      <w:szCs w:val="16"/>
    </w:rPr>
  </w:style>
  <w:style w:type="paragraph" w:styleId="Header">
    <w:name w:val="header"/>
    <w:basedOn w:val="Normal"/>
    <w:link w:val="HeaderChar"/>
    <w:uiPriority w:val="99"/>
    <w:unhideWhenUsed/>
    <w:rsid w:val="009E31BD"/>
    <w:pPr>
      <w:tabs>
        <w:tab w:val="center" w:pos="4680"/>
        <w:tab w:val="right" w:pos="9360"/>
      </w:tabs>
    </w:pPr>
  </w:style>
  <w:style w:type="character" w:customStyle="1" w:styleId="HeaderChar">
    <w:name w:val="Header Char"/>
    <w:basedOn w:val="DefaultParagraphFont"/>
    <w:link w:val="Header"/>
    <w:uiPriority w:val="99"/>
    <w:rsid w:val="009E31BD"/>
  </w:style>
  <w:style w:type="paragraph" w:styleId="Footer">
    <w:name w:val="footer"/>
    <w:basedOn w:val="Normal"/>
    <w:link w:val="FooterChar"/>
    <w:uiPriority w:val="99"/>
    <w:unhideWhenUsed/>
    <w:rsid w:val="009E31BD"/>
    <w:pPr>
      <w:tabs>
        <w:tab w:val="center" w:pos="4680"/>
        <w:tab w:val="right" w:pos="9360"/>
      </w:tabs>
    </w:pPr>
  </w:style>
  <w:style w:type="character" w:customStyle="1" w:styleId="FooterChar">
    <w:name w:val="Footer Char"/>
    <w:basedOn w:val="DefaultParagraphFont"/>
    <w:link w:val="Footer"/>
    <w:uiPriority w:val="99"/>
    <w:rsid w:val="009E31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2000</Words>
  <Characters>11405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Kelvin</cp:lastModifiedBy>
  <cp:revision>2</cp:revision>
  <dcterms:created xsi:type="dcterms:W3CDTF">2026-10-16T10:37:00Z</dcterms:created>
  <dcterms:modified xsi:type="dcterms:W3CDTF">2026-10-16T10:37:00Z</dcterms:modified>
</cp:coreProperties>
</file>