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rPr>
          <w:rFonts w:ascii="Calibri" w:cs="Calibri" w:eastAsia="Calibri" w:hAnsi="Calibri"/>
          <w:color w:val="1f1f1f"/>
        </w:rPr>
      </w:pPr>
      <w:r w:rsidDel="00000000" w:rsidR="00000000" w:rsidRPr="00000000">
        <w:rPr>
          <w:rtl w:val="0"/>
        </w:rPr>
      </w:r>
    </w:p>
    <w:p w:rsidR="00000000" w:rsidDel="00000000" w:rsidP="00000000" w:rsidRDefault="00000000" w:rsidRPr="00000000" w14:paraId="00000002">
      <w:pPr>
        <w:ind w:left="0" w:firstLine="0"/>
        <w:rPr>
          <w:rFonts w:ascii="Calibri" w:cs="Calibri" w:eastAsia="Calibri" w:hAnsi="Calibri"/>
          <w:color w:val="1f1f1f"/>
        </w:rPr>
      </w:pPr>
      <w:r w:rsidDel="00000000" w:rsidR="00000000" w:rsidRPr="00000000">
        <w:rPr>
          <w:rFonts w:ascii="Calibri" w:cs="Calibri" w:eastAsia="Calibri" w:hAnsi="Calibri"/>
          <w:color w:val="1f1f1f"/>
          <w:rtl w:val="0"/>
        </w:rPr>
        <w:tab/>
        <w:t xml:space="preserve">Integration of emerging technologies into healthcare is nothing new, but essential to longevity and efficiency of the health and care system (</w:t>
      </w:r>
      <w:r w:rsidDel="00000000" w:rsidR="00000000" w:rsidRPr="00000000">
        <w:rPr>
          <w:rFonts w:ascii="Calibri" w:cs="Calibri" w:eastAsia="Calibri" w:hAnsi="Calibri"/>
          <w:color w:val="1f1f1f"/>
          <w:rtl w:val="0"/>
        </w:rPr>
        <w:t xml:space="preserve">Stoumpos</w:t>
      </w:r>
      <w:r w:rsidDel="00000000" w:rsidR="00000000" w:rsidRPr="00000000">
        <w:rPr>
          <w:rFonts w:ascii="Calibri" w:cs="Calibri" w:eastAsia="Calibri" w:hAnsi="Calibri"/>
          <w:color w:val="1f1f1f"/>
          <w:rtl w:val="0"/>
        </w:rPr>
        <w:t xml:space="preserve">, </w:t>
      </w:r>
      <w:r w:rsidDel="00000000" w:rsidR="00000000" w:rsidRPr="00000000">
        <w:rPr>
          <w:rFonts w:ascii="Calibri" w:cs="Calibri" w:eastAsia="Calibri" w:hAnsi="Calibri"/>
          <w:color w:val="1f1f1f"/>
          <w:rtl w:val="0"/>
        </w:rPr>
        <w:t xml:space="preserve">Kitsios</w:t>
      </w:r>
      <w:r w:rsidDel="00000000" w:rsidR="00000000" w:rsidRPr="00000000">
        <w:rPr>
          <w:rFonts w:ascii="Calibri" w:cs="Calibri" w:eastAsia="Calibri" w:hAnsi="Calibri"/>
          <w:color w:val="1f1f1f"/>
          <w:rtl w:val="0"/>
        </w:rPr>
        <w:t xml:space="preserve"> and </w:t>
      </w:r>
      <w:r w:rsidDel="00000000" w:rsidR="00000000" w:rsidRPr="00000000">
        <w:rPr>
          <w:rFonts w:ascii="Calibri" w:cs="Calibri" w:eastAsia="Calibri" w:hAnsi="Calibri"/>
          <w:color w:val="1f1f1f"/>
          <w:rtl w:val="0"/>
        </w:rPr>
        <w:t xml:space="preserve">Talias</w:t>
      </w:r>
      <w:r w:rsidDel="00000000" w:rsidR="00000000" w:rsidRPr="00000000">
        <w:rPr>
          <w:rFonts w:ascii="Calibri" w:cs="Calibri" w:eastAsia="Calibri" w:hAnsi="Calibri"/>
          <w:color w:val="1f1f1f"/>
          <w:rtl w:val="0"/>
        </w:rPr>
        <w:t xml:space="preserve">, 2023). Over the past 10 years, </w:t>
      </w:r>
      <w:r w:rsidDel="00000000" w:rsidR="00000000" w:rsidRPr="00000000">
        <w:rPr>
          <w:rFonts w:ascii="Calibri" w:cs="Calibri" w:eastAsia="Calibri" w:hAnsi="Calibri"/>
          <w:color w:val="1f1f1f"/>
          <w:rtl w:val="0"/>
        </w:rPr>
        <w:t xml:space="preserve">utilising</w:t>
      </w:r>
      <w:r w:rsidDel="00000000" w:rsidR="00000000" w:rsidRPr="00000000">
        <w:rPr>
          <w:rFonts w:ascii="Calibri" w:cs="Calibri" w:eastAsia="Calibri" w:hAnsi="Calibri"/>
          <w:color w:val="1f1f1f"/>
          <w:rtl w:val="0"/>
        </w:rPr>
        <w:t xml:space="preserve"> the digital revolution has been essential to improving healthcare in the United Kingdom. Initially, with paperless initiatives and the development of more online services for patients, the goal of this integration was to make care more accessible to patients (Dunn, </w:t>
      </w:r>
      <w:r w:rsidDel="00000000" w:rsidR="00000000" w:rsidRPr="00000000">
        <w:rPr>
          <w:rFonts w:ascii="Calibri" w:cs="Calibri" w:eastAsia="Calibri" w:hAnsi="Calibri"/>
          <w:color w:val="1f1f1f"/>
          <w:rtl w:val="0"/>
        </w:rPr>
        <w:t xml:space="preserve">Honeyman</w:t>
      </w:r>
      <w:r w:rsidDel="00000000" w:rsidR="00000000" w:rsidRPr="00000000">
        <w:rPr>
          <w:rFonts w:ascii="Calibri" w:cs="Calibri" w:eastAsia="Calibri" w:hAnsi="Calibri"/>
          <w:color w:val="1f1f1f"/>
          <w:rtl w:val="0"/>
        </w:rPr>
        <w:t xml:space="preserve"> and McKenna, 2016). In addition, moving to a largely digital system enables healthcare service providers to provide proactive care, rather than reactive (Shah et al., 2022). </w:t>
      </w:r>
      <w:r w:rsidDel="00000000" w:rsidR="00000000" w:rsidRPr="00000000">
        <w:rPr>
          <w:rtl w:val="0"/>
        </w:rPr>
      </w:r>
    </w:p>
    <w:p w:rsidR="00000000" w:rsidDel="00000000" w:rsidP="00000000" w:rsidRDefault="00000000" w:rsidRPr="00000000" w14:paraId="00000003">
      <w:pPr>
        <w:ind w:left="0" w:firstLine="0"/>
        <w:rPr>
          <w:rFonts w:ascii="Calibri" w:cs="Calibri" w:eastAsia="Calibri" w:hAnsi="Calibri"/>
          <w:color w:val="1f1f1f"/>
        </w:rPr>
      </w:pPr>
      <w:r w:rsidDel="00000000" w:rsidR="00000000" w:rsidRPr="00000000">
        <w:rPr>
          <w:rtl w:val="0"/>
        </w:rPr>
      </w:r>
    </w:p>
    <w:p w:rsidR="00000000" w:rsidDel="00000000" w:rsidP="00000000" w:rsidRDefault="00000000" w:rsidRPr="00000000" w14:paraId="00000004">
      <w:pPr>
        <w:ind w:left="0" w:firstLine="0"/>
        <w:rPr>
          <w:rFonts w:ascii="Calibri" w:cs="Calibri" w:eastAsia="Calibri" w:hAnsi="Calibri"/>
          <w:color w:val="1f1f1f"/>
        </w:rPr>
      </w:pPr>
      <w:r w:rsidDel="00000000" w:rsidR="00000000" w:rsidRPr="00000000">
        <w:rPr>
          <w:rFonts w:ascii="Calibri" w:cs="Calibri" w:eastAsia="Calibri" w:hAnsi="Calibri"/>
          <w:color w:val="1f1f1f"/>
          <w:rtl w:val="0"/>
        </w:rPr>
        <w:t xml:space="preserve"> </w:t>
        <w:tab/>
        <w:t xml:space="preserve">This technological advancement was only propelled further forward when the COVID-19 pandemic hit healthcare providers. Without being able to have appointments face-to-face, technology was used to fill treatment gaps. For patients, telehealth appointments, virtual consultations, and the rising NHS app were all used to maintain consistent treatment throughout the pandemic (Shah et al., 2022). Patients could use the app and e-prescription services to continue their care remotely. This system also benefited service providers by enabling work to be done from home if necessary. Consequently, patients having more control to self-refer freed up capacity in smaller GP services (Peek, </w:t>
      </w:r>
      <w:r w:rsidDel="00000000" w:rsidR="00000000" w:rsidRPr="00000000">
        <w:rPr>
          <w:rFonts w:ascii="Calibri" w:cs="Calibri" w:eastAsia="Calibri" w:hAnsi="Calibri"/>
          <w:color w:val="1f1f1f"/>
          <w:rtl w:val="0"/>
        </w:rPr>
        <w:t xml:space="preserve">Sujan</w:t>
      </w:r>
      <w:r w:rsidDel="00000000" w:rsidR="00000000" w:rsidRPr="00000000">
        <w:rPr>
          <w:rFonts w:ascii="Calibri" w:cs="Calibri" w:eastAsia="Calibri" w:hAnsi="Calibri"/>
          <w:color w:val="1f1f1f"/>
          <w:rtl w:val="0"/>
        </w:rPr>
        <w:t xml:space="preserve"> and Scott, 2023).</w:t>
      </w:r>
    </w:p>
    <w:p w:rsidR="00000000" w:rsidDel="00000000" w:rsidP="00000000" w:rsidRDefault="00000000" w:rsidRPr="00000000" w14:paraId="00000005">
      <w:pPr>
        <w:ind w:left="0" w:firstLine="0"/>
        <w:rPr>
          <w:rFonts w:ascii="Calibri" w:cs="Calibri" w:eastAsia="Calibri" w:hAnsi="Calibri"/>
          <w:color w:val="1f1f1f"/>
        </w:rPr>
      </w:pPr>
      <w:r w:rsidDel="00000000" w:rsidR="00000000" w:rsidRPr="00000000">
        <w:rPr>
          <w:rtl w:val="0"/>
        </w:rPr>
      </w:r>
    </w:p>
    <w:p w:rsidR="00000000" w:rsidDel="00000000" w:rsidP="00000000" w:rsidRDefault="00000000" w:rsidRPr="00000000" w14:paraId="00000006">
      <w:pPr>
        <w:ind w:left="0" w:firstLine="0"/>
        <w:rPr>
          <w:rFonts w:ascii="Calibri" w:cs="Calibri" w:eastAsia="Calibri" w:hAnsi="Calibri"/>
          <w:b w:val="1"/>
          <w:bCs w:val="1"/>
          <w:u w:val="single"/>
        </w:rPr>
      </w:pPr>
      <w:r w:rsidDel="00000000" w:rsidR="00000000" w:rsidRPr="00000000">
        <w:rPr>
          <w:rFonts w:ascii="Calibri" w:cs="Calibri" w:eastAsia="Calibri" w:hAnsi="Calibri"/>
          <w:color w:val="1f1f1f"/>
          <w:rtl w:val="0"/>
        </w:rPr>
        <w:t xml:space="preserve"> </w:t>
      </w:r>
      <w:r w:rsidDel="00000000" w:rsidR="00000000" w:rsidRPr="00000000">
        <w:rPr>
          <w:rFonts w:ascii="Calibri" w:cs="Calibri" w:eastAsia="Calibri" w:hAnsi="Calibri"/>
          <w:color w:val="1f1f1f"/>
          <w:shd w:fill="auto" w:val="clear"/>
          <w:rtl w:val="0"/>
        </w:rPr>
        <w:tab/>
      </w:r>
      <w:r w:rsidDel="00000000" w:rsidR="00000000" w:rsidRPr="00000000">
        <w:rPr>
          <w:rFonts w:ascii="Calibri" w:cs="Calibri" w:eastAsia="Calibri" w:hAnsi="Calibri"/>
          <w:color w:val="1f1f1f"/>
          <w:rtl w:val="0"/>
        </w:rPr>
        <w:t xml:space="preserve">However, integration of new digital technologies does not come without its drawbacks. Healthcare staff describe access to integral tech services as a significant challenge when it comes to digital integration of new technologies.  Emerging digital technologies currently work off of limited data sets, which can make care recommendations and predictions sometimes inaccurate or not as effective as they could be (Fitzpatrick, 2023). Digital systems are also often poorly integrated with little training provided to users and staff and also can make communicating between service providers difficult. This results in a jarring and confusing patient experience and ultimately inefficient service delivery (GOV.UK, 2025a).</w:t>
      </w:r>
      <w:r w:rsidDel="00000000" w:rsidR="00000000" w:rsidRPr="00000000">
        <w:rPr>
          <w:rtl w:val="0"/>
        </w:rPr>
      </w:r>
    </w:p>
    <w:p w:rsidR="00000000" w:rsidDel="00000000" w:rsidP="00000000" w:rsidRDefault="00000000" w:rsidRPr="00000000" w14:paraId="00000007">
      <w:pPr>
        <w:rPr>
          <w:rFonts w:ascii="Calibri" w:cs="Calibri" w:eastAsia="Calibri" w:hAnsi="Calibri"/>
        </w:rPr>
      </w:pPr>
      <w:r w:rsidDel="00000000" w:rsidR="00000000" w:rsidRPr="00000000">
        <w:rPr>
          <w:rFonts w:ascii="Calibri" w:cs="Calibri" w:eastAsia="Calibri" w:hAnsi="Calibri"/>
          <w:b w:val="1"/>
          <w:bCs w:val="1"/>
          <w:u w:val="single"/>
          <w:rtl w:val="0"/>
        </w:rPr>
        <w:br w:type="textWrapping"/>
      </w:r>
      <w:r w:rsidDel="00000000" w:rsidR="00000000" w:rsidRPr="00000000">
        <w:rPr>
          <w:rFonts w:ascii="Calibri" w:cs="Calibri" w:eastAsia="Calibri" w:hAnsi="Calibri"/>
          <w:b w:val="1"/>
          <w:bCs w:val="1"/>
          <w:rtl w:val="0"/>
        </w:rPr>
        <w:tab/>
      </w:r>
      <w:r w:rsidDel="00000000" w:rsidR="00000000" w:rsidRPr="00000000">
        <w:rPr>
          <w:rFonts w:ascii="Calibri" w:cs="Calibri" w:eastAsia="Calibri" w:hAnsi="Calibri"/>
          <w:rtl w:val="0"/>
        </w:rPr>
        <w:t xml:space="preserve"> The digital healthcare system has gone through many changes, most starting pre-pandemic. After the exit from the European Union, there was a larger push within the healthcare system to take advantage of emerging technologies in order to advance the industry (Pope et al., 2024). Recently, a 10-year plan has been announced to integrate further technology into the NHS. This shift would focus on technology being used to speed up administrative tasks and shift focus further on preventative and </w:t>
      </w:r>
      <w:r w:rsidDel="00000000" w:rsidR="00000000" w:rsidRPr="00000000">
        <w:rPr>
          <w:rFonts w:ascii="Calibri" w:cs="Calibri" w:eastAsia="Calibri" w:hAnsi="Calibri"/>
          <w:rtl w:val="0"/>
        </w:rPr>
        <w:t xml:space="preserve">personalised</w:t>
      </w:r>
      <w:r w:rsidDel="00000000" w:rsidR="00000000" w:rsidRPr="00000000">
        <w:rPr>
          <w:rFonts w:ascii="Calibri" w:cs="Calibri" w:eastAsia="Calibri" w:hAnsi="Calibri"/>
          <w:rtl w:val="0"/>
        </w:rPr>
        <w:t xml:space="preserve"> care (Arnold et al., 2025). This would be done via tools like Artificial Intelligence (AI) and digital diagnostic tools to improve rates of detection and treatment (Singh, 2025). Interconnectivity is also </w:t>
      </w:r>
      <w:r w:rsidDel="00000000" w:rsidR="00000000" w:rsidRPr="00000000">
        <w:rPr>
          <w:rFonts w:ascii="Calibri" w:cs="Calibri" w:eastAsia="Calibri" w:hAnsi="Calibri"/>
          <w:rtl w:val="0"/>
        </w:rPr>
        <w:t xml:space="preserve">prioritised</w:t>
      </w:r>
      <w:r w:rsidDel="00000000" w:rsidR="00000000" w:rsidRPr="00000000">
        <w:rPr>
          <w:rFonts w:ascii="Calibri" w:cs="Calibri" w:eastAsia="Calibri" w:hAnsi="Calibri"/>
          <w:rtl w:val="0"/>
        </w:rPr>
        <w:t xml:space="preserve"> in this new system as different government entities can feed into procedures and policies at all levels (Crown Commercial Service, 2023). </w:t>
      </w:r>
      <w:r w:rsidDel="00000000" w:rsidR="00000000" w:rsidRPr="00000000">
        <w:rPr>
          <w:rtl w:val="0"/>
        </w:rPr>
      </w:r>
    </w:p>
    <w:p w:rsidR="00000000" w:rsidDel="00000000" w:rsidP="00000000" w:rsidRDefault="00000000" w:rsidRPr="00000000" w14:paraId="00000008">
      <w:pPr>
        <w:rPr>
          <w:rFonts w:ascii="Calibri" w:cs="Calibri" w:eastAsia="Calibri" w:hAnsi="Calibri"/>
        </w:rPr>
      </w:pPr>
      <w:r w:rsidDel="00000000" w:rsidR="00000000" w:rsidRPr="00000000">
        <w:rPr>
          <w:rtl w:val="0"/>
        </w:rPr>
      </w:r>
    </w:p>
    <w:p w:rsidR="00000000" w:rsidDel="00000000" w:rsidP="00000000" w:rsidRDefault="00000000" w:rsidRPr="00000000" w14:paraId="00000009">
      <w:pPr>
        <w:ind w:left="0" w:firstLine="720"/>
        <w:rPr>
          <w:rFonts w:ascii="Calibri" w:cs="Calibri" w:eastAsia="Calibri" w:hAnsi="Calibri"/>
        </w:rPr>
      </w:pPr>
      <w:r w:rsidDel="00000000" w:rsidR="00000000" w:rsidRPr="00000000">
        <w:rPr>
          <w:rFonts w:ascii="Calibri" w:cs="Calibri" w:eastAsia="Calibri" w:hAnsi="Calibri"/>
          <w:rtl w:val="0"/>
        </w:rPr>
        <w:t xml:space="preserve">As digital technologies become interconnected, ongoing investment and collaboration between the public and private sectors are essential. Healthcare systems invest in infrastructure and focus on data security and patient privacy to ensure trust (Crown Commercial Service, 2023). ​ In Wales, digital applications improve service delivery for an ageing population. The NHS Wales app, similar to NHS England's, provides at-home access to services and treatments. </w:t>
      </w:r>
      <w:r w:rsidDel="00000000" w:rsidR="00000000" w:rsidRPr="00000000">
        <w:rPr>
          <w:rFonts w:ascii="Calibri" w:cs="Calibri" w:eastAsia="Calibri" w:hAnsi="Calibri"/>
          <w:shd w:fill="auto" w:val="clear"/>
          <w:rtl w:val="0"/>
        </w:rPr>
        <w:t xml:space="preserve">These</w:t>
      </w:r>
      <w:r w:rsidDel="00000000" w:rsidR="00000000" w:rsidRPr="00000000">
        <w:rPr>
          <w:rFonts w:ascii="Calibri" w:cs="Calibri" w:eastAsia="Calibri" w:hAnsi="Calibri"/>
          <w:rtl w:val="0"/>
        </w:rPr>
        <w:t xml:space="preserve"> ease service delivery for patients and allow them more records of treatments, prescriptions, and care plans (Digital Health and Care Wales, 2023). The Welsh Nursing Care Record lets nurses and providers access patient records at any time on digital devices, enabling faster and more consistent care. The current system was nearly 20 years overdue due to funding difficulties and competing priorities. One strong element in the current system is integrated training and upskilling, keeping skills strong and uniform (UK Parliament, 2022). </w:t>
      </w:r>
    </w:p>
    <w:p w:rsidR="00000000" w:rsidDel="00000000" w:rsidP="00000000" w:rsidRDefault="00000000" w:rsidRPr="00000000" w14:paraId="0000000A">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0B">
      <w:pPr>
        <w:ind w:left="0" w:firstLine="720"/>
        <w:rPr>
          <w:rFonts w:ascii="Calibri" w:cs="Calibri" w:eastAsia="Calibri" w:hAnsi="Calibri"/>
        </w:rPr>
      </w:pPr>
      <w:r w:rsidDel="00000000" w:rsidR="00000000" w:rsidRPr="00000000">
        <w:rPr>
          <w:rFonts w:ascii="Calibri" w:cs="Calibri" w:eastAsia="Calibri" w:hAnsi="Calibri"/>
          <w:rtl w:val="0"/>
        </w:rPr>
        <w:t xml:space="preserve"> There are many benefits to integrating new and emerging digital technologies within the healthcare system. As mentioned above, adding the NHS app streamlined the appointment process and allowed patients to view and update their health records (GOV.UK, 2025b). This level of </w:t>
      </w:r>
      <w:r w:rsidDel="00000000" w:rsidR="00000000" w:rsidRPr="00000000">
        <w:rPr>
          <w:rFonts w:ascii="Calibri" w:cs="Calibri" w:eastAsia="Calibri" w:hAnsi="Calibri"/>
          <w:rtl w:val="0"/>
        </w:rPr>
        <w:t xml:space="preserve">personalisation</w:t>
      </w:r>
      <w:r w:rsidDel="00000000" w:rsidR="00000000" w:rsidRPr="00000000">
        <w:rPr>
          <w:rFonts w:ascii="Calibri" w:cs="Calibri" w:eastAsia="Calibri" w:hAnsi="Calibri"/>
          <w:rtl w:val="0"/>
        </w:rPr>
        <w:t xml:space="preserve"> is becoming increasingly important in the digital age. Digital care can feel less personal as it’s facilitated through online platforms and apps, but it can actually enhance user experiences. By tailoring patient needs through online services, patient engagement and satisfaction can increase (</w:t>
      </w:r>
      <w:r w:rsidDel="00000000" w:rsidR="00000000" w:rsidRPr="00000000">
        <w:rPr>
          <w:rFonts w:ascii="Calibri" w:cs="Calibri" w:eastAsia="Calibri" w:hAnsi="Calibri"/>
          <w:rtl w:val="0"/>
        </w:rPr>
        <w:t xml:space="preserve">Madanian</w:t>
      </w:r>
      <w:r w:rsidDel="00000000" w:rsidR="00000000" w:rsidRPr="00000000">
        <w:rPr>
          <w:rFonts w:ascii="Calibri" w:cs="Calibri" w:eastAsia="Calibri" w:hAnsi="Calibri"/>
          <w:rtl w:val="0"/>
        </w:rPr>
        <w:t xml:space="preserve"> et al., 2023). This is incredibly beneficial to a healthcare system like the NHS, as currently user satisfaction is at record lows in many departments and staff workloads have increased exponentially post-pandemic (Taylor et al., 2024). </w:t>
      </w:r>
    </w:p>
    <w:p w:rsidR="00000000" w:rsidDel="00000000" w:rsidP="00000000" w:rsidRDefault="00000000" w:rsidRPr="00000000" w14:paraId="0000000C">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0D">
      <w:pPr>
        <w:ind w:left="0" w:firstLine="720"/>
        <w:rPr>
          <w:rFonts w:ascii="Calibri" w:cs="Calibri" w:eastAsia="Calibri" w:hAnsi="Calibri"/>
        </w:rPr>
      </w:pPr>
      <w:r w:rsidDel="00000000" w:rsidR="00000000" w:rsidRPr="00000000">
        <w:rPr>
          <w:rFonts w:ascii="Calibri" w:cs="Calibri" w:eastAsia="Calibri" w:hAnsi="Calibri"/>
          <w:rtl w:val="0"/>
        </w:rPr>
        <w:t xml:space="preserve"> There are clear financial benefits to digital integration as well. Healthcare systems that rely on early prevention and intervention reduce the length of stay patients require and the resources they will end up requiring. Moreover, staff can also control stock, bed blocking, and staffing levels (Crown Commercial Service, 2023). In Wales specifically, video consultations have made a significant impact financially. Reduced waiting times led to fewer missed appointments and ultimately reduced service expenses, saving more money than without digital integration of video appointments (Johns et al., 2023). </w:t>
      </w:r>
    </w:p>
    <w:p w:rsidR="00000000" w:rsidDel="00000000" w:rsidP="00000000" w:rsidRDefault="00000000" w:rsidRPr="00000000" w14:paraId="0000000E">
      <w:pPr>
        <w:ind w:left="0" w:firstLine="720"/>
        <w:rPr>
          <w:rFonts w:ascii="Calibri" w:cs="Calibri" w:eastAsia="Calibri" w:hAnsi="Calibri"/>
        </w:rPr>
      </w:pPr>
      <w:r w:rsidDel="00000000" w:rsidR="00000000" w:rsidRPr="00000000">
        <w:rPr>
          <w:rFonts w:ascii="Calibri" w:cs="Calibri" w:eastAsia="Calibri" w:hAnsi="Calibri"/>
          <w:rtl w:val="0"/>
        </w:rPr>
        <w:t xml:space="preserve"> The integration of digital health faces several challenges, including harassment, the ability to disconnect from work, cybersecurity risks, and inequitable access to technology (</w:t>
      </w:r>
      <w:r w:rsidDel="00000000" w:rsidR="00000000" w:rsidRPr="00000000">
        <w:rPr>
          <w:rFonts w:ascii="Calibri" w:cs="Calibri" w:eastAsia="Calibri" w:hAnsi="Calibri"/>
          <w:rtl w:val="0"/>
        </w:rPr>
        <w:t xml:space="preserve">Nidha</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Shapoo</w:t>
      </w:r>
      <w:r w:rsidDel="00000000" w:rsidR="00000000" w:rsidRPr="00000000">
        <w:rPr>
          <w:rFonts w:ascii="Calibri" w:cs="Calibri" w:eastAsia="Calibri" w:hAnsi="Calibri"/>
          <w:rtl w:val="0"/>
        </w:rPr>
        <w:t xml:space="preserve"> et al., 2025). When it comes to any digital integration, data security and privacy are paramount to maintain. There has been a steady rise in </w:t>
      </w:r>
      <w:r w:rsidDel="00000000" w:rsidR="00000000" w:rsidRPr="00000000">
        <w:rPr>
          <w:rFonts w:ascii="Calibri" w:cs="Calibri" w:eastAsia="Calibri" w:hAnsi="Calibri"/>
          <w:shd w:fill="auto" w:val="clear"/>
          <w:rtl w:val="0"/>
        </w:rPr>
        <w:t xml:space="preserve">cyberattacks</w:t>
      </w:r>
      <w:r w:rsidDel="00000000" w:rsidR="00000000" w:rsidRPr="00000000">
        <w:rPr>
          <w:rFonts w:ascii="Calibri" w:cs="Calibri" w:eastAsia="Calibri" w:hAnsi="Calibri"/>
          <w:rtl w:val="0"/>
        </w:rPr>
        <w:t xml:space="preserve"> and data breaches, frequently stemming from insufficient funding and time dedicated to protecting user information and data. The NHS is no exception to this, as funding challenges continue to make it more difficult to put these security protocols in place (</w:t>
      </w:r>
      <w:r w:rsidDel="00000000" w:rsidR="00000000" w:rsidRPr="00000000">
        <w:rPr>
          <w:rFonts w:ascii="Calibri" w:cs="Calibri" w:eastAsia="Calibri" w:hAnsi="Calibri"/>
          <w:rtl w:val="0"/>
        </w:rPr>
        <w:t xml:space="preserve">Nidha</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Shapoo</w:t>
      </w:r>
      <w:r w:rsidDel="00000000" w:rsidR="00000000" w:rsidRPr="00000000">
        <w:rPr>
          <w:rFonts w:ascii="Calibri" w:cs="Calibri" w:eastAsia="Calibri" w:hAnsi="Calibri"/>
          <w:rtl w:val="0"/>
        </w:rPr>
        <w:t xml:space="preserve"> et al., 2025). Staff also face increased risks of bullying and harassment as digital connectivity increases. Digital based harassment and bullying is prevalent within the Healthcare system as social media plays a prominent role. If online activity is increasingly required, there is less of an opportunity for staff to keep healthy barriers that separate themselves and work </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Mesinioti</w:t>
      </w:r>
      <w:r w:rsidDel="00000000" w:rsidR="00000000" w:rsidRPr="00000000">
        <w:rPr>
          <w:rFonts w:ascii="Calibri" w:cs="Calibri" w:eastAsia="Calibri" w:hAnsi="Calibri"/>
          <w:rtl w:val="0"/>
        </w:rPr>
        <w:t xml:space="preserve"> et al., 2026). </w:t>
        <w:br w:type="textWrapping"/>
      </w:r>
      <w:r w:rsidDel="00000000" w:rsidR="00000000" w:rsidRPr="00000000">
        <w:rPr>
          <w:rtl w:val="0"/>
        </w:rPr>
      </w:r>
    </w:p>
    <w:p w:rsidR="00000000" w:rsidDel="00000000" w:rsidP="00000000" w:rsidRDefault="00000000" w:rsidRPr="00000000" w14:paraId="0000000F">
      <w:pPr>
        <w:ind w:left="0" w:firstLine="720"/>
        <w:rPr>
          <w:rFonts w:ascii="Calibri" w:cs="Calibri" w:eastAsia="Calibri" w:hAnsi="Calibri"/>
        </w:rPr>
      </w:pPr>
      <w:r w:rsidDel="00000000" w:rsidR="00000000" w:rsidRPr="00000000">
        <w:rPr>
          <w:rFonts w:ascii="Calibri" w:cs="Calibri" w:eastAsia="Calibri" w:hAnsi="Calibri"/>
          <w:rtl w:val="0"/>
        </w:rPr>
        <w:t xml:space="preserve">However, the biggest and widest reaching challenge when it comes to integrating new digital technology within healthcare is digital literacy and digital inequality. Digital literacy is the ability to use digital communications and technology. It focuses on using technology safely, effectively and securely (Team Community, 2025). Rural areas, impoverished populations and </w:t>
      </w:r>
      <w:r w:rsidDel="00000000" w:rsidR="00000000" w:rsidRPr="00000000">
        <w:rPr>
          <w:rFonts w:ascii="Calibri" w:cs="Calibri" w:eastAsia="Calibri" w:hAnsi="Calibri"/>
          <w:shd w:fill="auto" w:val="clear"/>
          <w:rtl w:val="0"/>
        </w:rPr>
        <w:t xml:space="preserve">ageing</w:t>
      </w:r>
      <w:r w:rsidDel="00000000" w:rsidR="00000000" w:rsidRPr="00000000">
        <w:rPr>
          <w:rFonts w:ascii="Calibri" w:cs="Calibri" w:eastAsia="Calibri" w:hAnsi="Calibri"/>
          <w:rtl w:val="0"/>
        </w:rPr>
        <w:t xml:space="preserve"> populations are all communities that often have lower rates of digital literacy, which makes it more difficult for these populations to access all of these improved technological advancements (</w:t>
      </w:r>
      <w:r w:rsidDel="00000000" w:rsidR="00000000" w:rsidRPr="00000000">
        <w:rPr>
          <w:rFonts w:ascii="Calibri" w:cs="Calibri" w:eastAsia="Calibri" w:hAnsi="Calibri"/>
          <w:rtl w:val="0"/>
        </w:rPr>
        <w:t xml:space="preserve">Nidha</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Shapoo</w:t>
      </w:r>
      <w:r w:rsidDel="00000000" w:rsidR="00000000" w:rsidRPr="00000000">
        <w:rPr>
          <w:rFonts w:ascii="Calibri" w:cs="Calibri" w:eastAsia="Calibri" w:hAnsi="Calibri"/>
          <w:rtl w:val="0"/>
        </w:rPr>
        <w:t xml:space="preserve"> et al., 2025). These more rural areas also </w:t>
      </w:r>
      <w:r w:rsidDel="00000000" w:rsidR="00000000" w:rsidRPr="00000000">
        <w:rPr>
          <w:rFonts w:ascii="Calibri" w:cs="Calibri" w:eastAsia="Calibri" w:hAnsi="Calibri"/>
          <w:shd w:fill="auto" w:val="clear"/>
          <w:rtl w:val="0"/>
        </w:rPr>
        <w:t xml:space="preserve">frequently</w:t>
      </w:r>
      <w:r w:rsidDel="00000000" w:rsidR="00000000" w:rsidRPr="00000000">
        <w:rPr>
          <w:rFonts w:ascii="Calibri" w:cs="Calibri" w:eastAsia="Calibri" w:hAnsi="Calibri"/>
          <w:rtl w:val="0"/>
        </w:rPr>
        <w:t xml:space="preserve"> have the added difficulty of struggling to get efficient internet connection to begin with (GOV.UK, 2025b). Healthcare transformation through digital integration has been proven to be successful before, but effective digital governance and management is necessary to make sure all service users and providers have access to these benefits (Singh, 2025). </w:t>
        <w:br w:type="textWrapping"/>
      </w:r>
      <w:r w:rsidDel="00000000" w:rsidR="00000000" w:rsidRPr="00000000">
        <w:rPr>
          <w:rtl w:val="0"/>
        </w:rPr>
      </w:r>
    </w:p>
    <w:p w:rsidR="00000000" w:rsidDel="00000000" w:rsidP="00000000" w:rsidRDefault="00000000" w:rsidRPr="00000000" w14:paraId="00000010">
      <w:pPr>
        <w:ind w:left="0" w:firstLine="720"/>
        <w:rPr>
          <w:rFonts w:ascii="Calibri" w:cs="Calibri" w:eastAsia="Calibri" w:hAnsi="Calibri"/>
        </w:rPr>
      </w:pPr>
      <w:r w:rsidDel="00000000" w:rsidR="00000000" w:rsidRPr="00000000">
        <w:rPr>
          <w:rFonts w:ascii="Calibri" w:cs="Calibri" w:eastAsia="Calibri" w:hAnsi="Calibri"/>
          <w:rtl w:val="0"/>
        </w:rPr>
        <w:t xml:space="preserve">Digital integration is going to happen regardless of actual system readiness. However, it is clear that elements of the digital integration strategy need to be examined further. Mobile health apps like the NHS Wales and NHS England apps, telehealth appointments and digital resources have improved staff and patient experiences since they’ve been integrated (Fitzpatrick, 2023). Looking specifically at digital literacy, these communication tools can overall improve understanding of treatment and care. This will ultimately lead to better health outcomes (Fitzpatrick, 2023). </w:t>
      </w:r>
    </w:p>
    <w:p w:rsidR="00000000" w:rsidDel="00000000" w:rsidP="00000000" w:rsidRDefault="00000000" w:rsidRPr="00000000" w14:paraId="00000011">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12">
      <w:pPr>
        <w:ind w:left="0" w:firstLine="720"/>
        <w:rPr>
          <w:rFonts w:ascii="Calibri" w:cs="Calibri" w:eastAsia="Calibri" w:hAnsi="Calibri"/>
        </w:rPr>
      </w:pPr>
      <w:r w:rsidDel="00000000" w:rsidR="00000000" w:rsidRPr="00000000">
        <w:rPr>
          <w:rFonts w:ascii="Calibri" w:cs="Calibri" w:eastAsia="Calibri" w:hAnsi="Calibri"/>
          <w:rtl w:val="0"/>
        </w:rPr>
        <w:t xml:space="preserve">But there are some severe risks with improperly integrating new technologies without considering all the implications of them. Without proper integration, </w:t>
      </w:r>
      <w:r w:rsidDel="00000000" w:rsidR="00000000" w:rsidRPr="00000000">
        <w:rPr>
          <w:rFonts w:ascii="Calibri" w:cs="Calibri" w:eastAsia="Calibri" w:hAnsi="Calibri"/>
          <w:shd w:fill="auto" w:val="clear"/>
          <w:rtl w:val="0"/>
        </w:rPr>
        <w:t xml:space="preserve">patients, and</w:t>
      </w:r>
      <w:r w:rsidDel="00000000" w:rsidR="00000000" w:rsidRPr="00000000">
        <w:rPr>
          <w:rFonts w:ascii="Calibri" w:cs="Calibri" w:eastAsia="Calibri" w:hAnsi="Calibri"/>
          <w:rtl w:val="0"/>
        </w:rPr>
        <w:t xml:space="preserve"> service providers will feel the pressure of intensifying social health inequalities and the exploitation and commodification of personal health information (</w:t>
      </w:r>
      <w:r w:rsidDel="00000000" w:rsidR="00000000" w:rsidRPr="00000000">
        <w:rPr>
          <w:rFonts w:ascii="Calibri" w:cs="Calibri" w:eastAsia="Calibri" w:hAnsi="Calibri"/>
          <w:rtl w:val="0"/>
        </w:rPr>
        <w:t xml:space="preserve">Livieri</w:t>
      </w:r>
      <w:r w:rsidDel="00000000" w:rsidR="00000000" w:rsidRPr="00000000">
        <w:rPr>
          <w:rFonts w:ascii="Calibri" w:cs="Calibri" w:eastAsia="Calibri" w:hAnsi="Calibri"/>
          <w:rtl w:val="0"/>
        </w:rPr>
        <w:t xml:space="preserve"> et al., 2025). </w:t>
      </w:r>
      <w:r w:rsidDel="00000000" w:rsidR="00000000" w:rsidRPr="00000000">
        <w:rPr>
          <w:rFonts w:ascii="Calibri" w:cs="Calibri" w:eastAsia="Calibri" w:hAnsi="Calibri"/>
          <w:rtl w:val="0"/>
        </w:rPr>
        <w:t xml:space="preserve">Organisational</w:t>
      </w:r>
      <w:r w:rsidDel="00000000" w:rsidR="00000000" w:rsidRPr="00000000">
        <w:rPr>
          <w:rFonts w:ascii="Calibri" w:cs="Calibri" w:eastAsia="Calibri" w:hAnsi="Calibri"/>
          <w:rtl w:val="0"/>
        </w:rPr>
        <w:t xml:space="preserve"> skills and competencies are the most often mentioned difficulty by staff when it comes to supporting these new digital systems. This can include more basic elements of digital literacy to additional training required by staff as digital systems inevitably evolve further (Mauro et al., 2024). For example, using video chat for diagnostic appointments has been proven to help patients who require accessibility accommodations. Yet, there is little training after the initial implementation. Having drop-in sessions, monthly training or digital champions to run to for extra support would allow staff to provide stronger support to service users and allow service users to increase their own digital literacy (Johns et al., 2023). </w:t>
      </w:r>
    </w:p>
    <w:p w:rsidR="00000000" w:rsidDel="00000000" w:rsidP="00000000" w:rsidRDefault="00000000" w:rsidRPr="00000000" w14:paraId="00000013">
      <w:pPr>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14">
      <w:pPr>
        <w:ind w:left="0" w:firstLine="0"/>
        <w:rPr>
          <w:rFonts w:ascii="Calibri" w:cs="Calibri" w:eastAsia="Calibri" w:hAnsi="Calibri"/>
        </w:rPr>
      </w:pPr>
      <w:r w:rsidDel="00000000" w:rsidR="00000000" w:rsidRPr="00000000">
        <w:rPr>
          <w:rFonts w:ascii="Calibri" w:cs="Calibri" w:eastAsia="Calibri" w:hAnsi="Calibri"/>
          <w:rtl w:val="0"/>
        </w:rPr>
        <w:tab/>
        <w:t xml:space="preserve">The ultimate goal of digital integration in healthcare is improvement of the system. This is done by using apps and other digital systems to alleviate the pressures on staff and service users alike </w:t>
      </w:r>
      <w:r w:rsidDel="00000000" w:rsidR="00000000" w:rsidRPr="00000000">
        <w:rPr>
          <w:rFonts w:ascii="Calibri" w:cs="Calibri" w:eastAsia="Calibri" w:hAnsi="Calibri"/>
          <w:color w:val="1f1f1f"/>
          <w:rtl w:val="0"/>
        </w:rPr>
        <w:t xml:space="preserve">(Dunn, </w:t>
      </w:r>
      <w:r w:rsidDel="00000000" w:rsidR="00000000" w:rsidRPr="00000000">
        <w:rPr>
          <w:rFonts w:ascii="Calibri" w:cs="Calibri" w:eastAsia="Calibri" w:hAnsi="Calibri"/>
          <w:color w:val="1f1f1f"/>
          <w:rtl w:val="0"/>
        </w:rPr>
        <w:t xml:space="preserve">Honeyman</w:t>
      </w:r>
      <w:r w:rsidDel="00000000" w:rsidR="00000000" w:rsidRPr="00000000">
        <w:rPr>
          <w:rFonts w:ascii="Calibri" w:cs="Calibri" w:eastAsia="Calibri" w:hAnsi="Calibri"/>
          <w:color w:val="1f1f1f"/>
          <w:rtl w:val="0"/>
        </w:rPr>
        <w:t xml:space="preserve"> and McKenna, 2016). There are already some visible benefits of how this digital integration has made a difference. Patient needs are more accessible and easily adjusted if required by staff </w:t>
      </w:r>
      <w:r w:rsidDel="00000000" w:rsidR="00000000" w:rsidRPr="00000000">
        <w:rPr>
          <w:rFonts w:ascii="Calibri" w:cs="Calibri" w:eastAsia="Calibri" w:hAnsi="Calibri"/>
          <w:rtl w:val="0"/>
        </w:rPr>
        <w:t xml:space="preserve">(GOV.UK, 2025b). Service providers can also benefit from alleviated workload and more cross collaboration across departments (</w:t>
      </w:r>
      <w:r w:rsidDel="00000000" w:rsidR="00000000" w:rsidRPr="00000000">
        <w:rPr>
          <w:rFonts w:ascii="Calibri" w:cs="Calibri" w:eastAsia="Calibri" w:hAnsi="Calibri"/>
          <w:rtl w:val="0"/>
        </w:rPr>
        <w:t xml:space="preserve">Madanian</w:t>
      </w:r>
      <w:r w:rsidDel="00000000" w:rsidR="00000000" w:rsidRPr="00000000">
        <w:rPr>
          <w:rFonts w:ascii="Calibri" w:cs="Calibri" w:eastAsia="Calibri" w:hAnsi="Calibri"/>
          <w:rtl w:val="0"/>
        </w:rPr>
        <w:t xml:space="preserve"> et al., 2023). </w:t>
      </w:r>
      <w:r w:rsidDel="00000000" w:rsidR="00000000" w:rsidRPr="00000000">
        <w:rPr>
          <w:rtl w:val="0"/>
        </w:rPr>
      </w:r>
    </w:p>
    <w:p w:rsidR="00000000" w:rsidDel="00000000" w:rsidP="00000000" w:rsidRDefault="00000000" w:rsidRPr="00000000" w14:paraId="00000015">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16">
      <w:pPr>
        <w:ind w:left="0" w:firstLine="720"/>
        <w:rPr>
          <w:rFonts w:ascii="Calibri" w:cs="Calibri" w:eastAsia="Calibri" w:hAnsi="Calibri"/>
        </w:rPr>
      </w:pPr>
      <w:r w:rsidDel="00000000" w:rsidR="00000000" w:rsidRPr="00000000">
        <w:rPr>
          <w:rFonts w:ascii="Calibri" w:cs="Calibri" w:eastAsia="Calibri" w:hAnsi="Calibri"/>
          <w:rtl w:val="0"/>
        </w:rPr>
        <w:t xml:space="preserve">However, there are some concerning drawbacks to this interconnectivity. To start, security risks and privacy present large challenges to service user safety as well as another responsibility staff must consider while providing care (</w:t>
      </w:r>
      <w:r w:rsidDel="00000000" w:rsidR="00000000" w:rsidRPr="00000000">
        <w:rPr>
          <w:rFonts w:ascii="Calibri" w:cs="Calibri" w:eastAsia="Calibri" w:hAnsi="Calibri"/>
          <w:rtl w:val="0"/>
        </w:rPr>
        <w:t xml:space="preserve">Nidha</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Shapoo</w:t>
      </w:r>
      <w:r w:rsidDel="00000000" w:rsidR="00000000" w:rsidRPr="00000000">
        <w:rPr>
          <w:rFonts w:ascii="Calibri" w:cs="Calibri" w:eastAsia="Calibri" w:hAnsi="Calibri"/>
          <w:rtl w:val="0"/>
        </w:rPr>
        <w:t xml:space="preserve"> et al., 2025). Digital literacy and poverty also prevent all stakeholders from taking advantage of all the benefits and accessibility that these new digital systems offer (Digital Health and Care Wales, 2023). The current data surrounding the overall effectiveness of integrating technology is in short supply. Yet, there is evidence that if concerns are taken into account and acknowledged when integrating these systems, there is strong evidence to support it can change service user care and staff needs for the better </w:t>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Farre</w:t>
      </w:r>
      <w:r w:rsidDel="00000000" w:rsidR="00000000" w:rsidRPr="00000000">
        <w:rPr>
          <w:rFonts w:ascii="Calibri" w:cs="Calibri" w:eastAsia="Calibri" w:hAnsi="Calibri"/>
          <w:rtl w:val="0"/>
        </w:rPr>
        <w:t xml:space="preserve"> et al., 2023). </w:t>
      </w:r>
    </w:p>
    <w:p w:rsidR="00000000" w:rsidDel="00000000" w:rsidP="00000000" w:rsidRDefault="00000000" w:rsidRPr="00000000" w14:paraId="00000017">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18">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19">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1A">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1B">
      <w:pPr>
        <w:ind w:left="0" w:firstLine="720"/>
        <w:rPr>
          <w:rFonts w:ascii="Calibri" w:cs="Calibri" w:eastAsia="Calibri" w:hAnsi="Calibri"/>
        </w:rPr>
      </w:pPr>
      <w:r w:rsidDel="00000000" w:rsidR="00000000" w:rsidRPr="00000000">
        <w:rPr>
          <w:rtl w:val="0"/>
        </w:rPr>
      </w:r>
    </w:p>
    <w:p w:rsidR="00000000" w:rsidDel="00000000" w:rsidP="00000000" w:rsidRDefault="00000000" w:rsidRPr="00000000" w14:paraId="0000001C">
      <w:pPr>
        <w:ind w:left="0" w:firstLine="0"/>
        <w:rPr>
          <w:rFonts w:ascii="Calibri" w:cs="Calibri" w:eastAsia="Calibri" w:hAnsi="Calibri"/>
          <w:b w:val="1"/>
          <w:bCs w:val="1"/>
          <w:u w:val="single"/>
        </w:rPr>
      </w:pPr>
      <w:r w:rsidDel="00000000" w:rsidR="00000000" w:rsidRPr="00000000">
        <w:rPr>
          <w:rFonts w:ascii="Calibri" w:cs="Calibri" w:eastAsia="Calibri" w:hAnsi="Calibri"/>
          <w:b w:val="1"/>
          <w:bCs w:val="1"/>
          <w:u w:val="single"/>
          <w:rtl w:val="0"/>
        </w:rPr>
        <w:t xml:space="preserve">References: </w:t>
      </w:r>
    </w:p>
    <w:p w:rsidR="00000000" w:rsidDel="00000000" w:rsidP="00000000" w:rsidRDefault="00000000" w:rsidRPr="00000000" w14:paraId="0000001D">
      <w:pPr>
        <w:ind w:left="0" w:firstLine="0"/>
        <w:rPr>
          <w:rFonts w:ascii="Calibri" w:cs="Calibri" w:eastAsia="Calibri" w:hAnsi="Calibri"/>
          <w:b w:val="1"/>
          <w:bCs w:val="1"/>
          <w:u w:val="single"/>
        </w:rPr>
      </w:pPr>
      <w:r w:rsidDel="00000000" w:rsidR="00000000" w:rsidRPr="00000000">
        <w:rPr>
          <w:rtl w:val="0"/>
        </w:rPr>
      </w:r>
    </w:p>
    <w:p w:rsidR="00000000" w:rsidDel="00000000" w:rsidP="00000000" w:rsidRDefault="00000000" w:rsidRPr="00000000" w14:paraId="0000001E">
      <w:pPr>
        <w:ind w:left="0" w:firstLine="0"/>
        <w:rPr>
          <w:rFonts w:ascii="Calibri" w:cs="Calibri" w:eastAsia="Calibri" w:hAnsi="Calibri"/>
        </w:rPr>
      </w:pPr>
      <w:r w:rsidDel="00000000" w:rsidR="00000000" w:rsidRPr="00000000">
        <w:rPr>
          <w:rFonts w:ascii="Calibri" w:cs="Calibri" w:eastAsia="Calibri" w:hAnsi="Calibri"/>
          <w:rtl w:val="0"/>
        </w:rPr>
        <w:t xml:space="preserve">Arnold, S., Charles, A., Naylor, C., Wellings, D., Berry, N., Mistry, P., Wickens, C., Baird, B., Buck, D. and Walsh, D.N. (2025) Truly Fit For The Future? The 10 Year Health Plan Explained | The King’s Fund, The King’s Fund. Available at: </w:t>
      </w:r>
      <w:hyperlink r:id="rId6">
        <w:r w:rsidDel="00000000" w:rsidR="00000000" w:rsidRPr="00000000">
          <w:rPr>
            <w:rFonts w:ascii="Calibri" w:cs="Calibri" w:eastAsia="Calibri" w:hAnsi="Calibri"/>
            <w:color w:val="1155cc"/>
            <w:u w:val="single"/>
            <w:rtl w:val="0"/>
          </w:rPr>
          <w:t xml:space="preserve">https://www.kingsfund.org.uk/insight-and-analysis/long-reads/ten-year-health-plan-explained</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1F">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0">
      <w:pPr>
        <w:ind w:left="0" w:firstLine="0"/>
        <w:rPr>
          <w:rFonts w:ascii="Calibri" w:cs="Calibri" w:eastAsia="Calibri" w:hAnsi="Calibri"/>
        </w:rPr>
      </w:pPr>
      <w:r w:rsidDel="00000000" w:rsidR="00000000" w:rsidRPr="00000000">
        <w:rPr>
          <w:rFonts w:ascii="Calibri" w:cs="Calibri" w:eastAsia="Calibri" w:hAnsi="Calibri"/>
          <w:rtl w:val="0"/>
        </w:rPr>
        <w:t xml:space="preserve">Crown Commercial Service (2023) Your guide to digital transformation in the NHS Transform Year 2 and 3 Enhance. Available at: </w:t>
      </w:r>
      <w:hyperlink r:id="rId7">
        <w:r w:rsidDel="00000000" w:rsidR="00000000" w:rsidRPr="00000000">
          <w:rPr>
            <w:rFonts w:ascii="Calibri" w:cs="Calibri" w:eastAsia="Calibri" w:hAnsi="Calibri"/>
            <w:color w:val="1155cc"/>
            <w:u w:val="single"/>
            <w:rtl w:val="0"/>
          </w:rPr>
          <w:t xml:space="preserve">https://assets.crowncommercial.gov.uk/wp-content/uploads/CCS-digital-transformation-in-the-NHS-guide-v2.pdf</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1">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2">
      <w:pPr>
        <w:ind w:left="0" w:firstLine="0"/>
        <w:rPr>
          <w:rFonts w:ascii="Calibri" w:cs="Calibri" w:eastAsia="Calibri" w:hAnsi="Calibri"/>
        </w:rPr>
      </w:pPr>
      <w:r w:rsidDel="00000000" w:rsidR="00000000" w:rsidRPr="00000000">
        <w:rPr>
          <w:rFonts w:ascii="Calibri" w:cs="Calibri" w:eastAsia="Calibri" w:hAnsi="Calibri"/>
          <w:rtl w:val="0"/>
        </w:rPr>
        <w:t xml:space="preserve">Digital Health and Care Wales (2023) Digital Healthcare Transformation in Wales. Available at: </w:t>
      </w:r>
      <w:hyperlink r:id="rId8">
        <w:r w:rsidDel="00000000" w:rsidR="00000000" w:rsidRPr="00000000">
          <w:rPr>
            <w:rFonts w:ascii="Calibri" w:cs="Calibri" w:eastAsia="Calibri" w:hAnsi="Calibri"/>
            <w:color w:val="1155cc"/>
            <w:u w:val="single"/>
            <w:rtl w:val="0"/>
          </w:rPr>
          <w:t xml:space="preserve">https://www.bevanfoundation.org/wp-content/uploads/2023/05/03-A4-Supplement-SINGLES-1.pdf</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3">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4">
      <w:pPr>
        <w:ind w:left="0" w:firstLine="0"/>
        <w:rPr>
          <w:rFonts w:ascii="Calibri" w:cs="Calibri" w:eastAsia="Calibri" w:hAnsi="Calibri"/>
        </w:rPr>
      </w:pPr>
      <w:r w:rsidDel="00000000" w:rsidR="00000000" w:rsidRPr="00000000">
        <w:rPr>
          <w:rFonts w:ascii="Calibri" w:cs="Calibri" w:eastAsia="Calibri" w:hAnsi="Calibri"/>
          <w:rtl w:val="0"/>
        </w:rPr>
        <w:t xml:space="preserve">Dunn, P., Honeyman, M. and McKenna, H. (2016) A digital NHS?, The King’s Fund. Available at: </w:t>
      </w:r>
      <w:hyperlink r:id="rId9">
        <w:r w:rsidDel="00000000" w:rsidR="00000000" w:rsidRPr="00000000">
          <w:rPr>
            <w:rFonts w:ascii="Calibri" w:cs="Calibri" w:eastAsia="Calibri" w:hAnsi="Calibri"/>
            <w:color w:val="1155cc"/>
            <w:u w:val="single"/>
            <w:rtl w:val="0"/>
          </w:rPr>
          <w:t xml:space="preserve">https://www.kingsfund.org.uk/insight-and-analysis/reports/digital-nhs</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5">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6">
      <w:pPr>
        <w:ind w:left="0" w:firstLine="0"/>
        <w:rPr>
          <w:rFonts w:ascii="Calibri" w:cs="Calibri" w:eastAsia="Calibri" w:hAnsi="Calibri"/>
        </w:rPr>
      </w:pPr>
      <w:r w:rsidDel="00000000" w:rsidR="00000000" w:rsidRPr="00000000">
        <w:rPr>
          <w:rFonts w:ascii="Calibri" w:cs="Calibri" w:eastAsia="Calibri" w:hAnsi="Calibri"/>
          <w:rtl w:val="0"/>
        </w:rPr>
        <w:t xml:space="preserve">Farre, A., Mei Lan Fang, Hannah, E., Meiko Makita, McFadden, A., Menezes, D., Rodriguez, A., Sixsmith, J. and Gray, N. (2023) ‘Exploring the use of digital technology to deliver healthcare services with explicit consideration of health inequalities in UK settings: A scoping review’, Digital health, 9(9). Available at: </w:t>
      </w:r>
      <w:hyperlink r:id="rId10">
        <w:r w:rsidDel="00000000" w:rsidR="00000000" w:rsidRPr="00000000">
          <w:rPr>
            <w:rFonts w:ascii="Calibri" w:cs="Calibri" w:eastAsia="Calibri" w:hAnsi="Calibri"/>
            <w:color w:val="1155cc"/>
            <w:u w:val="single"/>
            <w:rtl w:val="0"/>
          </w:rPr>
          <w:t xml:space="preserve">https://doi.org/10.1177/20552076231185442</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7">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8">
      <w:pPr>
        <w:ind w:left="0" w:firstLine="0"/>
        <w:rPr>
          <w:rFonts w:ascii="Calibri" w:cs="Calibri" w:eastAsia="Calibri" w:hAnsi="Calibri"/>
        </w:rPr>
      </w:pPr>
      <w:r w:rsidDel="00000000" w:rsidR="00000000" w:rsidRPr="00000000">
        <w:rPr>
          <w:rFonts w:ascii="Calibri" w:cs="Calibri" w:eastAsia="Calibri" w:hAnsi="Calibri"/>
          <w:rtl w:val="0"/>
        </w:rPr>
        <w:t xml:space="preserve">Fitzpatrick, P.J. (2023) ‘Improving health literacy using the power of digital communications to achieve better health outcomes for patients and practitioners’, Frontiers in Digital Health, 5(1). Available at: </w:t>
      </w:r>
      <w:hyperlink r:id="rId11">
        <w:r w:rsidDel="00000000" w:rsidR="00000000" w:rsidRPr="00000000">
          <w:rPr>
            <w:rFonts w:ascii="Calibri" w:cs="Calibri" w:eastAsia="Calibri" w:hAnsi="Calibri"/>
            <w:color w:val="1155cc"/>
            <w:u w:val="single"/>
            <w:rtl w:val="0"/>
          </w:rPr>
          <w:t xml:space="preserve">https://doi.org/10.3389/fdgth.2023.1264780</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9">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A">
      <w:pPr>
        <w:ind w:left="0" w:firstLine="0"/>
        <w:rPr>
          <w:rFonts w:ascii="Calibri" w:cs="Calibri" w:eastAsia="Calibri" w:hAnsi="Calibri"/>
        </w:rPr>
      </w:pPr>
      <w:r w:rsidDel="00000000" w:rsidR="00000000" w:rsidRPr="00000000">
        <w:rPr>
          <w:rFonts w:ascii="Calibri" w:cs="Calibri" w:eastAsia="Calibri" w:hAnsi="Calibri"/>
          <w:rtl w:val="0"/>
        </w:rPr>
        <w:t xml:space="preserve">GOV.UK (2025a) Chapter 2: where the NHS is today, GOV.UK. Available at: </w:t>
      </w:r>
      <w:hyperlink r:id="rId12">
        <w:r w:rsidDel="00000000" w:rsidR="00000000" w:rsidRPr="00000000">
          <w:rPr>
            <w:rFonts w:ascii="Calibri" w:cs="Calibri" w:eastAsia="Calibri" w:hAnsi="Calibri"/>
            <w:color w:val="1155cc"/>
            <w:u w:val="single"/>
            <w:rtl w:val="0"/>
          </w:rPr>
          <w:t xml:space="preserve">https://www.gov.uk/government/publications/engagement-insight-report-10-year-health-plan-for-england/chapter-2-where-the-nhs-is-today</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B">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C">
      <w:pPr>
        <w:ind w:left="0" w:firstLine="0"/>
        <w:rPr>
          <w:rFonts w:ascii="Calibri" w:cs="Calibri" w:eastAsia="Calibri" w:hAnsi="Calibri"/>
        </w:rPr>
      </w:pPr>
      <w:r w:rsidDel="00000000" w:rsidR="00000000" w:rsidRPr="00000000">
        <w:rPr>
          <w:rFonts w:ascii="Calibri" w:cs="Calibri" w:eastAsia="Calibri" w:hAnsi="Calibri"/>
          <w:rtl w:val="0"/>
        </w:rPr>
        <w:t xml:space="preserve">GOV.UK (2025b) Patients to benefit from cutting-edge NHS care from their homes, GOV.UK. Available at: </w:t>
      </w:r>
      <w:hyperlink r:id="rId13">
        <w:r w:rsidDel="00000000" w:rsidR="00000000" w:rsidRPr="00000000">
          <w:rPr>
            <w:rFonts w:ascii="Calibri" w:cs="Calibri" w:eastAsia="Calibri" w:hAnsi="Calibri"/>
            <w:color w:val="1155cc"/>
            <w:u w:val="single"/>
            <w:rtl w:val="0"/>
          </w:rPr>
          <w:t xml:space="preserve">https://www.gov.uk/government/news/patients-to-benefit-from-cutting-edge-nhs-care-from-their-homes</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D">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2E">
      <w:pPr>
        <w:ind w:left="0" w:firstLine="0"/>
        <w:rPr>
          <w:rFonts w:ascii="Calibri" w:cs="Calibri" w:eastAsia="Calibri" w:hAnsi="Calibri"/>
        </w:rPr>
      </w:pPr>
      <w:r w:rsidDel="00000000" w:rsidR="00000000" w:rsidRPr="00000000">
        <w:rPr>
          <w:rFonts w:ascii="Calibri" w:cs="Calibri" w:eastAsia="Calibri" w:hAnsi="Calibri"/>
          <w:rtl w:val="0"/>
        </w:rPr>
        <w:t xml:space="preserve">Johns, G., Whistance, B., Burhouse, A., Khalil, S., Whistance, M., Ahuja, S., Ogonovsky, M. and Ahuja, A. (2023) ‘Benefits, challenges and sustainability of digital healthcare for NHS Wales: a qualitative study’, BMJ Open, 13(5), p. e069371. Available at: </w:t>
      </w:r>
      <w:hyperlink r:id="rId14">
        <w:r w:rsidDel="00000000" w:rsidR="00000000" w:rsidRPr="00000000">
          <w:rPr>
            <w:rFonts w:ascii="Calibri" w:cs="Calibri" w:eastAsia="Calibri" w:hAnsi="Calibri"/>
            <w:color w:val="1155cc"/>
            <w:u w:val="single"/>
            <w:rtl w:val="0"/>
          </w:rPr>
          <w:t xml:space="preserve">https://doi.org/10.1136/bmjopen-2022-069371</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2F">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0">
      <w:pPr>
        <w:ind w:left="0" w:firstLine="0"/>
        <w:rPr>
          <w:rFonts w:ascii="Calibri" w:cs="Calibri" w:eastAsia="Calibri" w:hAnsi="Calibri"/>
        </w:rPr>
      </w:pPr>
      <w:r w:rsidDel="00000000" w:rsidR="00000000" w:rsidRPr="00000000">
        <w:rPr>
          <w:rFonts w:ascii="Calibri" w:cs="Calibri" w:eastAsia="Calibri" w:hAnsi="Calibri"/>
          <w:rtl w:val="0"/>
        </w:rPr>
        <w:t xml:space="preserve">Livieri, G., Mangina, E., Protopapadakis, E.D. and Panayiotou, A.G. (2025) ‘The gaps and challenges in digital health technology use as perceived by patients: a scoping review and narrative meta-synthesis’, Frontiers in Digital Health, 7(7). Available at: </w:t>
      </w:r>
      <w:hyperlink r:id="rId15">
        <w:r w:rsidDel="00000000" w:rsidR="00000000" w:rsidRPr="00000000">
          <w:rPr>
            <w:rFonts w:ascii="Calibri" w:cs="Calibri" w:eastAsia="Calibri" w:hAnsi="Calibri"/>
            <w:color w:val="1155cc"/>
            <w:u w:val="single"/>
            <w:rtl w:val="0"/>
          </w:rPr>
          <w:t xml:space="preserve">https://doi.org/10.3389/fdgth.2025.1474956</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1">
      <w:pPr>
        <w:ind w:left="0" w:firstLine="0"/>
        <w:rPr>
          <w:rFonts w:ascii="Calibri" w:cs="Calibri" w:eastAsia="Calibri" w:hAnsi="Calibri"/>
        </w:rPr>
      </w:pPr>
      <w:r w:rsidDel="00000000" w:rsidR="00000000" w:rsidRPr="00000000">
        <w:rPr>
          <w:rFonts w:ascii="Calibri" w:cs="Calibri" w:eastAsia="Calibri" w:hAnsi="Calibri"/>
          <w:rtl w:val="0"/>
        </w:rPr>
        <w:t xml:space="preserve">Madanian, S., Nakarada-Kordic, I., Reay, S. and Chetty, T. (2023) ‘Patients’ perspectives on digital health tools’, PEC Innovation, 2(2), pp. 100171–100171. Available at: </w:t>
      </w:r>
      <w:hyperlink r:id="rId16">
        <w:r w:rsidDel="00000000" w:rsidR="00000000" w:rsidRPr="00000000">
          <w:rPr>
            <w:rFonts w:ascii="Calibri" w:cs="Calibri" w:eastAsia="Calibri" w:hAnsi="Calibri"/>
            <w:color w:val="1155cc"/>
            <w:u w:val="single"/>
            <w:rtl w:val="0"/>
          </w:rPr>
          <w:t xml:space="preserve">https://doi.org/10.1016/j.pecinn.2023.100171</w:t>
        </w:r>
      </w:hyperlink>
      <w:r w:rsidDel="00000000" w:rsidR="00000000" w:rsidRPr="00000000">
        <w:rPr>
          <w:rFonts w:ascii="Calibri" w:cs="Calibri" w:eastAsia="Calibri" w:hAnsi="Calibri"/>
          <w:rtl w:val="0"/>
        </w:rPr>
        <w:t xml:space="preserve">.</w:t>
      </w:r>
    </w:p>
    <w:p w:rsidR="00000000" w:rsidDel="00000000" w:rsidP="00000000" w:rsidRDefault="00000000" w:rsidRPr="00000000" w14:paraId="00000032">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3">
      <w:pPr>
        <w:ind w:left="0" w:firstLine="0"/>
        <w:rPr>
          <w:rFonts w:ascii="Calibri" w:cs="Calibri" w:eastAsia="Calibri" w:hAnsi="Calibri"/>
        </w:rPr>
      </w:pPr>
      <w:r w:rsidDel="00000000" w:rsidR="00000000" w:rsidRPr="00000000">
        <w:rPr>
          <w:rFonts w:ascii="Calibri" w:cs="Calibri" w:eastAsia="Calibri" w:hAnsi="Calibri"/>
          <w:rtl w:val="0"/>
        </w:rPr>
        <w:t xml:space="preserve">Mauro, M., Noto, G., Prenestini, A. and Sarto, F. (2024) ‘Digital transformation in healthcare: Assessing the role of digital technologies for managerial support processes’, Technological Forecasting and Social Change, 209(123781), p. 123781. Available at: </w:t>
      </w:r>
      <w:hyperlink r:id="rId17">
        <w:r w:rsidDel="00000000" w:rsidR="00000000" w:rsidRPr="00000000">
          <w:rPr>
            <w:rFonts w:ascii="Calibri" w:cs="Calibri" w:eastAsia="Calibri" w:hAnsi="Calibri"/>
            <w:color w:val="1155cc"/>
            <w:u w:val="single"/>
            <w:rtl w:val="0"/>
          </w:rPr>
          <w:t xml:space="preserve">https://doi.org/10.1016/j.techfore.2024.123781</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4">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5">
      <w:pPr>
        <w:ind w:left="0" w:firstLine="0"/>
        <w:rPr>
          <w:rFonts w:ascii="Calibri" w:cs="Calibri" w:eastAsia="Calibri" w:hAnsi="Calibri"/>
        </w:rPr>
      </w:pPr>
      <w:r w:rsidDel="00000000" w:rsidR="00000000" w:rsidRPr="00000000">
        <w:rPr>
          <w:rFonts w:ascii="Calibri" w:cs="Calibri" w:eastAsia="Calibri" w:hAnsi="Calibri"/>
          <w:rtl w:val="0"/>
        </w:rPr>
        <w:t xml:space="preserve">Mesinioti, P., Dykes, L., Rigney, R. and Sheard, L. (2026) ‘“It’s not bullying if I do it to everyone”: What are the red flags of a toxic healthcare workplace culture? #MedTwitter responses from UK NHS healthcare professionals – A qualitative study’, SSM - Qualitative Research in Health, 9, p. 100705. Available at: </w:t>
      </w:r>
      <w:hyperlink r:id="rId18">
        <w:r w:rsidDel="00000000" w:rsidR="00000000" w:rsidRPr="00000000">
          <w:rPr>
            <w:rFonts w:ascii="Calibri" w:cs="Calibri" w:eastAsia="Calibri" w:hAnsi="Calibri"/>
            <w:color w:val="1155cc"/>
            <w:u w:val="single"/>
            <w:rtl w:val="0"/>
          </w:rPr>
          <w:t xml:space="preserve">https://doi.org/10.1016/j.ssmqr.2026.100705</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6">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7">
      <w:pPr>
        <w:ind w:left="0" w:firstLine="0"/>
        <w:rPr>
          <w:rFonts w:ascii="Calibri" w:cs="Calibri" w:eastAsia="Calibri" w:hAnsi="Calibri"/>
        </w:rPr>
      </w:pPr>
      <w:r w:rsidDel="00000000" w:rsidR="00000000" w:rsidRPr="00000000">
        <w:rPr>
          <w:rFonts w:ascii="Calibri" w:cs="Calibri" w:eastAsia="Calibri" w:hAnsi="Calibri"/>
          <w:rtl w:val="0"/>
        </w:rPr>
        <w:t xml:space="preserve">Nidha Shapoo, Naveed Shapoo, Rehman, A. and Boma, N. (2025) ‘Smart Healthcare: The Role of Digital Health in Modern Medicine’, Health care science, 4(3). Available at: </w:t>
      </w:r>
      <w:hyperlink r:id="rId19">
        <w:r w:rsidDel="00000000" w:rsidR="00000000" w:rsidRPr="00000000">
          <w:rPr>
            <w:rFonts w:ascii="Calibri" w:cs="Calibri" w:eastAsia="Calibri" w:hAnsi="Calibri"/>
            <w:color w:val="1155cc"/>
            <w:u w:val="single"/>
            <w:rtl w:val="0"/>
          </w:rPr>
          <w:t xml:space="preserve">https://doi.org/10.1002/hcs2.70019</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8">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9">
      <w:pPr>
        <w:ind w:left="0" w:firstLine="0"/>
        <w:rPr>
          <w:rFonts w:ascii="Calibri" w:cs="Calibri" w:eastAsia="Calibri" w:hAnsi="Calibri"/>
        </w:rPr>
      </w:pPr>
      <w:r w:rsidDel="00000000" w:rsidR="00000000" w:rsidRPr="00000000">
        <w:rPr>
          <w:rFonts w:ascii="Calibri" w:cs="Calibri" w:eastAsia="Calibri" w:hAnsi="Calibri"/>
          <w:rtl w:val="0"/>
        </w:rPr>
        <w:t xml:space="preserve">Peek, N., Sujan, M. and Scott, P. (2023) ‘Digital health and care: emerging from pandemic times’, BMJ Health &amp; Care Informatics, 30(1), p. e100861. Available at: </w:t>
      </w:r>
      <w:hyperlink r:id="rId20">
        <w:r w:rsidDel="00000000" w:rsidR="00000000" w:rsidRPr="00000000">
          <w:rPr>
            <w:rFonts w:ascii="Calibri" w:cs="Calibri" w:eastAsia="Calibri" w:hAnsi="Calibri"/>
            <w:color w:val="1155cc"/>
            <w:u w:val="single"/>
            <w:rtl w:val="0"/>
          </w:rPr>
          <w:t xml:space="preserve">https://doi.org/10.1136/bmjhci-2023-100861</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A">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B">
      <w:pPr>
        <w:ind w:left="0" w:firstLine="0"/>
        <w:rPr>
          <w:rFonts w:ascii="Calibri" w:cs="Calibri" w:eastAsia="Calibri" w:hAnsi="Calibri"/>
        </w:rPr>
      </w:pPr>
      <w:r w:rsidDel="00000000" w:rsidR="00000000" w:rsidRPr="00000000">
        <w:rPr>
          <w:rFonts w:ascii="Calibri" w:cs="Calibri" w:eastAsia="Calibri" w:hAnsi="Calibri"/>
          <w:rtl w:val="0"/>
        </w:rPr>
        <w:t xml:space="preserve">Pope, R., Alexandros Zenonos, Bryant, W., Spiridou, A., Key, D., Patel, S., Robinson, J., Styles, A., Rockenbach, C., Bicknell, G., Rajendran, P., Taylor, A.M. and Sebire, N.J. (2024) ‘Real-World Learnings for Digital Health Industry-NHS Collaboration: Life Sciences Vision in Action’, Future Healthcare Journal, 11(3), pp. 100168–100168. Available at: </w:t>
      </w:r>
      <w:hyperlink r:id="rId21">
        <w:r w:rsidDel="00000000" w:rsidR="00000000" w:rsidRPr="00000000">
          <w:rPr>
            <w:rFonts w:ascii="Calibri" w:cs="Calibri" w:eastAsia="Calibri" w:hAnsi="Calibri"/>
            <w:color w:val="1155cc"/>
            <w:u w:val="single"/>
            <w:rtl w:val="0"/>
          </w:rPr>
          <w:t xml:space="preserve">https://doi.org/10.1016/j.fhj.2024.100168</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C">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D">
      <w:pPr>
        <w:ind w:left="0" w:firstLine="0"/>
        <w:rPr>
          <w:rFonts w:ascii="Calibri" w:cs="Calibri" w:eastAsia="Calibri" w:hAnsi="Calibri"/>
        </w:rPr>
      </w:pPr>
      <w:r w:rsidDel="00000000" w:rsidR="00000000" w:rsidRPr="00000000">
        <w:rPr>
          <w:rFonts w:ascii="Calibri" w:cs="Calibri" w:eastAsia="Calibri" w:hAnsi="Calibri"/>
          <w:rtl w:val="0"/>
        </w:rPr>
        <w:t xml:space="preserve">Shah, B., Allen, J.L.Y., Chaudhury, H., O’Shaughnessy, J. and Tyrrell, C.S.B. (2022) ‘The role of digital health in the future of integrated care’, Clinics in Integrated Care, 15(1), p. 100131. Available at: </w:t>
      </w:r>
      <w:hyperlink r:id="rId22">
        <w:r w:rsidDel="00000000" w:rsidR="00000000" w:rsidRPr="00000000">
          <w:rPr>
            <w:rFonts w:ascii="Calibri" w:cs="Calibri" w:eastAsia="Calibri" w:hAnsi="Calibri"/>
            <w:color w:val="1155cc"/>
            <w:u w:val="single"/>
            <w:rtl w:val="0"/>
          </w:rPr>
          <w:t xml:space="preserve">https://doi.org/10.1016/j.intcar.2022.100131</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3E">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F">
      <w:pPr>
        <w:ind w:left="0" w:firstLine="0"/>
        <w:rPr>
          <w:rFonts w:ascii="Calibri" w:cs="Calibri" w:eastAsia="Calibri" w:hAnsi="Calibri"/>
        </w:rPr>
      </w:pPr>
      <w:r w:rsidDel="00000000" w:rsidR="00000000" w:rsidRPr="00000000">
        <w:rPr>
          <w:rFonts w:ascii="Calibri" w:cs="Calibri" w:eastAsia="Calibri" w:hAnsi="Calibri"/>
          <w:rtl w:val="0"/>
        </w:rPr>
        <w:t xml:space="preserve">Singh, J. (2025) Digital transformation in the NHS: Navigating strategic shifts through system-wide coordination, Health Service Journal. Available at: </w:t>
      </w:r>
      <w:hyperlink r:id="rId23">
        <w:r w:rsidDel="00000000" w:rsidR="00000000" w:rsidRPr="00000000">
          <w:rPr>
            <w:rFonts w:ascii="Calibri" w:cs="Calibri" w:eastAsia="Calibri" w:hAnsi="Calibri"/>
            <w:color w:val="1155cc"/>
            <w:u w:val="single"/>
            <w:rtl w:val="0"/>
          </w:rPr>
          <w:t xml:space="preserve">https://www.hsj.co.uk/technology-and-innovation/digital-transformation-in-the-nhs-navigating-strategic-shifts-through-system-wide-coordination/7039908.article</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0">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1">
      <w:pPr>
        <w:ind w:left="0" w:firstLine="0"/>
        <w:rPr>
          <w:rFonts w:ascii="Calibri" w:cs="Calibri" w:eastAsia="Calibri" w:hAnsi="Calibri"/>
        </w:rPr>
      </w:pPr>
      <w:r w:rsidDel="00000000" w:rsidR="00000000" w:rsidRPr="00000000">
        <w:rPr>
          <w:rFonts w:ascii="Calibri" w:cs="Calibri" w:eastAsia="Calibri" w:hAnsi="Calibri"/>
          <w:rtl w:val="0"/>
        </w:rPr>
        <w:t xml:space="preserve">Stoumpos, A.I., Kitsios, F. and Talias, M.A. (2023) ‘Digital Transformation in healthcare: Technology Acceptance and Its Applications’, International Journal of Environmental Research and Public Health, 20(4). Available at: </w:t>
      </w:r>
      <w:hyperlink r:id="rId24">
        <w:r w:rsidDel="00000000" w:rsidR="00000000" w:rsidRPr="00000000">
          <w:rPr>
            <w:rFonts w:ascii="Calibri" w:cs="Calibri" w:eastAsia="Calibri" w:hAnsi="Calibri"/>
            <w:color w:val="1155cc"/>
            <w:u w:val="single"/>
            <w:rtl w:val="0"/>
          </w:rPr>
          <w:t xml:space="preserve">https://www.mdpi.com/1660-4601/20/4/3407</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2">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3">
      <w:pPr>
        <w:ind w:left="0" w:firstLine="0"/>
        <w:rPr>
          <w:rFonts w:ascii="Calibri" w:cs="Calibri" w:eastAsia="Calibri" w:hAnsi="Calibri"/>
        </w:rPr>
      </w:pPr>
      <w:r w:rsidDel="00000000" w:rsidR="00000000" w:rsidRPr="00000000">
        <w:rPr>
          <w:rFonts w:ascii="Calibri" w:cs="Calibri" w:eastAsia="Calibri" w:hAnsi="Calibri"/>
          <w:rtl w:val="0"/>
        </w:rPr>
        <w:t xml:space="preserve">Taylor, B., Dayan, M., Jefferies, D., Lobont, C., Merry, L. and Wellings, D. (2024) Public Satisfaction With The NHS And Social Care In 2024 | BSA | The King’s Fund, The King’s Fund. Available at: </w:t>
      </w:r>
      <w:hyperlink r:id="rId25">
        <w:r w:rsidDel="00000000" w:rsidR="00000000" w:rsidRPr="00000000">
          <w:rPr>
            <w:rFonts w:ascii="Calibri" w:cs="Calibri" w:eastAsia="Calibri" w:hAnsi="Calibri"/>
            <w:color w:val="1155cc"/>
            <w:u w:val="single"/>
            <w:rtl w:val="0"/>
          </w:rPr>
          <w:t xml:space="preserve">https://www.kingsfund.org.uk/insight-and-analysis/reports/public-satisfaction-nhs-social-care-in-2024-bsa</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4">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5">
      <w:pPr>
        <w:ind w:left="0" w:firstLine="0"/>
        <w:rPr>
          <w:rFonts w:ascii="Calibri" w:cs="Calibri" w:eastAsia="Calibri" w:hAnsi="Calibri"/>
        </w:rPr>
      </w:pPr>
      <w:r w:rsidDel="00000000" w:rsidR="00000000" w:rsidRPr="00000000">
        <w:rPr>
          <w:rFonts w:ascii="Calibri" w:cs="Calibri" w:eastAsia="Calibri" w:hAnsi="Calibri"/>
          <w:rtl w:val="0"/>
        </w:rPr>
        <w:t xml:space="preserve">Team Community (2025) What is Digital Literacy? And Why It Matters, Team CommUNITY. Available at: </w:t>
      </w:r>
      <w:hyperlink r:id="rId26">
        <w:r w:rsidDel="00000000" w:rsidR="00000000" w:rsidRPr="00000000">
          <w:rPr>
            <w:rFonts w:ascii="Calibri" w:cs="Calibri" w:eastAsia="Calibri" w:hAnsi="Calibri"/>
            <w:color w:val="1155cc"/>
            <w:u w:val="single"/>
            <w:rtl w:val="0"/>
          </w:rPr>
          <w:t xml:space="preserve">https://www.digitalrights.community/blog/what-is-digital-literacy</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6">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7">
      <w:pPr>
        <w:ind w:left="0" w:firstLine="0"/>
        <w:rPr>
          <w:rFonts w:ascii="Calibri" w:cs="Calibri" w:eastAsia="Calibri" w:hAnsi="Calibri"/>
        </w:rPr>
      </w:pPr>
      <w:r w:rsidDel="00000000" w:rsidR="00000000" w:rsidRPr="00000000">
        <w:rPr>
          <w:rFonts w:ascii="Calibri" w:cs="Calibri" w:eastAsia="Calibri" w:hAnsi="Calibri"/>
          <w:rtl w:val="0"/>
        </w:rPr>
        <w:t xml:space="preserve">UK Parliament (2022) Digital transformation in the NHS - Health and Social Care Committee, Parliament.uk. Available at: </w:t>
      </w:r>
      <w:hyperlink r:id="rId27">
        <w:r w:rsidDel="00000000" w:rsidR="00000000" w:rsidRPr="00000000">
          <w:rPr>
            <w:rFonts w:ascii="Calibri" w:cs="Calibri" w:eastAsia="Calibri" w:hAnsi="Calibri"/>
            <w:color w:val="1155cc"/>
            <w:u w:val="single"/>
            <w:rtl w:val="0"/>
          </w:rPr>
          <w:t xml:space="preserve">https://publications.parliament.uk/pa/cm5803/cmselect/cmhealth/223/report.html</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048">
      <w:pPr>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49">
      <w:pPr>
        <w:ind w:left="0" w:firstLine="0"/>
        <w:rPr>
          <w:rFonts w:ascii="Calibri" w:cs="Calibri" w:eastAsia="Calibri" w:hAnsi="Calibri"/>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36/bmjhci-2023-100861" TargetMode="External"/><Relationship Id="rId22" Type="http://schemas.openxmlformats.org/officeDocument/2006/relationships/hyperlink" Target="https://doi.org/10.1016/j.intcar.2022.100131" TargetMode="External"/><Relationship Id="rId21" Type="http://schemas.openxmlformats.org/officeDocument/2006/relationships/hyperlink" Target="https://doi.org/10.1016/j.fhj.2024.100168" TargetMode="External"/><Relationship Id="rId24" Type="http://schemas.openxmlformats.org/officeDocument/2006/relationships/hyperlink" Target="https://www.mdpi.com/1660-4601/20/4/3407" TargetMode="External"/><Relationship Id="rId23" Type="http://schemas.openxmlformats.org/officeDocument/2006/relationships/hyperlink" Target="https://www.hsj.co.uk/technology-and-innovation/digital-transformation-in-the-nhs-navigating-strategic-shifts-through-system-wide-coordination/7039908.articl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kingsfund.org.uk/insight-and-analysis/reports/digital-nhs" TargetMode="External"/><Relationship Id="rId26" Type="http://schemas.openxmlformats.org/officeDocument/2006/relationships/hyperlink" Target="https://www.digitalrights.community/blog/what-is-digital-literacy" TargetMode="External"/><Relationship Id="rId25" Type="http://schemas.openxmlformats.org/officeDocument/2006/relationships/hyperlink" Target="https://www.kingsfund.org.uk/insight-and-analysis/reports/public-satisfaction-nhs-social-care-in-2024-bsa" TargetMode="External"/><Relationship Id="rId27" Type="http://schemas.openxmlformats.org/officeDocument/2006/relationships/hyperlink" Target="https://publications.parliament.uk/pa/cm5803/cmselect/cmhealth/223/report.html" TargetMode="External"/><Relationship Id="rId5" Type="http://schemas.openxmlformats.org/officeDocument/2006/relationships/styles" Target="styles.xml"/><Relationship Id="rId6" Type="http://schemas.openxmlformats.org/officeDocument/2006/relationships/hyperlink" Target="https://www.kingsfund.org.uk/insight-and-analysis/long-reads/ten-year-health-plan-explained" TargetMode="External"/><Relationship Id="rId7" Type="http://schemas.openxmlformats.org/officeDocument/2006/relationships/hyperlink" Target="https://assets.crowncommercial.gov.uk/wp-content/uploads/CCS-digital-transformation-in-the-NHS-guide-v2.pdf" TargetMode="External"/><Relationship Id="rId8" Type="http://schemas.openxmlformats.org/officeDocument/2006/relationships/hyperlink" Target="https://www.bevanfoundation.org/wp-content/uploads/2023/05/03-A4-Supplement-SINGLES-1.pdf" TargetMode="External"/><Relationship Id="rId11" Type="http://schemas.openxmlformats.org/officeDocument/2006/relationships/hyperlink" Target="https://doi.org/10.3389/fdgth.2023.1264780" TargetMode="External"/><Relationship Id="rId10" Type="http://schemas.openxmlformats.org/officeDocument/2006/relationships/hyperlink" Target="https://doi.org/10.1177/20552076231185442" TargetMode="External"/><Relationship Id="rId13" Type="http://schemas.openxmlformats.org/officeDocument/2006/relationships/hyperlink" Target="https://www.gov.uk/government/news/patients-to-benefit-from-cutting-edge-nhs-care-from-their-homes" TargetMode="External"/><Relationship Id="rId12" Type="http://schemas.openxmlformats.org/officeDocument/2006/relationships/hyperlink" Target="https://www.gov.uk/government/publications/engagement-insight-report-10-year-health-plan-for-england/chapter-2-where-the-nhs-is-today" TargetMode="External"/><Relationship Id="rId15" Type="http://schemas.openxmlformats.org/officeDocument/2006/relationships/hyperlink" Target="https://doi.org/10.3389/fdgth.2025.1474956" TargetMode="External"/><Relationship Id="rId14" Type="http://schemas.openxmlformats.org/officeDocument/2006/relationships/hyperlink" Target="https://doi.org/10.1136/bmjopen-2022-069371" TargetMode="External"/><Relationship Id="rId17" Type="http://schemas.openxmlformats.org/officeDocument/2006/relationships/hyperlink" Target="https://doi.org/10.1016/j.techfore.2024.123781" TargetMode="External"/><Relationship Id="rId16" Type="http://schemas.openxmlformats.org/officeDocument/2006/relationships/hyperlink" Target="https://doi.org/10.1016/j.pecinn.2023.100171" TargetMode="External"/><Relationship Id="rId19" Type="http://schemas.openxmlformats.org/officeDocument/2006/relationships/hyperlink" Target="https://doi.org/10.1002/hcs2.70019" TargetMode="External"/><Relationship Id="rId18" Type="http://schemas.openxmlformats.org/officeDocument/2006/relationships/hyperlink" Target="https://doi.org/10.1016/j.ssmqr.2026.100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