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9CD5F" w14:textId="18FE619F" w:rsidR="00044ACF" w:rsidRDefault="00044ACF" w:rsidP="00C04DEA">
      <w:pPr>
        <w:pStyle w:val="Heading1"/>
        <w:jc w:val="right"/>
        <w:rPr>
          <w:rFonts w:ascii="Arial" w:hAnsi="Arial" w:cs="Arial"/>
          <w:sz w:val="24"/>
          <w:szCs w:val="24"/>
        </w:rPr>
      </w:pPr>
      <w:bookmarkStart w:id="0" w:name="_Toc147585806"/>
      <w:r>
        <w:rPr>
          <w:rFonts w:ascii="Arial" w:hAnsi="Arial" w:cs="Arial"/>
          <w:sz w:val="24"/>
          <w:szCs w:val="24"/>
        </w:rPr>
        <w:t>Assignment 1 Student Journal</w:t>
      </w:r>
      <w:r>
        <w:rPr>
          <w:rFonts w:ascii="Arial" w:hAnsi="Arial" w:cs="Arial"/>
          <w:sz w:val="24"/>
          <w:szCs w:val="24"/>
        </w:rPr>
        <w:br/>
        <w:t>Yasmin Begum Ali</w:t>
      </w:r>
      <w:r w:rsidR="006D4DFF">
        <w:rPr>
          <w:rFonts w:ascii="Arial" w:hAnsi="Arial" w:cs="Arial"/>
          <w:sz w:val="24"/>
          <w:szCs w:val="24"/>
        </w:rPr>
        <w:br/>
        <w:t>2238714</w:t>
      </w:r>
      <w:r w:rsidR="006D4DFF">
        <w:rPr>
          <w:rFonts w:ascii="Arial" w:hAnsi="Arial" w:cs="Arial"/>
          <w:sz w:val="24"/>
          <w:szCs w:val="24"/>
        </w:rPr>
        <w:br/>
        <w:t xml:space="preserve">Food &amp; Beverage </w:t>
      </w:r>
      <w:r w:rsidR="006736ED">
        <w:rPr>
          <w:rFonts w:ascii="Arial" w:hAnsi="Arial" w:cs="Arial"/>
          <w:sz w:val="24"/>
          <w:szCs w:val="24"/>
        </w:rPr>
        <w:t xml:space="preserve">Operation </w:t>
      </w:r>
      <w:r w:rsidR="006D4DFF">
        <w:rPr>
          <w:rFonts w:ascii="Arial" w:hAnsi="Arial" w:cs="Arial"/>
          <w:sz w:val="24"/>
          <w:szCs w:val="24"/>
        </w:rPr>
        <w:t>BMIH4002</w:t>
      </w:r>
      <w:r w:rsidR="006736ED">
        <w:rPr>
          <w:rFonts w:ascii="Arial" w:hAnsi="Arial" w:cs="Arial"/>
          <w:sz w:val="24"/>
          <w:szCs w:val="24"/>
        </w:rPr>
        <w:br/>
        <w:t>Philippa Fitzgerald</w:t>
      </w:r>
      <w:r w:rsidR="00396591">
        <w:rPr>
          <w:rFonts w:ascii="Arial" w:hAnsi="Arial" w:cs="Arial"/>
          <w:sz w:val="24"/>
          <w:szCs w:val="24"/>
        </w:rPr>
        <w:br/>
        <w:t xml:space="preserve">Wordcount: </w:t>
      </w:r>
      <w:r w:rsidR="00070D9A">
        <w:rPr>
          <w:rFonts w:ascii="Arial" w:hAnsi="Arial" w:cs="Arial"/>
          <w:sz w:val="24"/>
          <w:szCs w:val="24"/>
        </w:rPr>
        <w:t>842</w:t>
      </w:r>
    </w:p>
    <w:p w14:paraId="2FAAEA9C" w14:textId="77777777" w:rsidR="00070D9A" w:rsidRDefault="00070D9A" w:rsidP="00C04DEA">
      <w:pPr>
        <w:jc w:val="right"/>
        <w:rPr>
          <w:lang w:val="en-US"/>
        </w:rPr>
      </w:pPr>
    </w:p>
    <w:p w14:paraId="07BCD794" w14:textId="77777777" w:rsidR="00070D9A" w:rsidRDefault="00070D9A" w:rsidP="00070D9A">
      <w:pPr>
        <w:rPr>
          <w:lang w:val="en-US"/>
        </w:rPr>
      </w:pPr>
    </w:p>
    <w:p w14:paraId="0C35DC0B" w14:textId="77777777" w:rsidR="00070D9A" w:rsidRDefault="00070D9A" w:rsidP="00070D9A">
      <w:pPr>
        <w:rPr>
          <w:lang w:val="en-US"/>
        </w:rPr>
      </w:pPr>
    </w:p>
    <w:p w14:paraId="0DA00BE0" w14:textId="77777777" w:rsidR="00070D9A" w:rsidRDefault="00070D9A" w:rsidP="00070D9A">
      <w:pPr>
        <w:rPr>
          <w:lang w:val="en-US"/>
        </w:rPr>
      </w:pPr>
    </w:p>
    <w:p w14:paraId="68E1939B" w14:textId="77777777" w:rsidR="00070D9A" w:rsidRDefault="00070D9A" w:rsidP="00070D9A">
      <w:pPr>
        <w:rPr>
          <w:lang w:val="en-US"/>
        </w:rPr>
      </w:pPr>
    </w:p>
    <w:p w14:paraId="663B7F43" w14:textId="77777777" w:rsidR="00070D9A" w:rsidRDefault="00070D9A" w:rsidP="00070D9A">
      <w:pPr>
        <w:rPr>
          <w:lang w:val="en-US"/>
        </w:rPr>
      </w:pPr>
    </w:p>
    <w:p w14:paraId="4D4B63A3" w14:textId="77777777" w:rsidR="00070D9A" w:rsidRDefault="00070D9A" w:rsidP="00070D9A">
      <w:pPr>
        <w:rPr>
          <w:lang w:val="en-US"/>
        </w:rPr>
      </w:pPr>
    </w:p>
    <w:p w14:paraId="37095E23" w14:textId="77777777" w:rsidR="00070D9A" w:rsidRDefault="00070D9A" w:rsidP="00070D9A">
      <w:pPr>
        <w:rPr>
          <w:lang w:val="en-US"/>
        </w:rPr>
      </w:pPr>
    </w:p>
    <w:p w14:paraId="60427F12" w14:textId="77777777" w:rsidR="00070D9A" w:rsidRDefault="00070D9A" w:rsidP="00070D9A">
      <w:pPr>
        <w:rPr>
          <w:lang w:val="en-US"/>
        </w:rPr>
      </w:pPr>
    </w:p>
    <w:p w14:paraId="2DE3527F" w14:textId="77777777" w:rsidR="00070D9A" w:rsidRDefault="00070D9A" w:rsidP="00070D9A">
      <w:pPr>
        <w:rPr>
          <w:lang w:val="en-US"/>
        </w:rPr>
      </w:pPr>
    </w:p>
    <w:p w14:paraId="35B49B39" w14:textId="77777777" w:rsidR="00070D9A" w:rsidRDefault="00070D9A" w:rsidP="00070D9A">
      <w:pPr>
        <w:rPr>
          <w:lang w:val="en-US"/>
        </w:rPr>
      </w:pPr>
    </w:p>
    <w:p w14:paraId="44BC9660" w14:textId="77777777" w:rsidR="00070D9A" w:rsidRDefault="00070D9A" w:rsidP="00070D9A">
      <w:pPr>
        <w:rPr>
          <w:lang w:val="en-US"/>
        </w:rPr>
      </w:pPr>
    </w:p>
    <w:p w14:paraId="1DCA38E0" w14:textId="77777777" w:rsidR="00070D9A" w:rsidRDefault="00070D9A" w:rsidP="00070D9A">
      <w:pPr>
        <w:rPr>
          <w:lang w:val="en-US"/>
        </w:rPr>
      </w:pPr>
    </w:p>
    <w:p w14:paraId="4E84BE6A" w14:textId="24A007FD" w:rsidR="00070D9A" w:rsidRDefault="00070D9A" w:rsidP="00070D9A">
      <w:pPr>
        <w:rPr>
          <w:lang w:val="en-US"/>
        </w:rPr>
      </w:pPr>
    </w:p>
    <w:p w14:paraId="59E7D9FC" w14:textId="77777777" w:rsidR="00070D9A" w:rsidRPr="00070D9A" w:rsidRDefault="00070D9A" w:rsidP="00070D9A">
      <w:pPr>
        <w:rPr>
          <w:lang w:val="en-US"/>
        </w:rPr>
      </w:pPr>
    </w:p>
    <w:p w14:paraId="38BB0BDF" w14:textId="77777777" w:rsidR="00044ACF" w:rsidRPr="00044ACF" w:rsidRDefault="00044ACF" w:rsidP="00044ACF">
      <w:pPr>
        <w:rPr>
          <w:lang w:val="en-US"/>
        </w:rPr>
      </w:pPr>
    </w:p>
    <w:bookmarkEnd w:id="0"/>
    <w:p w14:paraId="77D89563" w14:textId="77777777" w:rsidR="00204B13" w:rsidRDefault="00204B13" w:rsidP="00D04E7D">
      <w:pPr>
        <w:spacing w:after="0"/>
        <w:rPr>
          <w:rFonts w:ascii="Arial" w:eastAsia="Times New Roman" w:hAnsi="Arial" w:cs="Arial"/>
          <w:color w:val="0E101A"/>
          <w:kern w:val="0"/>
          <w:szCs w:val="24"/>
          <w:lang w:val="en-US"/>
          <w14:ligatures w14:val="none"/>
        </w:rPr>
      </w:pPr>
    </w:p>
    <w:p w14:paraId="62483A07" w14:textId="77777777" w:rsidR="00204B13" w:rsidRDefault="003720D9" w:rsidP="00444EE9">
      <w:pPr>
        <w:spacing w:after="0"/>
        <w:rPr>
          <w:rFonts w:ascii="Arial" w:eastAsia="Times New Roman" w:hAnsi="Arial" w:cs="Arial"/>
          <w:color w:val="0E101A"/>
          <w:kern w:val="0"/>
          <w:szCs w:val="24"/>
          <w:lang w:val="en-US"/>
          <w14:ligatures w14:val="none"/>
        </w:rPr>
      </w:pPr>
      <w:r w:rsidRPr="003720D9">
        <w:rPr>
          <w:rFonts w:ascii="Arial" w:eastAsia="Times New Roman" w:hAnsi="Arial" w:cs="Arial"/>
          <w:color w:val="0E101A"/>
          <w:kern w:val="0"/>
          <w:szCs w:val="24"/>
          <w:lang w:val="en-US"/>
          <w14:ligatures w14:val="none"/>
        </w:rPr>
        <w:lastRenderedPageBreak/>
        <w:t>In the bustling culinary world, the significance of service quality stands paramount. Beyond the realm of delectable dishes, it is the standard of service that often dictates a diner's overall experience (Cheong and Law, 2022). I also inspected from Cheong and Law (2022) that, a restaurant's ability to ensure exemplary service stretches beyond mere interaction; it encapsulates the entirety of a guest's journey from entrance to exit. Excellence in this domain ensures not only immediate patron satisfaction but also carves pathways for enduring loyalty, where every satisfied customer becomes a potential brand promoter. Embedding high-quality service in a restaurant's ethics is imperative for both immediate recognition and long-term success (Mezni, Benslimane and Bellatreche, 2022). So, I developed this student journal focusing on restaurant service key skills and their achievement purposes.</w:t>
      </w:r>
    </w:p>
    <w:p w14:paraId="4482C5E0" w14:textId="77777777" w:rsidR="00204B13" w:rsidRDefault="00204B13" w:rsidP="00444EE9">
      <w:pPr>
        <w:spacing w:after="0"/>
        <w:rPr>
          <w:rFonts w:ascii="Arial" w:eastAsia="Times New Roman" w:hAnsi="Arial" w:cs="Arial"/>
          <w:color w:val="0E101A"/>
          <w:kern w:val="0"/>
          <w:szCs w:val="24"/>
          <w:lang w:val="en-US"/>
          <w14:ligatures w14:val="none"/>
        </w:rPr>
      </w:pPr>
    </w:p>
    <w:p w14:paraId="46632F9A" w14:textId="77777777" w:rsidR="00204B13" w:rsidRDefault="003720D9" w:rsidP="00444EE9">
      <w:pPr>
        <w:spacing w:after="0"/>
        <w:rPr>
          <w:rFonts w:ascii="Arial" w:eastAsia="Times New Roman" w:hAnsi="Arial" w:cs="Arial"/>
          <w:color w:val="0E101A"/>
          <w:kern w:val="0"/>
          <w:szCs w:val="24"/>
          <w:lang w:val="en-US"/>
          <w14:ligatures w14:val="none"/>
        </w:rPr>
      </w:pPr>
      <w:r w:rsidRPr="003720D9">
        <w:rPr>
          <w:rFonts w:ascii="Arial" w:eastAsia="Times New Roman" w:hAnsi="Arial" w:cs="Arial"/>
          <w:color w:val="0E101A"/>
          <w:kern w:val="0"/>
          <w:szCs w:val="24"/>
          <w:lang w:val="en-US"/>
          <w14:ligatures w14:val="none"/>
        </w:rPr>
        <w:t>Among the most imperative is </w:t>
      </w:r>
      <w:r w:rsidR="00D04E7D">
        <w:rPr>
          <w:rFonts w:ascii="Arial" w:eastAsia="Times New Roman" w:hAnsi="Arial" w:cs="Arial"/>
          <w:color w:val="0E101A"/>
          <w:kern w:val="0"/>
          <w:szCs w:val="24"/>
          <w:lang w:val="en-US"/>
          <w14:ligatures w14:val="none"/>
        </w:rPr>
        <w:t>a</w:t>
      </w:r>
      <w:r w:rsidRPr="00D04E7D">
        <w:rPr>
          <w:rFonts w:ascii="Arial" w:eastAsia="Times New Roman" w:hAnsi="Arial" w:cs="Arial"/>
          <w:color w:val="0E101A"/>
          <w:kern w:val="0"/>
          <w:szCs w:val="24"/>
          <w:lang w:val="en-US"/>
          <w14:ligatures w14:val="none"/>
        </w:rPr>
        <w:t>ctive</w:t>
      </w:r>
      <w:r w:rsidRPr="003720D9">
        <w:rPr>
          <w:rFonts w:ascii="Arial" w:eastAsia="Times New Roman" w:hAnsi="Arial" w:cs="Arial"/>
          <w:b/>
          <w:bCs/>
          <w:color w:val="0E101A"/>
          <w:kern w:val="0"/>
          <w:szCs w:val="24"/>
          <w:lang w:val="en-US"/>
          <w14:ligatures w14:val="none"/>
        </w:rPr>
        <w:t xml:space="preserve"> </w:t>
      </w:r>
      <w:r w:rsidR="00D04E7D">
        <w:rPr>
          <w:rFonts w:ascii="Arial" w:eastAsia="Times New Roman" w:hAnsi="Arial" w:cs="Arial"/>
          <w:color w:val="0E101A"/>
          <w:kern w:val="0"/>
          <w:szCs w:val="24"/>
          <w:lang w:val="en-US"/>
          <w14:ligatures w14:val="none"/>
        </w:rPr>
        <w:t>l</w:t>
      </w:r>
      <w:r w:rsidRPr="00D04E7D">
        <w:rPr>
          <w:rFonts w:ascii="Arial" w:eastAsia="Times New Roman" w:hAnsi="Arial" w:cs="Arial"/>
          <w:color w:val="0E101A"/>
          <w:kern w:val="0"/>
          <w:szCs w:val="24"/>
          <w:lang w:val="en-US"/>
          <w14:ligatures w14:val="none"/>
        </w:rPr>
        <w:t>istening</w:t>
      </w:r>
      <w:r w:rsidRPr="003720D9">
        <w:rPr>
          <w:rFonts w:ascii="Arial" w:eastAsia="Times New Roman" w:hAnsi="Arial" w:cs="Arial"/>
          <w:b/>
          <w:bCs/>
          <w:color w:val="0E101A"/>
          <w:kern w:val="0"/>
          <w:szCs w:val="24"/>
          <w:lang w:val="en-US"/>
          <w14:ligatures w14:val="none"/>
        </w:rPr>
        <w:t>, </w:t>
      </w:r>
      <w:r w:rsidRPr="003720D9">
        <w:rPr>
          <w:rFonts w:ascii="Arial" w:eastAsia="Times New Roman" w:hAnsi="Arial" w:cs="Arial"/>
          <w:color w:val="0E101A"/>
          <w:kern w:val="0"/>
          <w:szCs w:val="24"/>
          <w:lang w:val="en-US"/>
          <w14:ligatures w14:val="none"/>
        </w:rPr>
        <w:t>not only confined to auditory processing, but this skill dives into the realm of understanding subtle nuances in customers' expressions and words (Min, Jung and Ryu, 2021).</w:t>
      </w:r>
      <w:r w:rsidR="000C0186">
        <w:rPr>
          <w:rFonts w:ascii="Arial" w:eastAsia="Times New Roman" w:hAnsi="Arial" w:cs="Arial"/>
          <w:color w:val="0E101A"/>
          <w:kern w:val="0"/>
          <w:szCs w:val="24"/>
          <w:lang w:val="en-US"/>
          <w14:ligatures w14:val="none"/>
        </w:rPr>
        <w:t xml:space="preserve"> </w:t>
      </w:r>
      <w:r w:rsidRPr="003720D9">
        <w:rPr>
          <w:rFonts w:ascii="Arial" w:eastAsia="Times New Roman" w:hAnsi="Arial" w:cs="Arial"/>
          <w:color w:val="0E101A"/>
          <w:kern w:val="0"/>
          <w:szCs w:val="24"/>
          <w:lang w:val="en-US"/>
          <w14:ligatures w14:val="none"/>
        </w:rPr>
        <w:t>Also, </w:t>
      </w:r>
      <w:r w:rsidR="009917F3" w:rsidRPr="009917F3">
        <w:rPr>
          <w:rFonts w:ascii="Arial" w:eastAsia="Times New Roman" w:hAnsi="Arial" w:cs="Arial"/>
          <w:color w:val="0E101A"/>
          <w:kern w:val="0"/>
          <w:szCs w:val="24"/>
          <w:lang w:val="en-US"/>
          <w14:ligatures w14:val="none"/>
        </w:rPr>
        <w:t>e</w:t>
      </w:r>
      <w:r w:rsidRPr="009917F3">
        <w:rPr>
          <w:rFonts w:ascii="Arial" w:eastAsia="Times New Roman" w:hAnsi="Arial" w:cs="Arial"/>
          <w:color w:val="0E101A"/>
          <w:kern w:val="0"/>
          <w:szCs w:val="24"/>
          <w:lang w:val="en-US"/>
          <w14:ligatures w14:val="none"/>
        </w:rPr>
        <w:t>mpathy</w:t>
      </w:r>
      <w:r w:rsidRPr="003720D9">
        <w:rPr>
          <w:rFonts w:ascii="Arial" w:eastAsia="Times New Roman" w:hAnsi="Arial" w:cs="Arial"/>
          <w:color w:val="0E101A"/>
          <w:kern w:val="0"/>
          <w:szCs w:val="24"/>
          <w:lang w:val="en-US"/>
          <w14:ligatures w14:val="none"/>
        </w:rPr>
        <w:t xml:space="preserve"> rooted deeply in human interactions, allows service providers to don the shoes of the diner, leading to intuitive service that addresses both spoken and unspoken needs (Sibila and Johnson, 2020). Uzir et al. (2021) indicate that efficient time management ensures prompt service </w:t>
      </w:r>
      <w:r w:rsidR="000C0186">
        <w:rPr>
          <w:rFonts w:ascii="Arial" w:eastAsia="Times New Roman" w:hAnsi="Arial" w:cs="Arial"/>
          <w:color w:val="0E101A"/>
          <w:kern w:val="0"/>
          <w:szCs w:val="24"/>
          <w:lang w:val="en-US"/>
          <w14:ligatures w14:val="none"/>
        </w:rPr>
        <w:t xml:space="preserve">and </w:t>
      </w:r>
      <w:r w:rsidRPr="003720D9">
        <w:rPr>
          <w:rFonts w:ascii="Arial" w:eastAsia="Times New Roman" w:hAnsi="Arial" w:cs="Arial"/>
          <w:color w:val="0E101A"/>
          <w:kern w:val="0"/>
          <w:szCs w:val="24"/>
          <w:lang w:val="en-US"/>
          <w14:ligatures w14:val="none"/>
        </w:rPr>
        <w:t>gives professionals the bandwidth to handle unforeseen challenges without compromising the diner's experience. According to Uzir et al. (2021), </w:t>
      </w:r>
      <w:r w:rsidRPr="009917F3">
        <w:rPr>
          <w:rFonts w:ascii="Arial" w:eastAsia="Times New Roman" w:hAnsi="Arial" w:cs="Arial"/>
          <w:color w:val="0E101A"/>
          <w:kern w:val="0"/>
          <w:szCs w:val="24"/>
          <w:lang w:val="en-US"/>
          <w14:ligatures w14:val="none"/>
        </w:rPr>
        <w:t>Time</w:t>
      </w:r>
      <w:r w:rsidRPr="003720D9">
        <w:rPr>
          <w:rFonts w:ascii="Arial" w:eastAsia="Times New Roman" w:hAnsi="Arial" w:cs="Arial"/>
          <w:b/>
          <w:bCs/>
          <w:color w:val="0E101A"/>
          <w:kern w:val="0"/>
          <w:szCs w:val="24"/>
          <w:lang w:val="en-US"/>
          <w14:ligatures w14:val="none"/>
        </w:rPr>
        <w:t xml:space="preserve"> </w:t>
      </w:r>
      <w:r w:rsidRPr="009917F3">
        <w:rPr>
          <w:rFonts w:ascii="Arial" w:eastAsia="Times New Roman" w:hAnsi="Arial" w:cs="Arial"/>
          <w:color w:val="0E101A"/>
          <w:kern w:val="0"/>
          <w:szCs w:val="24"/>
          <w:lang w:val="en-US"/>
          <w14:ligatures w14:val="none"/>
        </w:rPr>
        <w:t>Management</w:t>
      </w:r>
      <w:r w:rsidRPr="003720D9">
        <w:rPr>
          <w:rFonts w:ascii="Arial" w:eastAsia="Times New Roman" w:hAnsi="Arial" w:cs="Arial"/>
          <w:color w:val="0E101A"/>
          <w:kern w:val="0"/>
          <w:szCs w:val="24"/>
          <w:lang w:val="en-US"/>
          <w14:ligatures w14:val="none"/>
        </w:rPr>
        <w:t> optimises every moment to enhance the customer's journey. Nadda (2022) posits that ket skill </w:t>
      </w:r>
      <w:r w:rsidR="009917F3" w:rsidRPr="009917F3">
        <w:rPr>
          <w:rFonts w:ascii="Arial" w:eastAsia="Times New Roman" w:hAnsi="Arial" w:cs="Arial"/>
          <w:color w:val="0E101A"/>
          <w:kern w:val="0"/>
          <w:szCs w:val="24"/>
          <w:lang w:val="en-US"/>
          <w14:ligatures w14:val="none"/>
        </w:rPr>
        <w:t>a</w:t>
      </w:r>
      <w:r w:rsidRPr="009917F3">
        <w:rPr>
          <w:rFonts w:ascii="Arial" w:eastAsia="Times New Roman" w:hAnsi="Arial" w:cs="Arial"/>
          <w:color w:val="0E101A"/>
          <w:kern w:val="0"/>
          <w:szCs w:val="24"/>
          <w:lang w:val="en-US"/>
          <w14:ligatures w14:val="none"/>
        </w:rPr>
        <w:t>daptability</w:t>
      </w:r>
      <w:r w:rsidRPr="003720D9">
        <w:rPr>
          <w:rFonts w:ascii="Arial" w:eastAsia="Times New Roman" w:hAnsi="Arial" w:cs="Arial"/>
          <w:b/>
          <w:bCs/>
          <w:color w:val="0E101A"/>
          <w:kern w:val="0"/>
          <w:szCs w:val="24"/>
          <w:lang w:val="en-US"/>
          <w14:ligatures w14:val="none"/>
        </w:rPr>
        <w:t> </w:t>
      </w:r>
      <w:r w:rsidRPr="003720D9">
        <w:rPr>
          <w:rFonts w:ascii="Arial" w:eastAsia="Times New Roman" w:hAnsi="Arial" w:cs="Arial"/>
          <w:color w:val="0E101A"/>
          <w:kern w:val="0"/>
          <w:szCs w:val="24"/>
          <w:lang w:val="en-US"/>
          <w14:ligatures w14:val="none"/>
        </w:rPr>
        <w:t>is not just reacting to situations but proactively adjusting to them, be it an unexpected surge in diners or adapting to unique customer requests. Regarding Nadda (2022), </w:t>
      </w:r>
      <w:r w:rsidRPr="009917F3">
        <w:rPr>
          <w:rFonts w:ascii="Arial" w:eastAsia="Times New Roman" w:hAnsi="Arial" w:cs="Arial"/>
          <w:color w:val="0E101A"/>
          <w:kern w:val="0"/>
          <w:szCs w:val="24"/>
          <w:lang w:val="en-US"/>
          <w14:ligatures w14:val="none"/>
        </w:rPr>
        <w:t>Teamwork</w:t>
      </w:r>
      <w:r w:rsidRPr="003720D9">
        <w:rPr>
          <w:rFonts w:ascii="Arial" w:eastAsia="Times New Roman" w:hAnsi="Arial" w:cs="Arial"/>
          <w:color w:val="0E101A"/>
          <w:kern w:val="0"/>
          <w:szCs w:val="24"/>
          <w:lang w:val="en-US"/>
          <w14:ligatures w14:val="none"/>
        </w:rPr>
        <w:t> that stitches a well-synchronised team, serves as the restaurant's backbone, ensuring each diner's experience is a harmonious blend of multiple expertise areas, making their journey memorable. Harnessing these skills, from Active Listening to Teamwork, offers me a blueprint to elevate the standard of service I can provide. </w:t>
      </w:r>
    </w:p>
    <w:p w14:paraId="5BB6A828" w14:textId="77777777" w:rsidR="00204B13" w:rsidRDefault="00204B13" w:rsidP="00444EE9">
      <w:pPr>
        <w:spacing w:after="0"/>
        <w:rPr>
          <w:rFonts w:ascii="Arial" w:eastAsia="Times New Roman" w:hAnsi="Arial" w:cs="Arial"/>
          <w:color w:val="0E101A"/>
          <w:kern w:val="0"/>
          <w:szCs w:val="24"/>
          <w:lang w:val="en-US"/>
          <w14:ligatures w14:val="none"/>
        </w:rPr>
      </w:pPr>
    </w:p>
    <w:p w14:paraId="24BB69B2" w14:textId="77777777" w:rsidR="00204B13" w:rsidRDefault="00F43F23" w:rsidP="002E29BB">
      <w:pPr>
        <w:spacing w:after="0"/>
        <w:rPr>
          <w:rFonts w:ascii="Arial" w:eastAsia="Times New Roman" w:hAnsi="Arial" w:cs="Arial"/>
          <w:color w:val="0E101A"/>
          <w:kern w:val="0"/>
          <w:szCs w:val="24"/>
          <w:lang w:val="en-US"/>
          <w14:ligatures w14:val="none"/>
        </w:rPr>
      </w:pPr>
      <w:r w:rsidRPr="00444EE9">
        <w:rPr>
          <w:rFonts w:ascii="Arial" w:eastAsia="Times New Roman" w:hAnsi="Arial" w:cs="Arial"/>
          <w:color w:val="0E101A"/>
          <w:kern w:val="0"/>
          <w:szCs w:val="24"/>
          <w:lang w:val="en-US"/>
          <w14:ligatures w14:val="none"/>
        </w:rPr>
        <w:t>Formal Training</w:t>
      </w:r>
      <w:r w:rsidRPr="00F43F23">
        <w:rPr>
          <w:rFonts w:ascii="Arial" w:eastAsia="Times New Roman" w:hAnsi="Arial" w:cs="Arial"/>
          <w:color w:val="0E101A"/>
          <w:kern w:val="0"/>
          <w:szCs w:val="24"/>
          <w:lang w:val="en-US"/>
          <w14:ligatures w14:val="none"/>
        </w:rPr>
        <w:t> offers a base, instilling foundational principles that define the essence of hospitality. But, theory is only the starting point (Viterouli </w:t>
      </w:r>
      <w:r w:rsidRPr="00B91BF7">
        <w:rPr>
          <w:rFonts w:ascii="Arial" w:eastAsia="Times New Roman" w:hAnsi="Arial" w:cs="Arial"/>
          <w:color w:val="0E101A"/>
          <w:kern w:val="0"/>
          <w:szCs w:val="24"/>
          <w:lang w:val="en-US"/>
          <w14:ligatures w14:val="none"/>
        </w:rPr>
        <w:t>et al.,</w:t>
      </w:r>
      <w:r w:rsidRPr="00F43F23">
        <w:rPr>
          <w:rFonts w:ascii="Arial" w:eastAsia="Times New Roman" w:hAnsi="Arial" w:cs="Arial"/>
          <w:color w:val="0E101A"/>
          <w:kern w:val="0"/>
          <w:szCs w:val="24"/>
          <w:lang w:val="en-US"/>
          <w14:ligatures w14:val="none"/>
        </w:rPr>
        <w:t xml:space="preserve"> 2023). </w:t>
      </w:r>
      <w:r w:rsidRPr="00444EE9">
        <w:rPr>
          <w:rFonts w:ascii="Arial" w:eastAsia="Times New Roman" w:hAnsi="Arial" w:cs="Arial"/>
          <w:color w:val="0E101A"/>
          <w:kern w:val="0"/>
          <w:szCs w:val="24"/>
          <w:lang w:val="en-US"/>
          <w14:ligatures w14:val="none"/>
        </w:rPr>
        <w:t>On-the-job</w:t>
      </w:r>
      <w:r w:rsidRPr="00F43F23">
        <w:rPr>
          <w:rFonts w:ascii="Arial" w:eastAsia="Times New Roman" w:hAnsi="Arial" w:cs="Arial"/>
          <w:b/>
          <w:bCs/>
          <w:color w:val="0E101A"/>
          <w:kern w:val="0"/>
          <w:szCs w:val="24"/>
          <w:lang w:val="en-US"/>
          <w14:ligatures w14:val="none"/>
        </w:rPr>
        <w:t xml:space="preserve"> </w:t>
      </w:r>
      <w:r w:rsidRPr="00444EE9">
        <w:rPr>
          <w:rFonts w:ascii="Arial" w:eastAsia="Times New Roman" w:hAnsi="Arial" w:cs="Arial"/>
          <w:color w:val="0E101A"/>
          <w:kern w:val="0"/>
          <w:szCs w:val="24"/>
          <w:lang w:val="en-US"/>
          <w14:ligatures w14:val="none"/>
        </w:rPr>
        <w:lastRenderedPageBreak/>
        <w:t>training</w:t>
      </w:r>
      <w:r w:rsidRPr="00F43F23">
        <w:rPr>
          <w:rFonts w:ascii="Arial" w:eastAsia="Times New Roman" w:hAnsi="Arial" w:cs="Arial"/>
          <w:color w:val="0E101A"/>
          <w:kern w:val="0"/>
          <w:szCs w:val="24"/>
          <w:lang w:val="en-US"/>
          <w14:ligatures w14:val="none"/>
        </w:rPr>
        <w:t> is invaluable. Serving in different restaurant settings provides direct exposure to varied customer expectations and preferences (Rashid, Hamzah and Ramli, 2020). </w:t>
      </w:r>
      <w:r w:rsidRPr="00444EE9">
        <w:rPr>
          <w:rFonts w:ascii="Arial" w:eastAsia="Times New Roman" w:hAnsi="Arial" w:cs="Arial"/>
          <w:color w:val="0E101A"/>
          <w:kern w:val="0"/>
          <w:szCs w:val="24"/>
          <w:lang w:val="en-US"/>
          <w14:ligatures w14:val="none"/>
        </w:rPr>
        <w:t>Mentorship</w:t>
      </w:r>
      <w:r w:rsidRPr="00F43F23">
        <w:rPr>
          <w:rFonts w:ascii="Arial" w:eastAsia="Times New Roman" w:hAnsi="Arial" w:cs="Arial"/>
          <w:color w:val="0E101A"/>
          <w:kern w:val="0"/>
          <w:szCs w:val="24"/>
          <w:lang w:val="en-US"/>
          <w14:ligatures w14:val="none"/>
        </w:rPr>
        <w:t> remains equally critical. Learning from seasoned industry experts allows for a nuanced understanding of delicate situations, from managing difficult customers to ensuring the highest standards of service delivery. According to Henry and Maric (2023), </w:t>
      </w:r>
      <w:r w:rsidRPr="00444EE9">
        <w:rPr>
          <w:rFonts w:ascii="Arial" w:eastAsia="Times New Roman" w:hAnsi="Arial" w:cs="Arial"/>
          <w:color w:val="0E101A"/>
          <w:kern w:val="0"/>
          <w:szCs w:val="24"/>
          <w:lang w:val="en-US"/>
          <w14:ligatures w14:val="none"/>
        </w:rPr>
        <w:t xml:space="preserve">focused </w:t>
      </w:r>
      <w:r w:rsidR="00444EE9">
        <w:rPr>
          <w:rFonts w:ascii="Arial" w:eastAsia="Times New Roman" w:hAnsi="Arial" w:cs="Arial"/>
          <w:color w:val="0E101A"/>
          <w:kern w:val="0"/>
          <w:szCs w:val="24"/>
          <w:lang w:val="en-US"/>
          <w14:ligatures w14:val="none"/>
        </w:rPr>
        <w:t>w</w:t>
      </w:r>
      <w:r w:rsidRPr="00444EE9">
        <w:rPr>
          <w:rFonts w:ascii="Arial" w:eastAsia="Times New Roman" w:hAnsi="Arial" w:cs="Arial"/>
          <w:color w:val="0E101A"/>
          <w:kern w:val="0"/>
          <w:szCs w:val="24"/>
          <w:lang w:val="en-US"/>
          <w14:ligatures w14:val="none"/>
        </w:rPr>
        <w:t>orkshops</w:t>
      </w:r>
      <w:r w:rsidRPr="00F43F23">
        <w:rPr>
          <w:rFonts w:ascii="Arial" w:eastAsia="Times New Roman" w:hAnsi="Arial" w:cs="Arial"/>
          <w:color w:val="0E101A"/>
          <w:kern w:val="0"/>
          <w:szCs w:val="24"/>
          <w:lang w:val="en-US"/>
          <w14:ligatures w14:val="none"/>
        </w:rPr>
        <w:t> on areas like teamwork or adaptability offer intensive training sessions with practical demonstrations. Finally, the process of learning never truly ceases in this dynamic sector. </w:t>
      </w:r>
      <w:r w:rsidRPr="00444EE9">
        <w:rPr>
          <w:rFonts w:ascii="Arial" w:eastAsia="Times New Roman" w:hAnsi="Arial" w:cs="Arial"/>
          <w:color w:val="0E101A"/>
          <w:kern w:val="0"/>
          <w:szCs w:val="24"/>
          <w:lang w:val="en-US"/>
          <w14:ligatures w14:val="none"/>
        </w:rPr>
        <w:t xml:space="preserve">Regular </w:t>
      </w:r>
      <w:r w:rsidR="00444EE9">
        <w:rPr>
          <w:rFonts w:ascii="Arial" w:eastAsia="Times New Roman" w:hAnsi="Arial" w:cs="Arial"/>
          <w:color w:val="0E101A"/>
          <w:kern w:val="0"/>
          <w:szCs w:val="24"/>
          <w:lang w:val="en-US"/>
          <w14:ligatures w14:val="none"/>
        </w:rPr>
        <w:t>f</w:t>
      </w:r>
      <w:r w:rsidRPr="00444EE9">
        <w:rPr>
          <w:rFonts w:ascii="Arial" w:eastAsia="Times New Roman" w:hAnsi="Arial" w:cs="Arial"/>
          <w:color w:val="0E101A"/>
          <w:kern w:val="0"/>
          <w:szCs w:val="24"/>
          <w:lang w:val="en-US"/>
          <w14:ligatures w14:val="none"/>
        </w:rPr>
        <w:t xml:space="preserve">eedback </w:t>
      </w:r>
      <w:r w:rsidR="00444EE9">
        <w:rPr>
          <w:rFonts w:ascii="Arial" w:eastAsia="Times New Roman" w:hAnsi="Arial" w:cs="Arial"/>
          <w:color w:val="0E101A"/>
          <w:kern w:val="0"/>
          <w:szCs w:val="24"/>
          <w:lang w:val="en-US"/>
          <w14:ligatures w14:val="none"/>
        </w:rPr>
        <w:t>s</w:t>
      </w:r>
      <w:r w:rsidRPr="00444EE9">
        <w:rPr>
          <w:rFonts w:ascii="Arial" w:eastAsia="Times New Roman" w:hAnsi="Arial" w:cs="Arial"/>
          <w:color w:val="0E101A"/>
          <w:kern w:val="0"/>
          <w:szCs w:val="24"/>
          <w:lang w:val="en-US"/>
          <w14:ligatures w14:val="none"/>
        </w:rPr>
        <w:t>essions</w:t>
      </w:r>
      <w:r w:rsidRPr="00F43F23">
        <w:rPr>
          <w:rFonts w:ascii="Arial" w:eastAsia="Times New Roman" w:hAnsi="Arial" w:cs="Arial"/>
          <w:color w:val="0E101A"/>
          <w:kern w:val="0"/>
          <w:szCs w:val="24"/>
          <w:lang w:val="en-US"/>
          <w14:ligatures w14:val="none"/>
        </w:rPr>
        <w:t> with peers, seniors, and even customers can help service professionals understand areas of improvement, ensuring they always stay ahead of the curve (Henry and Maric, 2023).</w:t>
      </w:r>
      <w:r w:rsidR="00B91BF7">
        <w:rPr>
          <w:rFonts w:ascii="Arial" w:eastAsia="Times New Roman" w:hAnsi="Arial" w:cs="Arial"/>
          <w:color w:val="0E101A"/>
          <w:kern w:val="0"/>
          <w:szCs w:val="24"/>
          <w:lang w:val="en-US"/>
          <w14:ligatures w14:val="none"/>
        </w:rPr>
        <w:t xml:space="preserve"> </w:t>
      </w:r>
      <w:r w:rsidR="00B91BF7" w:rsidRPr="00B91BF7">
        <w:rPr>
          <w:rFonts w:ascii="Arial" w:eastAsia="Times New Roman" w:hAnsi="Arial" w:cs="Arial"/>
          <w:color w:val="0E101A"/>
          <w:kern w:val="0"/>
          <w:szCs w:val="24"/>
          <w:lang w:val="en-US"/>
          <w14:ligatures w14:val="none"/>
        </w:rPr>
        <w:t>By intertwining formal instruction with practical experiences and continuous feedback, I not only elevate my craft but also ensure I remain agile and responsive in an ever-changing culinary landscape.</w:t>
      </w:r>
    </w:p>
    <w:p w14:paraId="5EF39D97" w14:textId="77777777" w:rsidR="00204B13" w:rsidRDefault="00204B13" w:rsidP="002E29BB">
      <w:pPr>
        <w:spacing w:after="0"/>
        <w:rPr>
          <w:rFonts w:ascii="Arial" w:eastAsia="Times New Roman" w:hAnsi="Arial" w:cs="Arial"/>
          <w:color w:val="0E101A"/>
          <w:kern w:val="0"/>
          <w:szCs w:val="24"/>
          <w:lang w:val="en-US"/>
          <w14:ligatures w14:val="none"/>
        </w:rPr>
      </w:pPr>
    </w:p>
    <w:p w14:paraId="50C785DA" w14:textId="77777777" w:rsidR="00204B13" w:rsidRDefault="00F43F23" w:rsidP="00204B13">
      <w:pPr>
        <w:spacing w:after="0"/>
        <w:rPr>
          <w:rFonts w:ascii="Arial" w:eastAsia="Times New Roman" w:hAnsi="Arial" w:cs="Arial"/>
          <w:color w:val="0E101A"/>
          <w:kern w:val="0"/>
          <w:szCs w:val="24"/>
          <w:lang w:val="en-US"/>
          <w14:ligatures w14:val="none"/>
        </w:rPr>
      </w:pPr>
      <w:r w:rsidRPr="00F43F23">
        <w:rPr>
          <w:rFonts w:ascii="Arial" w:eastAsia="Times New Roman" w:hAnsi="Arial" w:cs="Arial"/>
          <w:color w:val="0E101A"/>
          <w:kern w:val="0"/>
          <w:szCs w:val="24"/>
          <w:lang w:val="en-US"/>
          <w14:ligatures w14:val="none"/>
        </w:rPr>
        <w:t>The world-renowned hotel chain, Fairmont Hotels &amp; Resorts, is a shining example of service excellence (Miller, 2023). Their dedicated training programmes, especially in the realm of active listening and adaptability, have set industry standards (Miller, 2023). Pret A Manger, a UK-based international sandwich shop chain, is renowned for its emphasis on teamwork (Mcguinness, 2023). The brand believes in hiring for attitude and training for skill, ensuring that their teams operate harmoniously to deliver a consistent, high-quality experience. Similarly, Wagamama, with its unique open-kitchen concept, showcases the epitome of teamwork, where each member works in synchronisation, enhancing the dining experience (Rahimi, 2020).</w:t>
      </w:r>
    </w:p>
    <w:p w14:paraId="32725E51" w14:textId="77777777" w:rsidR="00204B13" w:rsidRDefault="00204B13" w:rsidP="00204B13">
      <w:pPr>
        <w:spacing w:after="0"/>
        <w:rPr>
          <w:rFonts w:ascii="Arial" w:eastAsia="Times New Roman" w:hAnsi="Arial" w:cs="Arial"/>
          <w:color w:val="0E101A"/>
          <w:kern w:val="0"/>
          <w:szCs w:val="24"/>
          <w:lang w:val="en-US"/>
          <w14:ligatures w14:val="none"/>
        </w:rPr>
      </w:pPr>
    </w:p>
    <w:p w14:paraId="185409D0" w14:textId="1166DE7F" w:rsidR="00204B13" w:rsidRDefault="000C0186" w:rsidP="00204B13">
      <w:pPr>
        <w:spacing w:after="0"/>
        <w:rPr>
          <w:rFonts w:ascii="Arial" w:eastAsia="Times New Roman" w:hAnsi="Arial" w:cs="Arial"/>
          <w:color w:val="0E101A"/>
          <w:kern w:val="0"/>
          <w:szCs w:val="24"/>
          <w:lang w:val="en-US"/>
          <w14:ligatures w14:val="none"/>
        </w:rPr>
      </w:pPr>
      <w:r w:rsidRPr="000C0186">
        <w:rPr>
          <w:rFonts w:ascii="Arial" w:eastAsia="Times New Roman" w:hAnsi="Arial" w:cs="Arial"/>
          <w:color w:val="0E101A"/>
          <w:kern w:val="0"/>
          <w:szCs w:val="24"/>
          <w:lang w:val="en-US"/>
          <w14:ligatures w14:val="none"/>
        </w:rPr>
        <w:t xml:space="preserve">As Tamunomiebi and John-Eke (2020) point out, with team members hailing from varied cultural and experiential realms, crafting a cohesive training framework is challenging. To address this, I see the value in Modular Training Programmes tailored for varying expertise levels (Beaumont et al., 2021). I've also noted the importance of ensuring consistent service quality across branches. Implementing Centralised Training Modules and regular refresher courses could be the solution (Tamunomiebi and John-Eke, 2020). Additionally, the dynamic shifts in customer tastes, moulded by global influences and tech, demand a Proactive Approach. Regularly updating training and keeping abreast of </w:t>
      </w:r>
      <w:r w:rsidRPr="000C0186">
        <w:rPr>
          <w:rFonts w:ascii="Arial" w:eastAsia="Times New Roman" w:hAnsi="Arial" w:cs="Arial"/>
          <w:color w:val="0E101A"/>
          <w:kern w:val="0"/>
          <w:szCs w:val="24"/>
          <w:lang w:val="en-US"/>
          <w14:ligatures w14:val="none"/>
        </w:rPr>
        <w:lastRenderedPageBreak/>
        <w:t>global trends is imperative. These insights and strategies undoubtedly shape my future professional journey, ensuring I remain adept and proactive.</w:t>
      </w:r>
    </w:p>
    <w:p w14:paraId="3D61B0A9" w14:textId="77777777" w:rsidR="004C3D07" w:rsidRDefault="000C0186" w:rsidP="004C3D07">
      <w:pPr>
        <w:rPr>
          <w:rFonts w:ascii="Arial" w:eastAsia="Times New Roman" w:hAnsi="Arial" w:cs="Arial"/>
          <w:color w:val="0E101A"/>
          <w:kern w:val="0"/>
          <w:szCs w:val="24"/>
          <w:lang w:val="en-US"/>
          <w14:ligatures w14:val="none"/>
        </w:rPr>
      </w:pPr>
      <w:r w:rsidRPr="000C0186">
        <w:rPr>
          <w:rFonts w:ascii="Arial" w:eastAsia="Times New Roman" w:hAnsi="Arial" w:cs="Arial"/>
          <w:color w:val="0E101A"/>
          <w:kern w:val="0"/>
          <w:szCs w:val="24"/>
          <w:lang w:val="en-US"/>
          <w14:ligatures w14:val="none"/>
        </w:rPr>
        <w:t>In the intensely competitive realm of the restaurant industry, service quality is more than just a benchmark; it is an essential commitment I recognise. Skills like active listening, empathy, time management, adaptability, and teamwork are not merely words but principles I firmly believe constitute the cornerstone of superior service. While my foundation was built upon formal education, it is the real-world experiences, guidance from mentors, targeted workshops, and unending feedback that continue to mould me into a seasoned professional, ready to face the ever-evolving challenges of this sector. I have internalised that to etch a distinct mark and ensure lasting success in this field, an unwavering dedication to service quality, anchored by consistent skill development, is paramount.</w:t>
      </w:r>
    </w:p>
    <w:p w14:paraId="4259A313" w14:textId="77777777" w:rsidR="004C3D07" w:rsidRDefault="004C3D07" w:rsidP="004C3D07">
      <w:pPr>
        <w:rPr>
          <w:rFonts w:ascii="Arial" w:eastAsia="Times New Roman" w:hAnsi="Arial" w:cs="Arial"/>
          <w:color w:val="0E101A"/>
          <w:kern w:val="0"/>
          <w:szCs w:val="24"/>
          <w:lang w:val="en-US"/>
          <w14:ligatures w14:val="none"/>
        </w:rPr>
      </w:pPr>
    </w:p>
    <w:p w14:paraId="4775ADA8" w14:textId="7FCFC884" w:rsidR="004C3D07" w:rsidRPr="004C3D07" w:rsidRDefault="004C3D07" w:rsidP="004C3D07">
      <w:pPr>
        <w:rPr>
          <w:rFonts w:ascii="Arial" w:eastAsia="Times New Roman" w:hAnsi="Arial" w:cs="Arial"/>
          <w:color w:val="0E101A"/>
          <w:kern w:val="0"/>
          <w:szCs w:val="24"/>
          <w:lang w:val="en-US"/>
          <w14:ligatures w14:val="none"/>
        </w:rPr>
      </w:pPr>
      <w:r>
        <w:rPr>
          <w:rFonts w:ascii="Arial" w:eastAsia="Times New Roman" w:hAnsi="Arial" w:cs="Arial"/>
          <w:color w:val="0E101A"/>
          <w:kern w:val="0"/>
          <w:szCs w:val="24"/>
          <w:lang w:val="en-US"/>
          <w14:ligatures w14:val="none"/>
        </w:rPr>
        <w:t>References</w:t>
      </w:r>
      <w:r>
        <w:rPr>
          <w:rFonts w:ascii="Arial" w:eastAsia="Times New Roman" w:hAnsi="Arial" w:cs="Arial"/>
          <w:color w:val="0E101A"/>
          <w:kern w:val="0"/>
          <w:szCs w:val="24"/>
          <w:lang w:val="en-US"/>
          <w14:ligatures w14:val="none"/>
        </w:rPr>
        <w:br/>
      </w:r>
      <w:r w:rsidRPr="004C3D07">
        <w:rPr>
          <w:rFonts w:ascii="Arial" w:eastAsia="Times New Roman" w:hAnsi="Arial" w:cs="Arial"/>
          <w:color w:val="000000"/>
          <w:kern w:val="0"/>
          <w:szCs w:val="24"/>
          <w:lang w:eastAsia="en-GB"/>
          <w14:ligatures w14:val="none"/>
        </w:rPr>
        <w:t>Beaumont, E. et al. (2021) “The impact of compassionate mind training on qualified health professionals undertaking a compassion</w:t>
      </w:r>
      <w:r w:rsidRPr="004C3D07">
        <w:rPr>
          <w:rFonts w:ascii="Cambria Math" w:eastAsia="Times New Roman" w:hAnsi="Cambria Math" w:cs="Cambria Math"/>
          <w:color w:val="000000"/>
          <w:kern w:val="0"/>
          <w:szCs w:val="24"/>
          <w:lang w:eastAsia="en-GB"/>
          <w14:ligatures w14:val="none"/>
        </w:rPr>
        <w:t>‐</w:t>
      </w:r>
      <w:r w:rsidRPr="004C3D07">
        <w:rPr>
          <w:rFonts w:ascii="Arial" w:eastAsia="Times New Roman" w:hAnsi="Arial" w:cs="Arial"/>
          <w:color w:val="000000"/>
          <w:kern w:val="0"/>
          <w:szCs w:val="24"/>
          <w:lang w:eastAsia="en-GB"/>
          <w14:ligatures w14:val="none"/>
        </w:rPr>
        <w:t>focused therapy module,” Counselling and psychotherapy research, 21(4), pp. 910–922. doi: 10.1002/capr.12396.</w:t>
      </w:r>
    </w:p>
    <w:p w14:paraId="0893E4F8"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Cheong, F. and Law, R. (2022) “Will macau’s restaurants survive or thrive after entering the O2O food delivery platform in the COVID-19 pandemic?,” International journal of environmental research and public health, 19(9). doi: 10.3390/ijerph19095100.</w:t>
      </w:r>
    </w:p>
    <w:p w14:paraId="2CC3B6E4"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Henry, C. and Maric, M. (2023) “Lessons for screen production pedagogy from pandemic-era experiences of teaching online. Media Practice and Education,” pp. 1–18.</w:t>
      </w:r>
    </w:p>
    <w:p w14:paraId="6B4C1687"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Mcguinness, T. J. (2023) Still the “forgotten service”? An empirical study of coroners’ backgrounds, attitudes and experiences in England and Wales (Doctoral dissertation).</w:t>
      </w:r>
    </w:p>
    <w:p w14:paraId="610920BE"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Mezni, H., Benslimane, D. and Bellatreche, L. (2022) “Context-aware service recommendation based on knowledge graph embedding,” IEEE transactions on knowledge and data engineering, 34(11), pp. 5225–5238. doi: 10.1109/tkde.2021.3059506.</w:t>
      </w:r>
    </w:p>
    <w:p w14:paraId="363A01D9"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Miller, M. C. (2023) Perception of experiential value in luxury hotel settings: The case of experiential programming and impact on consumers (Doctoral dissertation).</w:t>
      </w:r>
    </w:p>
    <w:p w14:paraId="6A65C017"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lastRenderedPageBreak/>
        <w:t>Min, K. S., Jung, J. M. and Ryu, K. (2021) “Listen to their heart: Why does active listening enhance customer satisfaction after a service failure?,” International journal of hospitality management, 96(102956), p. 102956. doi: 10.1016/j.ijhm.2021.102956.</w:t>
      </w:r>
    </w:p>
    <w:p w14:paraId="5C871F86"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Nadda, V. (2022) Employability Skills Development in Hospitality. Employability and Skills Development in the Sports, Events, and Hospitality Industry.</w:t>
      </w:r>
    </w:p>
    <w:p w14:paraId="46D14A78"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Rahimi, R. (2020) The Service Delivery Process. Managing Hospitality Experiences.</w:t>
      </w:r>
    </w:p>
    <w:p w14:paraId="6622C1EC"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Rashid, A., Hamzah, P. D. and Ramli, S. A. S. (2020) “On-the-Job Training Versus Off-the-Job Training: Impact on Employee Performance At Franchise Restaurants in Klang Valley,” International Journal of Business and Economy, 2(4), pp. 43–56.</w:t>
      </w:r>
    </w:p>
    <w:p w14:paraId="5E765CE4"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Rauhaus, B. M., Sibila, D. and Johnson, A. F. (2020) “Addressing the increase of domestic violence and abuse during the COVID-19 pandemic: A need for empathy, care, and social equity in collaborative planning and responses,” American review of public administration, 50(6–7), pp. 668–674. doi: 10.1177/0275074020942079.</w:t>
      </w:r>
    </w:p>
    <w:p w14:paraId="7DD66EB7"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Tamunomiebi, M. D. and John-Eke, E. C. (2020) “Workplace diversity: Emerging issues in contemporary reviews,” International Journal of Academic Research in Business and Social Sciences, 10(2). doi: 10.6007/ijarbss/v10-i2/6926.</w:t>
      </w:r>
    </w:p>
    <w:p w14:paraId="26626528" w14:textId="77777777" w:rsidR="004C3D07"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Uzir, M. U. H. et al. (2021) “The effects of service quality, perceived value and trust in home delivery service personnel on customer satisfaction: Evidence from a developing country,” Journal of retailing and consumer services, 63(102721), p. 102721. doi: 10.1016/j.jretconser.2021.102721.</w:t>
      </w:r>
    </w:p>
    <w:p w14:paraId="2F9019CE" w14:textId="6F208C0C" w:rsidR="007F151A" w:rsidRPr="004C3D07" w:rsidRDefault="004C3D07" w:rsidP="004C3D07">
      <w:pPr>
        <w:spacing w:before="100" w:beforeAutospacing="1" w:after="100" w:afterAutospacing="1" w:line="240" w:lineRule="auto"/>
        <w:jc w:val="left"/>
        <w:rPr>
          <w:rFonts w:ascii="Arial" w:eastAsia="Times New Roman" w:hAnsi="Arial" w:cs="Arial"/>
          <w:color w:val="000000"/>
          <w:kern w:val="0"/>
          <w:szCs w:val="24"/>
          <w:lang w:eastAsia="en-GB"/>
          <w14:ligatures w14:val="none"/>
        </w:rPr>
      </w:pPr>
      <w:r w:rsidRPr="004C3D07">
        <w:rPr>
          <w:rFonts w:ascii="Arial" w:eastAsia="Times New Roman" w:hAnsi="Arial" w:cs="Arial"/>
          <w:color w:val="000000"/>
          <w:kern w:val="0"/>
          <w:szCs w:val="24"/>
          <w:lang w:eastAsia="en-GB"/>
          <w14:ligatures w14:val="none"/>
        </w:rPr>
        <w:t>Viterouli, M. et al. (2023) “Self-Directedness in the Service of Human Resources Management in Tourism and Hospitality: Perspectives Under the Scope of Adult Education and Lifelong Learning,” in Sustainable Growth Strategies for Entrepreneurial Venture Tourism and Regional Development. IGI Global, pp. 20–41.</w:t>
      </w:r>
    </w:p>
    <w:sectPr w:rsidR="007F151A" w:rsidRPr="004C3D0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CAFB1" w14:textId="77777777" w:rsidR="002A1F5A" w:rsidRDefault="002A1F5A">
      <w:pPr>
        <w:spacing w:line="240" w:lineRule="auto"/>
      </w:pPr>
      <w:r>
        <w:separator/>
      </w:r>
    </w:p>
  </w:endnote>
  <w:endnote w:type="continuationSeparator" w:id="0">
    <w:p w14:paraId="024660BB" w14:textId="77777777" w:rsidR="002A1F5A" w:rsidRDefault="002A1F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31970" w14:textId="77777777" w:rsidR="002A1F5A" w:rsidRDefault="002A1F5A">
      <w:pPr>
        <w:spacing w:after="0"/>
      </w:pPr>
      <w:r>
        <w:separator/>
      </w:r>
    </w:p>
  </w:footnote>
  <w:footnote w:type="continuationSeparator" w:id="0">
    <w:p w14:paraId="15F011C1" w14:textId="77777777" w:rsidR="002A1F5A" w:rsidRDefault="002A1F5A">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D73AE"/>
    <w:multiLevelType w:val="multilevel"/>
    <w:tmpl w:val="52026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0972DD"/>
    <w:multiLevelType w:val="hybridMultilevel"/>
    <w:tmpl w:val="61545966"/>
    <w:lvl w:ilvl="0" w:tplc="E87A0E1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AC2D49"/>
    <w:multiLevelType w:val="multilevel"/>
    <w:tmpl w:val="21869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587AE7"/>
    <w:multiLevelType w:val="hybridMultilevel"/>
    <w:tmpl w:val="35464492"/>
    <w:lvl w:ilvl="0" w:tplc="A8765D9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AA3350"/>
    <w:multiLevelType w:val="multilevel"/>
    <w:tmpl w:val="51AA335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635D288A"/>
    <w:multiLevelType w:val="hybridMultilevel"/>
    <w:tmpl w:val="F342B7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A71106"/>
    <w:multiLevelType w:val="multilevel"/>
    <w:tmpl w:val="AF0E5F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6176F3"/>
    <w:multiLevelType w:val="multilevel"/>
    <w:tmpl w:val="60CE4E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9896619">
    <w:abstractNumId w:val="4"/>
  </w:num>
  <w:num w:numId="2" w16cid:durableId="497354032">
    <w:abstractNumId w:val="2"/>
  </w:num>
  <w:num w:numId="3" w16cid:durableId="1392342295">
    <w:abstractNumId w:val="6"/>
  </w:num>
  <w:num w:numId="4" w16cid:durableId="486628446">
    <w:abstractNumId w:val="0"/>
  </w:num>
  <w:num w:numId="5" w16cid:durableId="735903831">
    <w:abstractNumId w:val="7"/>
  </w:num>
  <w:num w:numId="6" w16cid:durableId="1478455662">
    <w:abstractNumId w:val="5"/>
  </w:num>
  <w:num w:numId="7" w16cid:durableId="1942567321">
    <w:abstractNumId w:val="3"/>
  </w:num>
  <w:num w:numId="8" w16cid:durableId="264459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395"/>
    <w:rsid w:val="00000CF5"/>
    <w:rsid w:val="000048AE"/>
    <w:rsid w:val="00017E59"/>
    <w:rsid w:val="000208DD"/>
    <w:rsid w:val="000367BF"/>
    <w:rsid w:val="00043ED2"/>
    <w:rsid w:val="00044ACF"/>
    <w:rsid w:val="00046A97"/>
    <w:rsid w:val="00051BD9"/>
    <w:rsid w:val="000611B3"/>
    <w:rsid w:val="00070D9A"/>
    <w:rsid w:val="000A419B"/>
    <w:rsid w:val="000B4AA6"/>
    <w:rsid w:val="000C0186"/>
    <w:rsid w:val="000C13AE"/>
    <w:rsid w:val="000F77F4"/>
    <w:rsid w:val="00125D24"/>
    <w:rsid w:val="001565AC"/>
    <w:rsid w:val="00170737"/>
    <w:rsid w:val="00175D28"/>
    <w:rsid w:val="001905B4"/>
    <w:rsid w:val="001A19DD"/>
    <w:rsid w:val="001A586B"/>
    <w:rsid w:val="001D7019"/>
    <w:rsid w:val="001F61BD"/>
    <w:rsid w:val="0020261F"/>
    <w:rsid w:val="00204B13"/>
    <w:rsid w:val="002054CA"/>
    <w:rsid w:val="0021552F"/>
    <w:rsid w:val="002233B5"/>
    <w:rsid w:val="00226DAA"/>
    <w:rsid w:val="00236F89"/>
    <w:rsid w:val="002920BD"/>
    <w:rsid w:val="002A1F5A"/>
    <w:rsid w:val="002B5902"/>
    <w:rsid w:val="002E29BB"/>
    <w:rsid w:val="002E44DC"/>
    <w:rsid w:val="002F442F"/>
    <w:rsid w:val="002F5F3D"/>
    <w:rsid w:val="00315F68"/>
    <w:rsid w:val="003543D7"/>
    <w:rsid w:val="003704B4"/>
    <w:rsid w:val="003720D9"/>
    <w:rsid w:val="00396591"/>
    <w:rsid w:val="00397BB7"/>
    <w:rsid w:val="003A01BD"/>
    <w:rsid w:val="003B465E"/>
    <w:rsid w:val="003B764C"/>
    <w:rsid w:val="003D0B34"/>
    <w:rsid w:val="003D740B"/>
    <w:rsid w:val="003E5C59"/>
    <w:rsid w:val="00405030"/>
    <w:rsid w:val="00406E33"/>
    <w:rsid w:val="004120DD"/>
    <w:rsid w:val="00414088"/>
    <w:rsid w:val="00444EE9"/>
    <w:rsid w:val="004839FE"/>
    <w:rsid w:val="004A2ADF"/>
    <w:rsid w:val="004B60C8"/>
    <w:rsid w:val="004B6135"/>
    <w:rsid w:val="004C3D07"/>
    <w:rsid w:val="004C3D86"/>
    <w:rsid w:val="004F4CFF"/>
    <w:rsid w:val="004F5C56"/>
    <w:rsid w:val="00544877"/>
    <w:rsid w:val="005470A0"/>
    <w:rsid w:val="00553AB6"/>
    <w:rsid w:val="00553C85"/>
    <w:rsid w:val="005557ED"/>
    <w:rsid w:val="00555BFA"/>
    <w:rsid w:val="0056620A"/>
    <w:rsid w:val="00574390"/>
    <w:rsid w:val="005F0395"/>
    <w:rsid w:val="005F5AEA"/>
    <w:rsid w:val="0066033D"/>
    <w:rsid w:val="006736ED"/>
    <w:rsid w:val="006763FD"/>
    <w:rsid w:val="00684F71"/>
    <w:rsid w:val="006C434B"/>
    <w:rsid w:val="006D3B83"/>
    <w:rsid w:val="006D4DFF"/>
    <w:rsid w:val="00705B16"/>
    <w:rsid w:val="00741BF0"/>
    <w:rsid w:val="007508BE"/>
    <w:rsid w:val="00765EEE"/>
    <w:rsid w:val="00794535"/>
    <w:rsid w:val="007A7020"/>
    <w:rsid w:val="007B2F3B"/>
    <w:rsid w:val="007C3DA3"/>
    <w:rsid w:val="007D4232"/>
    <w:rsid w:val="007D646C"/>
    <w:rsid w:val="007F151A"/>
    <w:rsid w:val="008219C6"/>
    <w:rsid w:val="008658C5"/>
    <w:rsid w:val="00876AC8"/>
    <w:rsid w:val="00893240"/>
    <w:rsid w:val="008A31FF"/>
    <w:rsid w:val="008C52A7"/>
    <w:rsid w:val="008C5FA9"/>
    <w:rsid w:val="008D31F1"/>
    <w:rsid w:val="00901A56"/>
    <w:rsid w:val="0093374B"/>
    <w:rsid w:val="00962B80"/>
    <w:rsid w:val="00967A60"/>
    <w:rsid w:val="009917F3"/>
    <w:rsid w:val="009C0B38"/>
    <w:rsid w:val="009C1ABE"/>
    <w:rsid w:val="009C6D9B"/>
    <w:rsid w:val="009F50CD"/>
    <w:rsid w:val="00A044CD"/>
    <w:rsid w:val="00A17EA0"/>
    <w:rsid w:val="00A2579B"/>
    <w:rsid w:val="00A352A6"/>
    <w:rsid w:val="00AA3D4A"/>
    <w:rsid w:val="00AA45A9"/>
    <w:rsid w:val="00AB297F"/>
    <w:rsid w:val="00AB369A"/>
    <w:rsid w:val="00AE7CFE"/>
    <w:rsid w:val="00B47F58"/>
    <w:rsid w:val="00B70986"/>
    <w:rsid w:val="00B91BF7"/>
    <w:rsid w:val="00BA70C6"/>
    <w:rsid w:val="00BB0F2B"/>
    <w:rsid w:val="00BC2789"/>
    <w:rsid w:val="00BE1575"/>
    <w:rsid w:val="00C04DEA"/>
    <w:rsid w:val="00C136BE"/>
    <w:rsid w:val="00C23E58"/>
    <w:rsid w:val="00C26DB1"/>
    <w:rsid w:val="00C37804"/>
    <w:rsid w:val="00C56FF4"/>
    <w:rsid w:val="00C72C53"/>
    <w:rsid w:val="00C8635E"/>
    <w:rsid w:val="00C93EDF"/>
    <w:rsid w:val="00CD7CA6"/>
    <w:rsid w:val="00CF52D0"/>
    <w:rsid w:val="00D04E7D"/>
    <w:rsid w:val="00D215C8"/>
    <w:rsid w:val="00D225A5"/>
    <w:rsid w:val="00D6446B"/>
    <w:rsid w:val="00D96864"/>
    <w:rsid w:val="00DB77F1"/>
    <w:rsid w:val="00DE4410"/>
    <w:rsid w:val="00E072D2"/>
    <w:rsid w:val="00E27F29"/>
    <w:rsid w:val="00E57B3A"/>
    <w:rsid w:val="00E611F8"/>
    <w:rsid w:val="00E723FA"/>
    <w:rsid w:val="00E92D1E"/>
    <w:rsid w:val="00E96762"/>
    <w:rsid w:val="00EA7171"/>
    <w:rsid w:val="00EB2833"/>
    <w:rsid w:val="00EB54DC"/>
    <w:rsid w:val="00EC67D8"/>
    <w:rsid w:val="00F1584C"/>
    <w:rsid w:val="00F228E7"/>
    <w:rsid w:val="00F24BBB"/>
    <w:rsid w:val="00F2767A"/>
    <w:rsid w:val="00F417BC"/>
    <w:rsid w:val="00F43F23"/>
    <w:rsid w:val="0872186E"/>
    <w:rsid w:val="10011D24"/>
    <w:rsid w:val="1E3C47DA"/>
    <w:rsid w:val="2AC73647"/>
    <w:rsid w:val="32CB3418"/>
    <w:rsid w:val="3ADC46EA"/>
    <w:rsid w:val="3D3F5156"/>
    <w:rsid w:val="42395C37"/>
    <w:rsid w:val="5AA2241F"/>
    <w:rsid w:val="653F0266"/>
    <w:rsid w:val="662806CE"/>
    <w:rsid w:val="68B10DE2"/>
    <w:rsid w:val="69991E04"/>
    <w:rsid w:val="743478EB"/>
    <w:rsid w:val="7B4605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83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eastAsiaTheme="minorHAnsi" w:cstheme="minorBidi"/>
      <w:kern w:val="2"/>
      <w:sz w:val="24"/>
      <w:szCs w:val="22"/>
      <w:lang w:val="en-GB"/>
      <w14:ligatures w14:val="standardContextual"/>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kern w:val="0"/>
      <w:sz w:val="32"/>
      <w:szCs w:val="32"/>
      <w:lang w:val="en-US"/>
      <w14:ligatures w14:val="none"/>
    </w:rPr>
  </w:style>
  <w:style w:type="paragraph" w:styleId="Heading2">
    <w:name w:val="heading 2"/>
    <w:basedOn w:val="Normal"/>
    <w:next w:val="Normal"/>
    <w:link w:val="Heading2Char"/>
    <w:uiPriority w:val="9"/>
    <w:unhideWhenUsed/>
    <w:qFormat/>
    <w:pPr>
      <w:keepNext/>
      <w:keepLines/>
      <w:spacing w:before="40" w:after="0"/>
      <w:jc w:val="left"/>
      <w:outlineLvl w:val="1"/>
    </w:pPr>
    <w:rPr>
      <w:rFonts w:eastAsiaTheme="majorEastAsia" w:cstheme="majorBidi"/>
      <w:b/>
      <w:kern w:val="0"/>
      <w:sz w:val="28"/>
      <w:szCs w:val="26"/>
      <w:lang w:val="en-US"/>
      <w14:ligatures w14:val="none"/>
    </w:rPr>
  </w:style>
  <w:style w:type="paragraph" w:styleId="Heading3">
    <w:name w:val="heading 3"/>
    <w:basedOn w:val="Normal"/>
    <w:next w:val="Normal"/>
    <w:link w:val="Heading3Char"/>
    <w:uiPriority w:val="9"/>
    <w:unhideWhenUsed/>
    <w:qFormat/>
    <w:pPr>
      <w:spacing w:before="61" w:after="0"/>
      <w:ind w:left="140"/>
      <w:outlineLvl w:val="2"/>
    </w:pPr>
    <w:rPr>
      <w:rFonts w:eastAsia="Arial" w:cs="Arial"/>
      <w:b/>
      <w:bCs/>
      <w:i/>
      <w:iCs/>
      <w:sz w:val="26"/>
      <w:szCs w:val="26"/>
    </w:rPr>
  </w:style>
  <w:style w:type="paragraph" w:styleId="Heading4">
    <w:name w:val="heading 4"/>
    <w:basedOn w:val="Normal"/>
    <w:next w:val="Normal"/>
    <w:link w:val="Heading4Char"/>
    <w:uiPriority w:val="9"/>
    <w:unhideWhenUsed/>
    <w:qFormat/>
    <w:pPr>
      <w:keepNext/>
      <w:keepLines/>
      <w:spacing w:before="160" w:after="120"/>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NormalWeb">
    <w:name w:val="Normal (Web)"/>
    <w:uiPriority w:val="99"/>
    <w:semiHidden/>
    <w:unhideWhenUsed/>
    <w:pPr>
      <w:spacing w:beforeAutospacing="1" w:afterAutospacing="1"/>
    </w:pPr>
    <w:rPr>
      <w:sz w:val="24"/>
      <w:szCs w:val="24"/>
      <w:lang w:eastAsia="zh-CN"/>
    </w:rPr>
  </w:style>
  <w:style w:type="paragraph" w:styleId="TOC1">
    <w:name w:val="toc 1"/>
    <w:basedOn w:val="Normal"/>
    <w:next w:val="Normal"/>
    <w:uiPriority w:val="39"/>
    <w:unhideWhenUsed/>
  </w:style>
  <w:style w:type="paragraph" w:styleId="TOC2">
    <w:name w:val="toc 2"/>
    <w:basedOn w:val="Normal"/>
    <w:next w:val="Normal"/>
    <w:uiPriority w:val="39"/>
    <w:unhideWhenUsed/>
    <w:pPr>
      <w:ind w:leftChars="200" w:left="42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Pr>
      <w:rFonts w:ascii="Times New Roman" w:eastAsia="Arial" w:hAnsi="Times New Roman" w:cs="Arial"/>
      <w:b/>
      <w:bCs/>
      <w:i/>
      <w:iCs/>
      <w:sz w:val="26"/>
      <w:szCs w:val="26"/>
      <w:lang w:val="en-GB"/>
    </w:rPr>
  </w:style>
  <w:style w:type="character" w:customStyle="1" w:styleId="Heading4Char">
    <w:name w:val="Heading 4 Char"/>
    <w:basedOn w:val="DefaultParagraphFont"/>
    <w:link w:val="Heading4"/>
    <w:uiPriority w:val="9"/>
    <w:rPr>
      <w:rFonts w:eastAsiaTheme="majorEastAsia" w:cstheme="majorBidi"/>
      <w:b/>
      <w:i/>
      <w:iCs/>
      <w:lang w:val="en-GB"/>
    </w:rPr>
  </w:style>
  <w:style w:type="paragraph" w:styleId="NoSpacing">
    <w:name w:val="No Spacing"/>
    <w:uiPriority w:val="1"/>
    <w:qFormat/>
    <w:pPr>
      <w:widowControl w:val="0"/>
      <w:autoSpaceDE w:val="0"/>
      <w:autoSpaceDN w:val="0"/>
      <w:adjustRightInd w:val="0"/>
    </w:pPr>
    <w:rPr>
      <w:rFonts w:ascii="Arial" w:eastAsiaTheme="minorEastAsia" w:hAnsi="Arial" w:cs="Courier New"/>
      <w:color w:val="000000"/>
      <w:sz w:val="24"/>
      <w:szCs w:val="18"/>
      <w:lang w:val="en-GB" w:eastAsia="en-GB"/>
      <w14:ligatures w14:val="standardContextual"/>
    </w:rPr>
  </w:style>
  <w:style w:type="paragraph" w:styleId="ListParagraph">
    <w:name w:val="List Paragraph"/>
    <w:basedOn w:val="Normal"/>
    <w:uiPriority w:val="34"/>
    <w:qFormat/>
    <w:pPr>
      <w:ind w:left="720"/>
      <w:contextualSpacing/>
    </w:pPr>
  </w:style>
  <w:style w:type="paragraph" w:customStyle="1" w:styleId="WPSOffice1">
    <w:name w:val="WPSOffice手动目录 1"/>
  </w:style>
  <w:style w:type="paragraph" w:customStyle="1" w:styleId="WPSOffice2">
    <w:name w:val="WPSOffice手动目录 2"/>
    <w:pPr>
      <w:ind w:leftChars="200" w:left="200"/>
    </w:pPr>
  </w:style>
  <w:style w:type="paragraph" w:styleId="TOCHeading">
    <w:name w:val="TOC Heading"/>
    <w:basedOn w:val="Heading1"/>
    <w:next w:val="Normal"/>
    <w:uiPriority w:val="39"/>
    <w:unhideWhenUsed/>
    <w:qFormat/>
    <w:rsid w:val="00553C85"/>
    <w:pPr>
      <w:spacing w:line="259" w:lineRule="auto"/>
      <w:jc w:val="left"/>
      <w:outlineLvl w:val="9"/>
    </w:pPr>
    <w:rPr>
      <w:rFonts w:asciiTheme="majorHAnsi" w:hAnsiTheme="majorHAnsi"/>
      <w:b w:val="0"/>
      <w:color w:val="2F5496" w:themeColor="accent1" w:themeShade="BF"/>
    </w:rPr>
  </w:style>
  <w:style w:type="character" w:styleId="Hyperlink">
    <w:name w:val="Hyperlink"/>
    <w:basedOn w:val="DefaultParagraphFont"/>
    <w:uiPriority w:val="99"/>
    <w:unhideWhenUsed/>
    <w:rsid w:val="00553C85"/>
    <w:rPr>
      <w:color w:val="0563C1" w:themeColor="hyperlink"/>
      <w:u w:val="single"/>
    </w:rPr>
  </w:style>
  <w:style w:type="paragraph" w:styleId="TOC3">
    <w:name w:val="toc 3"/>
    <w:basedOn w:val="Normal"/>
    <w:next w:val="Normal"/>
    <w:autoRedefine/>
    <w:uiPriority w:val="39"/>
    <w:unhideWhenUsed/>
    <w:rsid w:val="00A352A6"/>
    <w:pPr>
      <w:spacing w:after="100"/>
      <w:ind w:left="480"/>
    </w:pPr>
  </w:style>
  <w:style w:type="character" w:styleId="Strong">
    <w:name w:val="Strong"/>
    <w:basedOn w:val="DefaultParagraphFont"/>
    <w:uiPriority w:val="22"/>
    <w:qFormat/>
    <w:rsid w:val="00315F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778855">
      <w:bodyDiv w:val="1"/>
      <w:marLeft w:val="0"/>
      <w:marRight w:val="0"/>
      <w:marTop w:val="0"/>
      <w:marBottom w:val="0"/>
      <w:divBdr>
        <w:top w:val="none" w:sz="0" w:space="0" w:color="auto"/>
        <w:left w:val="none" w:sz="0" w:space="0" w:color="auto"/>
        <w:bottom w:val="none" w:sz="0" w:space="0" w:color="auto"/>
        <w:right w:val="none" w:sz="0" w:space="0" w:color="auto"/>
      </w:divBdr>
    </w:div>
    <w:div w:id="377631377">
      <w:bodyDiv w:val="1"/>
      <w:marLeft w:val="0"/>
      <w:marRight w:val="0"/>
      <w:marTop w:val="0"/>
      <w:marBottom w:val="0"/>
      <w:divBdr>
        <w:top w:val="none" w:sz="0" w:space="0" w:color="auto"/>
        <w:left w:val="none" w:sz="0" w:space="0" w:color="auto"/>
        <w:bottom w:val="none" w:sz="0" w:space="0" w:color="auto"/>
        <w:right w:val="none" w:sz="0" w:space="0" w:color="auto"/>
      </w:divBdr>
    </w:div>
    <w:div w:id="501968718">
      <w:bodyDiv w:val="1"/>
      <w:marLeft w:val="0"/>
      <w:marRight w:val="0"/>
      <w:marTop w:val="0"/>
      <w:marBottom w:val="0"/>
      <w:divBdr>
        <w:top w:val="none" w:sz="0" w:space="0" w:color="auto"/>
        <w:left w:val="none" w:sz="0" w:space="0" w:color="auto"/>
        <w:bottom w:val="none" w:sz="0" w:space="0" w:color="auto"/>
        <w:right w:val="none" w:sz="0" w:space="0" w:color="auto"/>
      </w:divBdr>
    </w:div>
    <w:div w:id="823354442">
      <w:bodyDiv w:val="1"/>
      <w:marLeft w:val="0"/>
      <w:marRight w:val="0"/>
      <w:marTop w:val="0"/>
      <w:marBottom w:val="0"/>
      <w:divBdr>
        <w:top w:val="none" w:sz="0" w:space="0" w:color="auto"/>
        <w:left w:val="none" w:sz="0" w:space="0" w:color="auto"/>
        <w:bottom w:val="none" w:sz="0" w:space="0" w:color="auto"/>
        <w:right w:val="none" w:sz="0" w:space="0" w:color="auto"/>
      </w:divBdr>
    </w:div>
    <w:div w:id="1006783639">
      <w:bodyDiv w:val="1"/>
      <w:marLeft w:val="0"/>
      <w:marRight w:val="0"/>
      <w:marTop w:val="0"/>
      <w:marBottom w:val="0"/>
      <w:divBdr>
        <w:top w:val="none" w:sz="0" w:space="0" w:color="auto"/>
        <w:left w:val="none" w:sz="0" w:space="0" w:color="auto"/>
        <w:bottom w:val="none" w:sz="0" w:space="0" w:color="auto"/>
        <w:right w:val="none" w:sz="0" w:space="0" w:color="auto"/>
      </w:divBdr>
    </w:div>
    <w:div w:id="1323386106">
      <w:bodyDiv w:val="1"/>
      <w:marLeft w:val="0"/>
      <w:marRight w:val="0"/>
      <w:marTop w:val="0"/>
      <w:marBottom w:val="0"/>
      <w:divBdr>
        <w:top w:val="none" w:sz="0" w:space="0" w:color="auto"/>
        <w:left w:val="none" w:sz="0" w:space="0" w:color="auto"/>
        <w:bottom w:val="none" w:sz="0" w:space="0" w:color="auto"/>
        <w:right w:val="none" w:sz="0" w:space="0" w:color="auto"/>
      </w:divBdr>
    </w:div>
    <w:div w:id="1623000708">
      <w:bodyDiv w:val="1"/>
      <w:marLeft w:val="0"/>
      <w:marRight w:val="0"/>
      <w:marTop w:val="0"/>
      <w:marBottom w:val="0"/>
      <w:divBdr>
        <w:top w:val="none" w:sz="0" w:space="0" w:color="auto"/>
        <w:left w:val="none" w:sz="0" w:space="0" w:color="auto"/>
        <w:bottom w:val="none" w:sz="0" w:space="0" w:color="auto"/>
        <w:right w:val="none" w:sz="0" w:space="0" w:color="auto"/>
      </w:divBdr>
    </w:div>
    <w:div w:id="2012829153">
      <w:bodyDiv w:val="1"/>
      <w:marLeft w:val="0"/>
      <w:marRight w:val="0"/>
      <w:marTop w:val="0"/>
      <w:marBottom w:val="0"/>
      <w:divBdr>
        <w:top w:val="none" w:sz="0" w:space="0" w:color="auto"/>
        <w:left w:val="none" w:sz="0" w:space="0" w:color="auto"/>
        <w:bottom w:val="none" w:sz="0" w:space="0" w:color="auto"/>
        <w:right w:val="none" w:sz="0" w:space="0" w:color="auto"/>
      </w:divBdr>
    </w:div>
    <w:div w:id="2042315346">
      <w:bodyDiv w:val="1"/>
      <w:marLeft w:val="0"/>
      <w:marRight w:val="0"/>
      <w:marTop w:val="0"/>
      <w:marBottom w:val="0"/>
      <w:divBdr>
        <w:top w:val="none" w:sz="0" w:space="0" w:color="auto"/>
        <w:left w:val="none" w:sz="0" w:space="0" w:color="auto"/>
        <w:bottom w:val="none" w:sz="0" w:space="0" w:color="auto"/>
        <w:right w:val="none" w:sz="0" w:space="0" w:color="auto"/>
      </w:divBdr>
    </w:div>
    <w:div w:id="20596215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DE77A-1273-4B04-9328-35CE5AD4909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1347</Words>
  <Characters>7683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2023-10-13T09:36:00Z</dcterms:created>
  <dcterms:modified xsi:type="dcterms:W3CDTF">2023-10-16T10:58:00Z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b3f1332a-80fa-4283-86fa-6bb8ce5abfdf</vt:lpwstr>
  </property>
  <property fmtid="{D5CDD505-2E9C-101B-9397-08002B2CF9AE}" pid="3" name="KSOProductBuildVer">
    <vt:lpwstr>1033-11.2.0.11537</vt:lpwstr>
  </property>
  <property fmtid="{D5CDD505-2E9C-101B-9397-08002B2CF9AE}" pid="4" name="ICV">
    <vt:lpwstr>76C1CBB45707431A9D45F24FE497D6B1</vt:lpwstr>
  </property>
</Properties>
</file>