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4"/>
          <w:szCs w:val="24"/>
        </w:rPr>
        <w:id w:val="1698889545"/>
        <w:docPartObj>
          <w:docPartGallery w:val="Cover Pages"/>
          <w:docPartUnique/>
        </w:docPartObj>
      </w:sdtPr>
      <w:sdtContent>
        <w:p w14:paraId="6AAD265A" w14:textId="31220E67" w:rsidR="00887A6B" w:rsidRPr="00AD6873" w:rsidRDefault="00887A6B" w:rsidP="00AD6873">
          <w:pPr>
            <w:jc w:val="both"/>
            <w:rPr>
              <w:noProof/>
              <w:sz w:val="24"/>
              <w:szCs w:val="24"/>
            </w:rPr>
          </w:pPr>
          <w:r w:rsidRPr="00AD6873">
            <w:rPr>
              <w:noProof/>
              <w:sz w:val="24"/>
              <w:szCs w:val="24"/>
              <w:lang w:val="en-GB"/>
            </w:rPr>
            <mc:AlternateContent>
              <mc:Choice Requires="wpg">
                <w:drawing>
                  <wp:anchor distT="0" distB="0" distL="114300" distR="114300" simplePos="0" relativeHeight="251662336" behindDoc="0" locked="0" layoutInCell="1" allowOverlap="1" wp14:anchorId="0FA5473B" wp14:editId="52AA519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657AB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sidRPr="00AD6873">
            <w:rPr>
              <w:noProof/>
              <w:sz w:val="24"/>
              <w:szCs w:val="24"/>
              <w:lang w:val="en-GB"/>
            </w:rPr>
            <mc:AlternateContent>
              <mc:Choice Requires="wps">
                <w:drawing>
                  <wp:anchor distT="0" distB="0" distL="114300" distR="114300" simplePos="0" relativeHeight="251660288" behindDoc="0" locked="0" layoutInCell="1" allowOverlap="1" wp14:anchorId="6B07E4D1" wp14:editId="28E2082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01ABC1" w14:textId="6F966D30" w:rsidR="00887A6B" w:rsidRDefault="008977FE">
                                    <w:pPr>
                                      <w:pStyle w:val="NoSpacing"/>
                                      <w:jc w:val="right"/>
                                      <w:rPr>
                                        <w:color w:val="595959" w:themeColor="text1" w:themeTint="A6"/>
                                        <w:sz w:val="28"/>
                                        <w:szCs w:val="28"/>
                                      </w:rPr>
                                    </w:pPr>
                                    <w:r>
                                      <w:rPr>
                                        <w:b/>
                                        <w:sz w:val="28"/>
                                        <w:szCs w:val="28"/>
                                      </w:rPr>
                                      <w:t>Ndeye rokheya Bop</w:t>
                                    </w:r>
                                  </w:p>
                                </w:sdtContent>
                              </w:sdt>
                              <w:p w14:paraId="7995317F" w14:textId="3FBEAF31" w:rsidR="00AD6873" w:rsidRPr="00AD6873" w:rsidRDefault="00000000" w:rsidP="00AD687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D687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07E4D1"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01ABC1" w14:textId="6F966D30" w:rsidR="00887A6B" w:rsidRDefault="008977FE">
                              <w:pPr>
                                <w:pStyle w:val="NoSpacing"/>
                                <w:jc w:val="right"/>
                                <w:rPr>
                                  <w:color w:val="595959" w:themeColor="text1" w:themeTint="A6"/>
                                  <w:sz w:val="28"/>
                                  <w:szCs w:val="28"/>
                                </w:rPr>
                              </w:pPr>
                              <w:r>
                                <w:rPr>
                                  <w:b/>
                                  <w:sz w:val="28"/>
                                  <w:szCs w:val="28"/>
                                </w:rPr>
                                <w:t>Ndeye rokheya Bop</w:t>
                              </w:r>
                            </w:p>
                          </w:sdtContent>
                        </w:sdt>
                        <w:p w14:paraId="7995317F" w14:textId="3FBEAF31" w:rsidR="00AD6873" w:rsidRPr="00AD6873" w:rsidRDefault="00000000" w:rsidP="00AD687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D6873">
                                <w:rPr>
                                  <w:color w:val="595959" w:themeColor="text1" w:themeTint="A6"/>
                                  <w:sz w:val="18"/>
                                  <w:szCs w:val="18"/>
                                </w:rPr>
                                <w:t xml:space="preserve">     </w:t>
                              </w:r>
                            </w:sdtContent>
                          </w:sdt>
                        </w:p>
                      </w:txbxContent>
                    </v:textbox>
                    <w10:wrap type="square" anchorx="page" anchory="page"/>
                  </v:shape>
                </w:pict>
              </mc:Fallback>
            </mc:AlternateContent>
          </w:r>
          <w:r w:rsidRPr="00AD6873">
            <w:rPr>
              <w:noProof/>
              <w:sz w:val="24"/>
              <w:szCs w:val="24"/>
              <w:lang w:val="en-GB"/>
            </w:rPr>
            <mc:AlternateContent>
              <mc:Choice Requires="wps">
                <w:drawing>
                  <wp:anchor distT="0" distB="0" distL="114300" distR="114300" simplePos="0" relativeHeight="251661312" behindDoc="0" locked="0" layoutInCell="1" allowOverlap="1" wp14:anchorId="025FC578" wp14:editId="2F274564">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5567C2" w14:textId="4594E861" w:rsidR="00887A6B" w:rsidRDefault="00887A6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5FC578"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F5567C2" w14:textId="4594E861" w:rsidR="00887A6B" w:rsidRDefault="00887A6B">
                          <w:pPr>
                            <w:pStyle w:val="NoSpacing"/>
                            <w:jc w:val="right"/>
                            <w:rPr>
                              <w:color w:val="595959" w:themeColor="text1" w:themeTint="A6"/>
                              <w:sz w:val="20"/>
                              <w:szCs w:val="20"/>
                            </w:rPr>
                          </w:pPr>
                        </w:p>
                      </w:txbxContent>
                    </v:textbox>
                    <w10:wrap type="square" anchorx="page" anchory="page"/>
                  </v:shape>
                </w:pict>
              </mc:Fallback>
            </mc:AlternateContent>
          </w:r>
          <w:r w:rsidRPr="00AD6873">
            <w:rPr>
              <w:noProof/>
              <w:sz w:val="24"/>
              <w:szCs w:val="24"/>
            </w:rPr>
            <w:t>qeefsdfd</w:t>
          </w:r>
        </w:p>
        <w:p w14:paraId="623CC609" w14:textId="77777777" w:rsidR="00887A6B" w:rsidRPr="00AD6873" w:rsidRDefault="00887A6B" w:rsidP="00AD6873">
          <w:pPr>
            <w:jc w:val="both"/>
            <w:rPr>
              <w:noProof/>
              <w:sz w:val="24"/>
              <w:szCs w:val="24"/>
            </w:rPr>
          </w:pPr>
        </w:p>
        <w:p w14:paraId="44B9A075" w14:textId="44578F79" w:rsidR="00887A6B" w:rsidRPr="00AD6873" w:rsidRDefault="00887A6B" w:rsidP="00AD6873">
          <w:pPr>
            <w:jc w:val="both"/>
            <w:rPr>
              <w:noProof/>
              <w:sz w:val="24"/>
              <w:szCs w:val="24"/>
            </w:rPr>
          </w:pPr>
          <w:r w:rsidRPr="00AD6873">
            <w:rPr>
              <w:noProof/>
              <w:sz w:val="24"/>
              <w:szCs w:val="24"/>
            </w:rPr>
            <w:t>Fa</w:t>
          </w:r>
        </w:p>
        <w:p w14:paraId="6013F4A5" w14:textId="77777777" w:rsidR="00887A6B" w:rsidRPr="00AD6873" w:rsidRDefault="00887A6B" w:rsidP="00AD6873">
          <w:pPr>
            <w:jc w:val="both"/>
            <w:rPr>
              <w:sz w:val="24"/>
              <w:szCs w:val="24"/>
            </w:rPr>
          </w:pPr>
        </w:p>
        <w:p w14:paraId="7F50F1DE" w14:textId="77777777" w:rsidR="00887A6B" w:rsidRPr="00AD6873" w:rsidRDefault="00887A6B" w:rsidP="00AD6873">
          <w:pPr>
            <w:spacing w:line="360" w:lineRule="auto"/>
            <w:jc w:val="both"/>
            <w:rPr>
              <w:sz w:val="24"/>
              <w:szCs w:val="24"/>
            </w:rPr>
          </w:pPr>
          <w:bookmarkStart w:id="0" w:name="_b1a1iq6gdcpx" w:colFirst="0" w:colLast="0"/>
          <w:bookmarkEnd w:id="0"/>
          <w:r w:rsidRPr="00AD6873">
            <w:rPr>
              <w:noProof/>
              <w:sz w:val="24"/>
              <w:szCs w:val="24"/>
              <w:lang w:val="en-GB"/>
            </w:rPr>
            <w:drawing>
              <wp:anchor distT="0" distB="0" distL="114300" distR="114300" simplePos="0" relativeHeight="251664384" behindDoc="0" locked="0" layoutInCell="1" allowOverlap="0" wp14:anchorId="593A55E8" wp14:editId="074B50DB">
                <wp:simplePos x="0" y="0"/>
                <wp:positionH relativeFrom="margin">
                  <wp:posOffset>95250</wp:posOffset>
                </wp:positionH>
                <wp:positionV relativeFrom="line">
                  <wp:posOffset>66040</wp:posOffset>
                </wp:positionV>
                <wp:extent cx="2306955" cy="1050290"/>
                <wp:effectExtent l="0" t="0" r="0" b="0"/>
                <wp:wrapSquare wrapText="bothSides"/>
                <wp:docPr id="5" name="Picture 5" descr="C:\Users\lenovo\AppData\Local\Temp\ksohtml13192\wp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AppData\Local\Temp\ksohtml13192\wps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06955" cy="10502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5BCF87" w14:textId="77777777" w:rsidR="00887A6B" w:rsidRPr="00AD6873" w:rsidRDefault="00887A6B" w:rsidP="00AD6873">
          <w:pPr>
            <w:spacing w:line="360" w:lineRule="auto"/>
            <w:jc w:val="both"/>
            <w:rPr>
              <w:sz w:val="24"/>
              <w:szCs w:val="24"/>
            </w:rPr>
          </w:pPr>
          <w:r w:rsidRPr="00AD6873">
            <w:rPr>
              <w:sz w:val="24"/>
              <w:szCs w:val="24"/>
            </w:rPr>
            <w:t xml:space="preserve"> </w:t>
          </w:r>
        </w:p>
        <w:p w14:paraId="60354DE0" w14:textId="77777777" w:rsidR="00887A6B" w:rsidRPr="00AD6873" w:rsidRDefault="00887A6B" w:rsidP="00AD6873">
          <w:pPr>
            <w:spacing w:line="360" w:lineRule="auto"/>
            <w:jc w:val="both"/>
            <w:rPr>
              <w:sz w:val="24"/>
              <w:szCs w:val="24"/>
            </w:rPr>
          </w:pPr>
          <w:r w:rsidRPr="00AD6873">
            <w:rPr>
              <w:sz w:val="24"/>
              <w:szCs w:val="24"/>
            </w:rPr>
            <w:t xml:space="preserve"> </w:t>
          </w:r>
        </w:p>
        <w:p w14:paraId="77F9706D" w14:textId="77777777" w:rsidR="00887A6B" w:rsidRPr="00AD6873" w:rsidRDefault="00887A6B" w:rsidP="00AD6873">
          <w:pPr>
            <w:spacing w:line="360" w:lineRule="auto"/>
            <w:jc w:val="both"/>
            <w:rPr>
              <w:sz w:val="24"/>
              <w:szCs w:val="24"/>
            </w:rPr>
          </w:pPr>
          <w:r w:rsidRPr="00AD6873">
            <w:rPr>
              <w:sz w:val="24"/>
              <w:szCs w:val="24"/>
            </w:rPr>
            <w:t xml:space="preserve"> </w:t>
          </w:r>
        </w:p>
        <w:p w14:paraId="375AEE93" w14:textId="77777777" w:rsidR="00887A6B" w:rsidRPr="00AD6873" w:rsidRDefault="00887A6B" w:rsidP="00AD6873">
          <w:pPr>
            <w:tabs>
              <w:tab w:val="left" w:pos="6540"/>
            </w:tabs>
            <w:spacing w:line="360" w:lineRule="auto"/>
            <w:jc w:val="both"/>
            <w:rPr>
              <w:sz w:val="24"/>
              <w:szCs w:val="24"/>
            </w:rPr>
          </w:pPr>
          <w:r w:rsidRPr="00AD6873">
            <w:rPr>
              <w:sz w:val="24"/>
              <w:szCs w:val="24"/>
            </w:rPr>
            <w:t xml:space="preserve"> </w:t>
          </w:r>
        </w:p>
        <w:p w14:paraId="367F4350" w14:textId="77777777" w:rsidR="00887A6B" w:rsidRPr="00C3022C" w:rsidRDefault="00887A6B" w:rsidP="00AD6873">
          <w:pPr>
            <w:tabs>
              <w:tab w:val="left" w:pos="6540"/>
            </w:tabs>
            <w:spacing w:line="360" w:lineRule="auto"/>
            <w:jc w:val="both"/>
            <w:rPr>
              <w:b/>
              <w:sz w:val="32"/>
              <w:szCs w:val="32"/>
            </w:rPr>
          </w:pPr>
          <w:r w:rsidRPr="00C3022C">
            <w:rPr>
              <w:b/>
              <w:bCs/>
              <w:sz w:val="32"/>
              <w:szCs w:val="32"/>
            </w:rPr>
            <w:t>Student name</w:t>
          </w:r>
          <w:r w:rsidRPr="00C3022C">
            <w:rPr>
              <w:b/>
              <w:sz w:val="32"/>
              <w:szCs w:val="32"/>
            </w:rPr>
            <w:t>: Ndeye Rokheya Bop</w:t>
          </w:r>
        </w:p>
        <w:p w14:paraId="4B461998" w14:textId="77777777" w:rsidR="00887A6B" w:rsidRPr="00C3022C" w:rsidRDefault="00887A6B" w:rsidP="00AD6873">
          <w:pPr>
            <w:tabs>
              <w:tab w:val="left" w:pos="6540"/>
            </w:tabs>
            <w:spacing w:line="360" w:lineRule="auto"/>
            <w:jc w:val="both"/>
            <w:rPr>
              <w:b/>
              <w:sz w:val="32"/>
              <w:szCs w:val="32"/>
            </w:rPr>
          </w:pPr>
          <w:r w:rsidRPr="00C3022C">
            <w:rPr>
              <w:b/>
              <w:bCs/>
              <w:sz w:val="32"/>
              <w:szCs w:val="32"/>
            </w:rPr>
            <w:t>Student ID</w:t>
          </w:r>
          <w:r w:rsidRPr="00C3022C">
            <w:rPr>
              <w:b/>
              <w:sz w:val="32"/>
              <w:szCs w:val="32"/>
            </w:rPr>
            <w:t>: 2419596</w:t>
          </w:r>
        </w:p>
        <w:p w14:paraId="5B50CBA3" w14:textId="77777777" w:rsidR="00887A6B" w:rsidRPr="00C3022C" w:rsidRDefault="00887A6B" w:rsidP="00AD6873">
          <w:pPr>
            <w:tabs>
              <w:tab w:val="left" w:pos="6540"/>
            </w:tabs>
            <w:spacing w:line="360" w:lineRule="auto"/>
            <w:jc w:val="both"/>
            <w:rPr>
              <w:b/>
              <w:sz w:val="32"/>
              <w:szCs w:val="32"/>
            </w:rPr>
          </w:pPr>
          <w:r w:rsidRPr="00C3022C">
            <w:rPr>
              <w:b/>
              <w:sz w:val="32"/>
              <w:szCs w:val="32"/>
            </w:rPr>
            <w:t xml:space="preserve"> </w:t>
          </w:r>
        </w:p>
        <w:p w14:paraId="45A109E0" w14:textId="77777777" w:rsidR="00887A6B" w:rsidRPr="00C3022C" w:rsidRDefault="00887A6B" w:rsidP="00AD6873">
          <w:pPr>
            <w:tabs>
              <w:tab w:val="left" w:pos="6540"/>
            </w:tabs>
            <w:spacing w:line="360" w:lineRule="auto"/>
            <w:jc w:val="both"/>
            <w:rPr>
              <w:b/>
              <w:bCs/>
              <w:sz w:val="32"/>
              <w:szCs w:val="32"/>
            </w:rPr>
          </w:pPr>
          <w:proofErr w:type="spellStart"/>
          <w:r w:rsidRPr="00C3022C">
            <w:rPr>
              <w:b/>
              <w:bCs/>
              <w:sz w:val="32"/>
              <w:szCs w:val="32"/>
            </w:rPr>
            <w:t>Programme</w:t>
          </w:r>
          <w:proofErr w:type="spellEnd"/>
          <w:r w:rsidRPr="00C3022C">
            <w:rPr>
              <w:b/>
              <w:bCs/>
              <w:sz w:val="32"/>
              <w:szCs w:val="32"/>
            </w:rPr>
            <w:t xml:space="preserve">: </w:t>
          </w:r>
          <w:r w:rsidRPr="00C3022C">
            <w:rPr>
              <w:b/>
              <w:sz w:val="32"/>
              <w:szCs w:val="32"/>
              <w:lang w:val="en-US"/>
            </w:rPr>
            <w:t>BSc (Hons) Health and Social Care</w:t>
          </w:r>
        </w:p>
        <w:p w14:paraId="4E04B229" w14:textId="77777777" w:rsidR="00887A6B" w:rsidRPr="00C3022C" w:rsidRDefault="00887A6B" w:rsidP="00AD6873">
          <w:pPr>
            <w:tabs>
              <w:tab w:val="left" w:pos="6540"/>
            </w:tabs>
            <w:spacing w:line="360" w:lineRule="auto"/>
            <w:jc w:val="both"/>
            <w:rPr>
              <w:b/>
              <w:bCs/>
              <w:sz w:val="32"/>
              <w:szCs w:val="32"/>
            </w:rPr>
          </w:pPr>
          <w:r w:rsidRPr="00C3022C">
            <w:rPr>
              <w:b/>
              <w:bCs/>
              <w:sz w:val="32"/>
              <w:szCs w:val="32"/>
            </w:rPr>
            <w:t>Module name</w:t>
          </w:r>
          <w:r w:rsidRPr="00C3022C">
            <w:rPr>
              <w:b/>
              <w:sz w:val="32"/>
              <w:szCs w:val="32"/>
            </w:rPr>
            <w:t>: Change makers - Creativity and Value Creation</w:t>
          </w:r>
        </w:p>
        <w:p w14:paraId="2533BC4B" w14:textId="567714BC" w:rsidR="00887A6B" w:rsidRPr="00C3022C" w:rsidRDefault="00887A6B" w:rsidP="00AD6873">
          <w:pPr>
            <w:tabs>
              <w:tab w:val="left" w:pos="6540"/>
            </w:tabs>
            <w:spacing w:line="360" w:lineRule="auto"/>
            <w:jc w:val="both"/>
            <w:rPr>
              <w:b/>
              <w:sz w:val="32"/>
              <w:szCs w:val="32"/>
            </w:rPr>
          </w:pPr>
          <w:r w:rsidRPr="00C3022C">
            <w:rPr>
              <w:b/>
              <w:bCs/>
              <w:sz w:val="32"/>
              <w:szCs w:val="32"/>
            </w:rPr>
            <w:t xml:space="preserve">Assessment Title: </w:t>
          </w:r>
          <w:r w:rsidR="00AC4AAB" w:rsidRPr="00C3022C">
            <w:rPr>
              <w:b/>
              <w:bCs/>
              <w:sz w:val="32"/>
              <w:szCs w:val="32"/>
              <w:lang w:val="en-US"/>
            </w:rPr>
            <w:t>Component 2: Assignment (Report)</w:t>
          </w:r>
        </w:p>
        <w:p w14:paraId="4CCB4437" w14:textId="77777777" w:rsidR="00887A6B" w:rsidRPr="00C3022C" w:rsidRDefault="00887A6B" w:rsidP="00AD6873">
          <w:pPr>
            <w:tabs>
              <w:tab w:val="left" w:pos="6540"/>
            </w:tabs>
            <w:spacing w:line="360" w:lineRule="auto"/>
            <w:jc w:val="both"/>
            <w:rPr>
              <w:b/>
              <w:sz w:val="32"/>
              <w:szCs w:val="32"/>
            </w:rPr>
          </w:pPr>
          <w:r w:rsidRPr="00C3022C">
            <w:rPr>
              <w:b/>
              <w:bCs/>
              <w:sz w:val="32"/>
              <w:szCs w:val="32"/>
            </w:rPr>
            <w:t>Module code</w:t>
          </w:r>
          <w:r w:rsidRPr="00C3022C">
            <w:rPr>
              <w:b/>
              <w:sz w:val="32"/>
              <w:szCs w:val="32"/>
            </w:rPr>
            <w:t xml:space="preserve">: </w:t>
          </w:r>
          <w:r w:rsidRPr="00C3022C">
            <w:rPr>
              <w:b/>
              <w:bCs/>
              <w:sz w:val="32"/>
              <w:szCs w:val="32"/>
            </w:rPr>
            <w:t>BMHP5014</w:t>
          </w:r>
        </w:p>
        <w:p w14:paraId="4E3B2453" w14:textId="2225FDC1" w:rsidR="0057116C" w:rsidRPr="00C3022C" w:rsidRDefault="00887A6B" w:rsidP="00AD6873">
          <w:pPr>
            <w:jc w:val="both"/>
            <w:rPr>
              <w:b/>
              <w:sz w:val="32"/>
              <w:szCs w:val="32"/>
            </w:rPr>
          </w:pPr>
          <w:r w:rsidRPr="00C3022C">
            <w:rPr>
              <w:b/>
              <w:bCs/>
              <w:sz w:val="32"/>
              <w:szCs w:val="32"/>
            </w:rPr>
            <w:t>Lecturer name</w:t>
          </w:r>
          <w:r w:rsidRPr="00C3022C">
            <w:rPr>
              <w:b/>
              <w:sz w:val="32"/>
              <w:szCs w:val="32"/>
            </w:rPr>
            <w:t xml:space="preserve">: G1: Laila Surani </w:t>
          </w:r>
        </w:p>
        <w:p w14:paraId="529CE5FE" w14:textId="77777777" w:rsidR="0057116C" w:rsidRPr="00C3022C" w:rsidRDefault="0057116C" w:rsidP="00AD6873">
          <w:pPr>
            <w:jc w:val="both"/>
            <w:rPr>
              <w:b/>
              <w:sz w:val="32"/>
              <w:szCs w:val="32"/>
            </w:rPr>
          </w:pPr>
        </w:p>
        <w:p w14:paraId="1AF6FD68" w14:textId="77777777" w:rsidR="0057116C" w:rsidRPr="00C3022C" w:rsidRDefault="0057116C" w:rsidP="00AD6873">
          <w:pPr>
            <w:jc w:val="both"/>
            <w:rPr>
              <w:b/>
              <w:sz w:val="32"/>
              <w:szCs w:val="32"/>
            </w:rPr>
          </w:pPr>
        </w:p>
        <w:p w14:paraId="6E4AC6C2" w14:textId="77777777" w:rsidR="0057116C" w:rsidRPr="00AD6873" w:rsidRDefault="0057116C" w:rsidP="00AD6873">
          <w:pPr>
            <w:jc w:val="both"/>
            <w:rPr>
              <w:b/>
              <w:sz w:val="24"/>
              <w:szCs w:val="24"/>
            </w:rPr>
          </w:pPr>
        </w:p>
        <w:p w14:paraId="3E668BE3" w14:textId="77777777" w:rsidR="0057116C" w:rsidRPr="00AD6873" w:rsidRDefault="0057116C" w:rsidP="00AD6873">
          <w:pPr>
            <w:jc w:val="both"/>
            <w:rPr>
              <w:b/>
              <w:sz w:val="24"/>
              <w:szCs w:val="24"/>
            </w:rPr>
          </w:pPr>
        </w:p>
        <w:p w14:paraId="58776808" w14:textId="77777777" w:rsidR="0057116C" w:rsidRPr="00AD6873" w:rsidRDefault="0057116C" w:rsidP="00AD6873">
          <w:pPr>
            <w:jc w:val="both"/>
            <w:rPr>
              <w:b/>
              <w:color w:val="000000"/>
              <w:sz w:val="24"/>
              <w:szCs w:val="24"/>
            </w:rPr>
          </w:pPr>
        </w:p>
        <w:p w14:paraId="3D9112A9" w14:textId="77777777" w:rsidR="0057116C" w:rsidRPr="00AD6873" w:rsidRDefault="0057116C" w:rsidP="00AD6873">
          <w:pPr>
            <w:jc w:val="both"/>
            <w:rPr>
              <w:b/>
              <w:color w:val="000000"/>
              <w:sz w:val="24"/>
              <w:szCs w:val="24"/>
            </w:rPr>
          </w:pPr>
        </w:p>
        <w:p w14:paraId="7E74F143" w14:textId="77777777" w:rsidR="0057116C" w:rsidRPr="00AD6873" w:rsidRDefault="0057116C" w:rsidP="00AD6873">
          <w:pPr>
            <w:jc w:val="both"/>
            <w:rPr>
              <w:b/>
              <w:color w:val="000000"/>
              <w:sz w:val="24"/>
              <w:szCs w:val="24"/>
            </w:rPr>
          </w:pPr>
        </w:p>
        <w:p w14:paraId="4DF6BE8E" w14:textId="77777777" w:rsidR="0057116C" w:rsidRPr="00AD6873" w:rsidRDefault="0057116C" w:rsidP="00AD6873">
          <w:pPr>
            <w:jc w:val="both"/>
            <w:rPr>
              <w:b/>
              <w:color w:val="000000"/>
              <w:sz w:val="24"/>
              <w:szCs w:val="24"/>
            </w:rPr>
          </w:pPr>
        </w:p>
        <w:p w14:paraId="2C4A5CAC" w14:textId="77777777" w:rsidR="0057116C" w:rsidRPr="00AD6873" w:rsidRDefault="0057116C" w:rsidP="00AD6873">
          <w:pPr>
            <w:jc w:val="both"/>
            <w:rPr>
              <w:b/>
              <w:color w:val="000000"/>
              <w:sz w:val="24"/>
              <w:szCs w:val="24"/>
            </w:rPr>
          </w:pPr>
        </w:p>
        <w:p w14:paraId="1174A267" w14:textId="7BFA5DB8" w:rsidR="00AD6873" w:rsidRDefault="00887A6B" w:rsidP="00AD6873">
          <w:pPr>
            <w:jc w:val="both"/>
            <w:rPr>
              <w:b/>
              <w:color w:val="000000"/>
              <w:sz w:val="24"/>
              <w:szCs w:val="24"/>
            </w:rPr>
          </w:pPr>
          <w:r w:rsidRPr="00AD6873">
            <w:rPr>
              <w:b/>
              <w:color w:val="000000"/>
              <w:sz w:val="24"/>
              <w:szCs w:val="24"/>
            </w:rPr>
            <w:t xml:space="preserve"> </w:t>
          </w:r>
        </w:p>
        <w:p w14:paraId="18EC6038" w14:textId="2268112C" w:rsidR="00AD6873" w:rsidRPr="00AD6873" w:rsidRDefault="00AD6873" w:rsidP="00AD6873">
          <w:pPr>
            <w:jc w:val="both"/>
            <w:rPr>
              <w:b/>
              <w:color w:val="000000"/>
              <w:sz w:val="24"/>
              <w:szCs w:val="24"/>
            </w:rPr>
          </w:pPr>
        </w:p>
        <w:p w14:paraId="2632EBE8" w14:textId="50A97EDC" w:rsidR="0057116C" w:rsidRPr="00AD6873" w:rsidRDefault="00000000" w:rsidP="00AD6873">
          <w:pPr>
            <w:jc w:val="both"/>
            <w:rPr>
              <w:b/>
              <w:color w:val="000000"/>
              <w:sz w:val="24"/>
              <w:szCs w:val="24"/>
            </w:rPr>
          </w:pPr>
        </w:p>
      </w:sdtContent>
    </w:sdt>
    <w:sdt>
      <w:sdtPr>
        <w:rPr>
          <w:rFonts w:ascii="Arial" w:eastAsia="Arial" w:hAnsi="Arial" w:cs="Arial"/>
          <w:color w:val="auto"/>
          <w:sz w:val="22"/>
          <w:szCs w:val="22"/>
          <w:lang w:val="en" w:eastAsia="en-GB"/>
        </w:rPr>
        <w:id w:val="-1278875830"/>
        <w:docPartObj>
          <w:docPartGallery w:val="Table of Contents"/>
          <w:docPartUnique/>
        </w:docPartObj>
      </w:sdtPr>
      <w:sdtEndPr>
        <w:rPr>
          <w:b/>
          <w:bCs/>
          <w:noProof/>
        </w:rPr>
      </w:sdtEndPr>
      <w:sdtContent>
        <w:p w14:paraId="1101DE3E" w14:textId="7B3275ED" w:rsidR="00C3022C" w:rsidRPr="00C3022C" w:rsidRDefault="00C3022C">
          <w:pPr>
            <w:pStyle w:val="TOCHeading"/>
            <w:rPr>
              <w:b/>
            </w:rPr>
          </w:pPr>
          <w:r w:rsidRPr="00C3022C">
            <w:rPr>
              <w:b/>
            </w:rPr>
            <w:t>Contents</w:t>
          </w:r>
        </w:p>
        <w:p w14:paraId="7833FAB0" w14:textId="3752E012" w:rsidR="00C3022C" w:rsidRPr="00C3022C" w:rsidRDefault="00C3022C">
          <w:pPr>
            <w:pStyle w:val="TOC1"/>
            <w:tabs>
              <w:tab w:val="right" w:leader="dot" w:pos="9350"/>
            </w:tabs>
            <w:rPr>
              <w:rFonts w:asciiTheme="minorHAnsi" w:eastAsiaTheme="minorEastAsia" w:hAnsiTheme="minorHAnsi" w:cstheme="minorBidi"/>
              <w:noProof/>
              <w:lang w:val="en-GB"/>
            </w:rPr>
          </w:pPr>
          <w:r w:rsidRPr="00C3022C">
            <w:rPr>
              <w:bCs/>
              <w:noProof/>
            </w:rPr>
            <w:fldChar w:fldCharType="begin"/>
          </w:r>
          <w:r w:rsidRPr="00C3022C">
            <w:rPr>
              <w:bCs/>
              <w:noProof/>
            </w:rPr>
            <w:instrText xml:space="preserve"> TOC \o "1-3" \h \z \u </w:instrText>
          </w:r>
          <w:r w:rsidRPr="00C3022C">
            <w:rPr>
              <w:bCs/>
              <w:noProof/>
            </w:rPr>
            <w:fldChar w:fldCharType="separate"/>
          </w:r>
          <w:hyperlink w:anchor="_Toc236670207" w:history="1">
            <w:r w:rsidRPr="00C3022C">
              <w:rPr>
                <w:rStyle w:val="Hyperlink"/>
                <w:bCs/>
                <w:noProof/>
              </w:rPr>
              <w:t>PART 1: POSTER</w:t>
            </w:r>
            <w:r w:rsidRPr="00C3022C">
              <w:rPr>
                <w:noProof/>
                <w:webHidden/>
              </w:rPr>
              <w:tab/>
            </w:r>
            <w:r w:rsidRPr="00C3022C">
              <w:rPr>
                <w:noProof/>
                <w:webHidden/>
              </w:rPr>
              <w:fldChar w:fldCharType="begin"/>
            </w:r>
            <w:r w:rsidRPr="00C3022C">
              <w:rPr>
                <w:noProof/>
                <w:webHidden/>
              </w:rPr>
              <w:instrText xml:space="preserve"> PAGEREF _Toc236670207 \h </w:instrText>
            </w:r>
            <w:r w:rsidRPr="00C3022C">
              <w:rPr>
                <w:noProof/>
                <w:webHidden/>
              </w:rPr>
            </w:r>
            <w:r w:rsidRPr="00C3022C">
              <w:rPr>
                <w:noProof/>
                <w:webHidden/>
              </w:rPr>
              <w:fldChar w:fldCharType="separate"/>
            </w:r>
            <w:r w:rsidRPr="00C3022C">
              <w:rPr>
                <w:noProof/>
                <w:webHidden/>
              </w:rPr>
              <w:t>2</w:t>
            </w:r>
            <w:r w:rsidRPr="00C3022C">
              <w:rPr>
                <w:noProof/>
                <w:webHidden/>
              </w:rPr>
              <w:fldChar w:fldCharType="end"/>
            </w:r>
          </w:hyperlink>
        </w:p>
        <w:p w14:paraId="7D252CD1" w14:textId="27C7196C" w:rsidR="00C3022C" w:rsidRPr="00C3022C" w:rsidRDefault="00C3022C">
          <w:pPr>
            <w:pStyle w:val="TOC2"/>
            <w:tabs>
              <w:tab w:val="right" w:leader="dot" w:pos="9350"/>
            </w:tabs>
            <w:rPr>
              <w:rFonts w:asciiTheme="minorHAnsi" w:eastAsiaTheme="minorEastAsia" w:hAnsiTheme="minorHAnsi" w:cstheme="minorBidi"/>
              <w:noProof/>
              <w:lang w:val="en-GB"/>
            </w:rPr>
          </w:pPr>
          <w:hyperlink w:anchor="_Toc236670208" w:history="1">
            <w:r w:rsidRPr="00C3022C">
              <w:rPr>
                <w:rStyle w:val="Hyperlink"/>
                <w:bCs/>
                <w:noProof/>
              </w:rPr>
              <w:t>CareConnect: A Digital Mental Health and Wellbeing Support Platform for NHS and Social Care Professionals</w:t>
            </w:r>
            <w:r w:rsidRPr="00C3022C">
              <w:rPr>
                <w:noProof/>
                <w:webHidden/>
              </w:rPr>
              <w:tab/>
            </w:r>
            <w:r w:rsidRPr="00C3022C">
              <w:rPr>
                <w:noProof/>
                <w:webHidden/>
              </w:rPr>
              <w:fldChar w:fldCharType="begin"/>
            </w:r>
            <w:r w:rsidRPr="00C3022C">
              <w:rPr>
                <w:noProof/>
                <w:webHidden/>
              </w:rPr>
              <w:instrText xml:space="preserve"> PAGEREF _Toc236670208 \h </w:instrText>
            </w:r>
            <w:r w:rsidRPr="00C3022C">
              <w:rPr>
                <w:noProof/>
                <w:webHidden/>
              </w:rPr>
            </w:r>
            <w:r w:rsidRPr="00C3022C">
              <w:rPr>
                <w:noProof/>
                <w:webHidden/>
              </w:rPr>
              <w:fldChar w:fldCharType="separate"/>
            </w:r>
            <w:r w:rsidRPr="00C3022C">
              <w:rPr>
                <w:noProof/>
                <w:webHidden/>
              </w:rPr>
              <w:t>2</w:t>
            </w:r>
            <w:r w:rsidRPr="00C3022C">
              <w:rPr>
                <w:noProof/>
                <w:webHidden/>
              </w:rPr>
              <w:fldChar w:fldCharType="end"/>
            </w:r>
          </w:hyperlink>
        </w:p>
        <w:p w14:paraId="163549EF" w14:textId="577A6283" w:rsidR="00C3022C" w:rsidRPr="00C3022C" w:rsidRDefault="00C3022C">
          <w:pPr>
            <w:pStyle w:val="TOC1"/>
            <w:tabs>
              <w:tab w:val="right" w:leader="dot" w:pos="9350"/>
            </w:tabs>
            <w:rPr>
              <w:rFonts w:asciiTheme="minorHAnsi" w:eastAsiaTheme="minorEastAsia" w:hAnsiTheme="minorHAnsi" w:cstheme="minorBidi"/>
              <w:noProof/>
              <w:lang w:val="en-GB"/>
            </w:rPr>
          </w:pPr>
          <w:hyperlink w:anchor="_Toc236670209" w:history="1">
            <w:r w:rsidRPr="00C3022C">
              <w:rPr>
                <w:noProof/>
                <w:webHidden/>
              </w:rPr>
              <w:tab/>
            </w:r>
            <w:r w:rsidRPr="00C3022C">
              <w:rPr>
                <w:noProof/>
                <w:webHidden/>
              </w:rPr>
              <w:fldChar w:fldCharType="begin"/>
            </w:r>
            <w:r w:rsidRPr="00C3022C">
              <w:rPr>
                <w:noProof/>
                <w:webHidden/>
              </w:rPr>
              <w:instrText xml:space="preserve"> PAGEREF _Toc236670209 \h </w:instrText>
            </w:r>
            <w:r w:rsidRPr="00C3022C">
              <w:rPr>
                <w:noProof/>
                <w:webHidden/>
              </w:rPr>
            </w:r>
            <w:r w:rsidRPr="00C3022C">
              <w:rPr>
                <w:noProof/>
                <w:webHidden/>
              </w:rPr>
              <w:fldChar w:fldCharType="separate"/>
            </w:r>
            <w:r w:rsidRPr="00C3022C">
              <w:rPr>
                <w:noProof/>
                <w:webHidden/>
              </w:rPr>
              <w:t>2</w:t>
            </w:r>
            <w:r w:rsidRPr="00C3022C">
              <w:rPr>
                <w:noProof/>
                <w:webHidden/>
              </w:rPr>
              <w:fldChar w:fldCharType="end"/>
            </w:r>
          </w:hyperlink>
        </w:p>
        <w:p w14:paraId="156220FB" w14:textId="03AA969D" w:rsidR="00C3022C" w:rsidRPr="00C3022C" w:rsidRDefault="00C3022C">
          <w:pPr>
            <w:pStyle w:val="TOC1"/>
            <w:tabs>
              <w:tab w:val="right" w:leader="dot" w:pos="9350"/>
            </w:tabs>
            <w:rPr>
              <w:rFonts w:asciiTheme="minorHAnsi" w:eastAsiaTheme="minorEastAsia" w:hAnsiTheme="minorHAnsi" w:cstheme="minorBidi"/>
              <w:noProof/>
              <w:lang w:val="en-GB"/>
            </w:rPr>
          </w:pPr>
          <w:hyperlink w:anchor="_Toc236670210" w:history="1">
            <w:r w:rsidRPr="00C3022C">
              <w:rPr>
                <w:rStyle w:val="Hyperlink"/>
                <w:bCs/>
                <w:noProof/>
              </w:rPr>
              <w:t>PART 2: WRITTEN PITCH</w:t>
            </w:r>
            <w:r w:rsidRPr="00C3022C">
              <w:rPr>
                <w:noProof/>
                <w:webHidden/>
              </w:rPr>
              <w:tab/>
            </w:r>
            <w:r w:rsidRPr="00C3022C">
              <w:rPr>
                <w:noProof/>
                <w:webHidden/>
              </w:rPr>
              <w:fldChar w:fldCharType="begin"/>
            </w:r>
            <w:r w:rsidRPr="00C3022C">
              <w:rPr>
                <w:noProof/>
                <w:webHidden/>
              </w:rPr>
              <w:instrText xml:space="preserve"> PAGEREF _Toc236670210 \h </w:instrText>
            </w:r>
            <w:r w:rsidRPr="00C3022C">
              <w:rPr>
                <w:noProof/>
                <w:webHidden/>
              </w:rPr>
            </w:r>
            <w:r w:rsidRPr="00C3022C">
              <w:rPr>
                <w:noProof/>
                <w:webHidden/>
              </w:rPr>
              <w:fldChar w:fldCharType="separate"/>
            </w:r>
            <w:r w:rsidRPr="00C3022C">
              <w:rPr>
                <w:noProof/>
                <w:webHidden/>
              </w:rPr>
              <w:t>3</w:t>
            </w:r>
            <w:r w:rsidRPr="00C3022C">
              <w:rPr>
                <w:noProof/>
                <w:webHidden/>
              </w:rPr>
              <w:fldChar w:fldCharType="end"/>
            </w:r>
          </w:hyperlink>
        </w:p>
        <w:p w14:paraId="7097F7C6" w14:textId="2361382B" w:rsidR="00C3022C" w:rsidRPr="00C3022C" w:rsidRDefault="00C3022C">
          <w:pPr>
            <w:pStyle w:val="TOC2"/>
            <w:tabs>
              <w:tab w:val="right" w:leader="dot" w:pos="9350"/>
            </w:tabs>
            <w:rPr>
              <w:rFonts w:asciiTheme="minorHAnsi" w:eastAsiaTheme="minorEastAsia" w:hAnsiTheme="minorHAnsi" w:cstheme="minorBidi"/>
              <w:noProof/>
              <w:lang w:val="en-GB"/>
            </w:rPr>
          </w:pPr>
          <w:hyperlink w:anchor="_Toc236670211" w:history="1">
            <w:r w:rsidRPr="00C3022C">
              <w:rPr>
                <w:rStyle w:val="Hyperlink"/>
                <w:bCs/>
                <w:noProof/>
              </w:rPr>
              <w:t>CareConnect: A Digital Mental Health and Wellbeing Support Platform for NHS and Social Care Professionals</w:t>
            </w:r>
            <w:r w:rsidRPr="00C3022C">
              <w:rPr>
                <w:noProof/>
                <w:webHidden/>
              </w:rPr>
              <w:tab/>
            </w:r>
            <w:r w:rsidRPr="00C3022C">
              <w:rPr>
                <w:noProof/>
                <w:webHidden/>
              </w:rPr>
              <w:fldChar w:fldCharType="begin"/>
            </w:r>
            <w:r w:rsidRPr="00C3022C">
              <w:rPr>
                <w:noProof/>
                <w:webHidden/>
              </w:rPr>
              <w:instrText xml:space="preserve"> PAGEREF _Toc236670211 \h </w:instrText>
            </w:r>
            <w:r w:rsidRPr="00C3022C">
              <w:rPr>
                <w:noProof/>
                <w:webHidden/>
              </w:rPr>
            </w:r>
            <w:r w:rsidRPr="00C3022C">
              <w:rPr>
                <w:noProof/>
                <w:webHidden/>
              </w:rPr>
              <w:fldChar w:fldCharType="separate"/>
            </w:r>
            <w:r w:rsidRPr="00C3022C">
              <w:rPr>
                <w:noProof/>
                <w:webHidden/>
              </w:rPr>
              <w:t>3</w:t>
            </w:r>
            <w:r w:rsidRPr="00C3022C">
              <w:rPr>
                <w:noProof/>
                <w:webHidden/>
              </w:rPr>
              <w:fldChar w:fldCharType="end"/>
            </w:r>
          </w:hyperlink>
        </w:p>
        <w:p w14:paraId="110968C9" w14:textId="63DE3311" w:rsidR="00C3022C" w:rsidRPr="00C3022C" w:rsidRDefault="00C3022C">
          <w:pPr>
            <w:pStyle w:val="TOC2"/>
            <w:tabs>
              <w:tab w:val="right" w:leader="dot" w:pos="9350"/>
            </w:tabs>
            <w:rPr>
              <w:rFonts w:asciiTheme="minorHAnsi" w:eastAsiaTheme="minorEastAsia" w:hAnsiTheme="minorHAnsi" w:cstheme="minorBidi"/>
              <w:noProof/>
              <w:lang w:val="en-GB"/>
            </w:rPr>
          </w:pPr>
          <w:hyperlink w:anchor="_Toc236670212" w:history="1">
            <w:r w:rsidRPr="00C3022C">
              <w:rPr>
                <w:rStyle w:val="Hyperlink"/>
                <w:bCs/>
                <w:noProof/>
              </w:rPr>
              <w:t>Introduction</w:t>
            </w:r>
            <w:r w:rsidRPr="00C3022C">
              <w:rPr>
                <w:noProof/>
                <w:webHidden/>
              </w:rPr>
              <w:tab/>
            </w:r>
            <w:r w:rsidRPr="00C3022C">
              <w:rPr>
                <w:noProof/>
                <w:webHidden/>
              </w:rPr>
              <w:fldChar w:fldCharType="begin"/>
            </w:r>
            <w:r w:rsidRPr="00C3022C">
              <w:rPr>
                <w:noProof/>
                <w:webHidden/>
              </w:rPr>
              <w:instrText xml:space="preserve"> PAGEREF _Toc236670212 \h </w:instrText>
            </w:r>
            <w:r w:rsidRPr="00C3022C">
              <w:rPr>
                <w:noProof/>
                <w:webHidden/>
              </w:rPr>
            </w:r>
            <w:r w:rsidRPr="00C3022C">
              <w:rPr>
                <w:noProof/>
                <w:webHidden/>
              </w:rPr>
              <w:fldChar w:fldCharType="separate"/>
            </w:r>
            <w:r w:rsidRPr="00C3022C">
              <w:rPr>
                <w:noProof/>
                <w:webHidden/>
              </w:rPr>
              <w:t>3</w:t>
            </w:r>
            <w:r w:rsidRPr="00C3022C">
              <w:rPr>
                <w:noProof/>
                <w:webHidden/>
              </w:rPr>
              <w:fldChar w:fldCharType="end"/>
            </w:r>
          </w:hyperlink>
        </w:p>
        <w:p w14:paraId="31059241" w14:textId="0935478F" w:rsidR="00C3022C" w:rsidRPr="00C3022C" w:rsidRDefault="00C3022C">
          <w:pPr>
            <w:pStyle w:val="TOC2"/>
            <w:tabs>
              <w:tab w:val="right" w:leader="dot" w:pos="9350"/>
            </w:tabs>
            <w:rPr>
              <w:rFonts w:asciiTheme="minorHAnsi" w:eastAsiaTheme="minorEastAsia" w:hAnsiTheme="minorHAnsi" w:cstheme="minorBidi"/>
              <w:noProof/>
              <w:lang w:val="en-GB"/>
            </w:rPr>
          </w:pPr>
          <w:hyperlink w:anchor="_Toc236670213" w:history="1">
            <w:r w:rsidRPr="00C3022C">
              <w:rPr>
                <w:rStyle w:val="Hyperlink"/>
                <w:bCs/>
                <w:noProof/>
              </w:rPr>
              <w:t>Background and Evidence</w:t>
            </w:r>
            <w:r w:rsidRPr="00C3022C">
              <w:rPr>
                <w:noProof/>
                <w:webHidden/>
              </w:rPr>
              <w:tab/>
            </w:r>
            <w:r w:rsidRPr="00C3022C">
              <w:rPr>
                <w:noProof/>
                <w:webHidden/>
              </w:rPr>
              <w:fldChar w:fldCharType="begin"/>
            </w:r>
            <w:r w:rsidRPr="00C3022C">
              <w:rPr>
                <w:noProof/>
                <w:webHidden/>
              </w:rPr>
              <w:instrText xml:space="preserve"> PAGEREF _Toc236670213 \h </w:instrText>
            </w:r>
            <w:r w:rsidRPr="00C3022C">
              <w:rPr>
                <w:noProof/>
                <w:webHidden/>
              </w:rPr>
            </w:r>
            <w:r w:rsidRPr="00C3022C">
              <w:rPr>
                <w:noProof/>
                <w:webHidden/>
              </w:rPr>
              <w:fldChar w:fldCharType="separate"/>
            </w:r>
            <w:r w:rsidRPr="00C3022C">
              <w:rPr>
                <w:noProof/>
                <w:webHidden/>
              </w:rPr>
              <w:t>3</w:t>
            </w:r>
            <w:r w:rsidRPr="00C3022C">
              <w:rPr>
                <w:noProof/>
                <w:webHidden/>
              </w:rPr>
              <w:fldChar w:fldCharType="end"/>
            </w:r>
          </w:hyperlink>
        </w:p>
        <w:p w14:paraId="3DC89A09" w14:textId="14EDA8D4" w:rsidR="00C3022C" w:rsidRPr="00C3022C" w:rsidRDefault="00C3022C">
          <w:pPr>
            <w:pStyle w:val="TOC1"/>
            <w:tabs>
              <w:tab w:val="right" w:leader="dot" w:pos="9350"/>
            </w:tabs>
            <w:rPr>
              <w:rFonts w:asciiTheme="minorHAnsi" w:eastAsiaTheme="minorEastAsia" w:hAnsiTheme="minorHAnsi" w:cstheme="minorBidi"/>
              <w:noProof/>
              <w:lang w:val="en-GB"/>
            </w:rPr>
          </w:pPr>
          <w:hyperlink w:anchor="_Toc236670214" w:history="1">
            <w:r w:rsidRPr="00C3022C">
              <w:rPr>
                <w:rStyle w:val="Hyperlink"/>
                <w:rFonts w:eastAsiaTheme="majorEastAsia"/>
                <w:bCs/>
                <w:noProof/>
                <w:lang w:val="en-US" w:eastAsia="en-US"/>
              </w:rPr>
              <w:t>Innovation, Creativity and Entrepreneurial Approach</w:t>
            </w:r>
            <w:r w:rsidRPr="00C3022C">
              <w:rPr>
                <w:noProof/>
                <w:webHidden/>
              </w:rPr>
              <w:tab/>
            </w:r>
            <w:r w:rsidRPr="00C3022C">
              <w:rPr>
                <w:noProof/>
                <w:webHidden/>
              </w:rPr>
              <w:fldChar w:fldCharType="begin"/>
            </w:r>
            <w:r w:rsidRPr="00C3022C">
              <w:rPr>
                <w:noProof/>
                <w:webHidden/>
              </w:rPr>
              <w:instrText xml:space="preserve"> PAGEREF _Toc236670214 \h </w:instrText>
            </w:r>
            <w:r w:rsidRPr="00C3022C">
              <w:rPr>
                <w:noProof/>
                <w:webHidden/>
              </w:rPr>
            </w:r>
            <w:r w:rsidRPr="00C3022C">
              <w:rPr>
                <w:noProof/>
                <w:webHidden/>
              </w:rPr>
              <w:fldChar w:fldCharType="separate"/>
            </w:r>
            <w:r w:rsidRPr="00C3022C">
              <w:rPr>
                <w:noProof/>
                <w:webHidden/>
              </w:rPr>
              <w:t>4</w:t>
            </w:r>
            <w:r w:rsidRPr="00C3022C">
              <w:rPr>
                <w:noProof/>
                <w:webHidden/>
              </w:rPr>
              <w:fldChar w:fldCharType="end"/>
            </w:r>
          </w:hyperlink>
        </w:p>
        <w:p w14:paraId="53CA1D9D" w14:textId="4F19D450" w:rsidR="00C3022C" w:rsidRPr="00C3022C" w:rsidRDefault="00C3022C">
          <w:pPr>
            <w:pStyle w:val="TOC1"/>
            <w:tabs>
              <w:tab w:val="right" w:leader="dot" w:pos="9350"/>
            </w:tabs>
            <w:rPr>
              <w:rFonts w:asciiTheme="minorHAnsi" w:eastAsiaTheme="minorEastAsia" w:hAnsiTheme="minorHAnsi" w:cstheme="minorBidi"/>
              <w:noProof/>
              <w:lang w:val="en-GB"/>
            </w:rPr>
          </w:pPr>
          <w:hyperlink w:anchor="_Toc236670215" w:history="1">
            <w:r w:rsidRPr="00C3022C">
              <w:rPr>
                <w:rStyle w:val="Hyperlink"/>
                <w:rFonts w:eastAsiaTheme="majorEastAsia"/>
                <w:bCs/>
                <w:noProof/>
                <w:lang w:val="en-US" w:eastAsia="en-US"/>
              </w:rPr>
              <w:t>Platform Features and Value Creation</w:t>
            </w:r>
            <w:r w:rsidRPr="00C3022C">
              <w:rPr>
                <w:noProof/>
                <w:webHidden/>
              </w:rPr>
              <w:tab/>
            </w:r>
            <w:r w:rsidRPr="00C3022C">
              <w:rPr>
                <w:noProof/>
                <w:webHidden/>
              </w:rPr>
              <w:fldChar w:fldCharType="begin"/>
            </w:r>
            <w:r w:rsidRPr="00C3022C">
              <w:rPr>
                <w:noProof/>
                <w:webHidden/>
              </w:rPr>
              <w:instrText xml:space="preserve"> PAGEREF _Toc236670215 \h </w:instrText>
            </w:r>
            <w:r w:rsidRPr="00C3022C">
              <w:rPr>
                <w:noProof/>
                <w:webHidden/>
              </w:rPr>
            </w:r>
            <w:r w:rsidRPr="00C3022C">
              <w:rPr>
                <w:noProof/>
                <w:webHidden/>
              </w:rPr>
              <w:fldChar w:fldCharType="separate"/>
            </w:r>
            <w:r w:rsidRPr="00C3022C">
              <w:rPr>
                <w:noProof/>
                <w:webHidden/>
              </w:rPr>
              <w:t>4</w:t>
            </w:r>
            <w:r w:rsidRPr="00C3022C">
              <w:rPr>
                <w:noProof/>
                <w:webHidden/>
              </w:rPr>
              <w:fldChar w:fldCharType="end"/>
            </w:r>
          </w:hyperlink>
        </w:p>
        <w:p w14:paraId="0BDF01C8" w14:textId="39751782" w:rsidR="00C3022C" w:rsidRPr="00C3022C" w:rsidRDefault="00C3022C">
          <w:pPr>
            <w:pStyle w:val="TOC1"/>
            <w:tabs>
              <w:tab w:val="right" w:leader="dot" w:pos="9350"/>
            </w:tabs>
            <w:rPr>
              <w:rFonts w:asciiTheme="minorHAnsi" w:eastAsiaTheme="minorEastAsia" w:hAnsiTheme="minorHAnsi" w:cstheme="minorBidi"/>
              <w:noProof/>
              <w:lang w:val="en-GB"/>
            </w:rPr>
          </w:pPr>
          <w:hyperlink w:anchor="_Toc236670216" w:history="1">
            <w:r w:rsidRPr="00C3022C">
              <w:rPr>
                <w:rStyle w:val="Hyperlink"/>
                <w:rFonts w:eastAsiaTheme="majorEastAsia"/>
                <w:bCs/>
                <w:noProof/>
                <w:lang w:val="en-US" w:eastAsia="en-US"/>
              </w:rPr>
              <w:t>Why CareConnect is Preferable to Existing Support</w:t>
            </w:r>
            <w:r w:rsidRPr="00C3022C">
              <w:rPr>
                <w:noProof/>
                <w:webHidden/>
              </w:rPr>
              <w:tab/>
            </w:r>
            <w:r w:rsidRPr="00C3022C">
              <w:rPr>
                <w:noProof/>
                <w:webHidden/>
              </w:rPr>
              <w:fldChar w:fldCharType="begin"/>
            </w:r>
            <w:r w:rsidRPr="00C3022C">
              <w:rPr>
                <w:noProof/>
                <w:webHidden/>
              </w:rPr>
              <w:instrText xml:space="preserve"> PAGEREF _Toc236670216 \h </w:instrText>
            </w:r>
            <w:r w:rsidRPr="00C3022C">
              <w:rPr>
                <w:noProof/>
                <w:webHidden/>
              </w:rPr>
            </w:r>
            <w:r w:rsidRPr="00C3022C">
              <w:rPr>
                <w:noProof/>
                <w:webHidden/>
              </w:rPr>
              <w:fldChar w:fldCharType="separate"/>
            </w:r>
            <w:r w:rsidRPr="00C3022C">
              <w:rPr>
                <w:noProof/>
                <w:webHidden/>
              </w:rPr>
              <w:t>5</w:t>
            </w:r>
            <w:r w:rsidRPr="00C3022C">
              <w:rPr>
                <w:noProof/>
                <w:webHidden/>
              </w:rPr>
              <w:fldChar w:fldCharType="end"/>
            </w:r>
          </w:hyperlink>
        </w:p>
        <w:p w14:paraId="0553FECC" w14:textId="7432D3DD" w:rsidR="00C3022C" w:rsidRPr="00C3022C" w:rsidRDefault="00C3022C">
          <w:pPr>
            <w:pStyle w:val="TOC1"/>
            <w:tabs>
              <w:tab w:val="right" w:leader="dot" w:pos="9350"/>
            </w:tabs>
            <w:rPr>
              <w:rFonts w:asciiTheme="minorHAnsi" w:eastAsiaTheme="minorEastAsia" w:hAnsiTheme="minorHAnsi" w:cstheme="minorBidi"/>
              <w:noProof/>
              <w:lang w:val="en-GB"/>
            </w:rPr>
          </w:pPr>
          <w:hyperlink w:anchor="_Toc236670217" w:history="1">
            <w:r w:rsidRPr="00C3022C">
              <w:rPr>
                <w:rStyle w:val="Hyperlink"/>
                <w:rFonts w:eastAsiaTheme="majorEastAsia"/>
                <w:bCs/>
                <w:noProof/>
                <w:lang w:val="en-US" w:eastAsia="en-US"/>
              </w:rPr>
              <w:t>Implementation Challenges and Risk Management</w:t>
            </w:r>
            <w:r w:rsidRPr="00C3022C">
              <w:rPr>
                <w:noProof/>
                <w:webHidden/>
              </w:rPr>
              <w:tab/>
            </w:r>
            <w:r w:rsidRPr="00C3022C">
              <w:rPr>
                <w:noProof/>
                <w:webHidden/>
              </w:rPr>
              <w:fldChar w:fldCharType="begin"/>
            </w:r>
            <w:r w:rsidRPr="00C3022C">
              <w:rPr>
                <w:noProof/>
                <w:webHidden/>
              </w:rPr>
              <w:instrText xml:space="preserve"> PAGEREF _Toc236670217 \h </w:instrText>
            </w:r>
            <w:r w:rsidRPr="00C3022C">
              <w:rPr>
                <w:noProof/>
                <w:webHidden/>
              </w:rPr>
            </w:r>
            <w:r w:rsidRPr="00C3022C">
              <w:rPr>
                <w:noProof/>
                <w:webHidden/>
              </w:rPr>
              <w:fldChar w:fldCharType="separate"/>
            </w:r>
            <w:r w:rsidRPr="00C3022C">
              <w:rPr>
                <w:noProof/>
                <w:webHidden/>
              </w:rPr>
              <w:t>5</w:t>
            </w:r>
            <w:r w:rsidRPr="00C3022C">
              <w:rPr>
                <w:noProof/>
                <w:webHidden/>
              </w:rPr>
              <w:fldChar w:fldCharType="end"/>
            </w:r>
          </w:hyperlink>
        </w:p>
        <w:p w14:paraId="026280E0" w14:textId="3664D244" w:rsidR="00C3022C" w:rsidRPr="00C3022C" w:rsidRDefault="00C3022C">
          <w:pPr>
            <w:pStyle w:val="TOC1"/>
            <w:tabs>
              <w:tab w:val="right" w:leader="dot" w:pos="9350"/>
            </w:tabs>
            <w:rPr>
              <w:rFonts w:asciiTheme="minorHAnsi" w:eastAsiaTheme="minorEastAsia" w:hAnsiTheme="minorHAnsi" w:cstheme="minorBidi"/>
              <w:noProof/>
              <w:lang w:val="en-GB"/>
            </w:rPr>
          </w:pPr>
          <w:hyperlink w:anchor="_Toc236670218" w:history="1">
            <w:r w:rsidRPr="00C3022C">
              <w:rPr>
                <w:rStyle w:val="Hyperlink"/>
                <w:rFonts w:eastAsiaTheme="majorEastAsia"/>
                <w:bCs/>
                <w:noProof/>
                <w:lang w:val="en-US" w:eastAsia="en-US"/>
              </w:rPr>
              <w:t>Stakeholder Involvement, Policy and Evaluation</w:t>
            </w:r>
            <w:r w:rsidRPr="00C3022C">
              <w:rPr>
                <w:noProof/>
                <w:webHidden/>
              </w:rPr>
              <w:tab/>
            </w:r>
            <w:r w:rsidRPr="00C3022C">
              <w:rPr>
                <w:noProof/>
                <w:webHidden/>
              </w:rPr>
              <w:fldChar w:fldCharType="begin"/>
            </w:r>
            <w:r w:rsidRPr="00C3022C">
              <w:rPr>
                <w:noProof/>
                <w:webHidden/>
              </w:rPr>
              <w:instrText xml:space="preserve"> PAGEREF _Toc236670218 \h </w:instrText>
            </w:r>
            <w:r w:rsidRPr="00C3022C">
              <w:rPr>
                <w:noProof/>
                <w:webHidden/>
              </w:rPr>
            </w:r>
            <w:r w:rsidRPr="00C3022C">
              <w:rPr>
                <w:noProof/>
                <w:webHidden/>
              </w:rPr>
              <w:fldChar w:fldCharType="separate"/>
            </w:r>
            <w:r w:rsidRPr="00C3022C">
              <w:rPr>
                <w:noProof/>
                <w:webHidden/>
              </w:rPr>
              <w:t>6</w:t>
            </w:r>
            <w:r w:rsidRPr="00C3022C">
              <w:rPr>
                <w:noProof/>
                <w:webHidden/>
              </w:rPr>
              <w:fldChar w:fldCharType="end"/>
            </w:r>
          </w:hyperlink>
        </w:p>
        <w:p w14:paraId="17F6BDA9" w14:textId="0B672009" w:rsidR="00C3022C" w:rsidRPr="00C3022C" w:rsidRDefault="00C3022C">
          <w:pPr>
            <w:pStyle w:val="TOC1"/>
            <w:tabs>
              <w:tab w:val="right" w:leader="dot" w:pos="9350"/>
            </w:tabs>
            <w:rPr>
              <w:rFonts w:asciiTheme="minorHAnsi" w:eastAsiaTheme="minorEastAsia" w:hAnsiTheme="minorHAnsi" w:cstheme="minorBidi"/>
              <w:noProof/>
              <w:lang w:val="en-GB"/>
            </w:rPr>
          </w:pPr>
          <w:hyperlink w:anchor="_Toc236670219" w:history="1">
            <w:r w:rsidRPr="00C3022C">
              <w:rPr>
                <w:rStyle w:val="Hyperlink"/>
                <w:rFonts w:eastAsiaTheme="majorEastAsia"/>
                <w:bCs/>
                <w:noProof/>
                <w:lang w:val="en-US" w:eastAsia="en-US"/>
              </w:rPr>
              <w:t>Conclusion and Recommendations</w:t>
            </w:r>
            <w:r w:rsidRPr="00C3022C">
              <w:rPr>
                <w:noProof/>
                <w:webHidden/>
              </w:rPr>
              <w:tab/>
            </w:r>
            <w:r w:rsidRPr="00C3022C">
              <w:rPr>
                <w:noProof/>
                <w:webHidden/>
              </w:rPr>
              <w:fldChar w:fldCharType="begin"/>
            </w:r>
            <w:r w:rsidRPr="00C3022C">
              <w:rPr>
                <w:noProof/>
                <w:webHidden/>
              </w:rPr>
              <w:instrText xml:space="preserve"> PAGEREF _Toc236670219 \h </w:instrText>
            </w:r>
            <w:r w:rsidRPr="00C3022C">
              <w:rPr>
                <w:noProof/>
                <w:webHidden/>
              </w:rPr>
            </w:r>
            <w:r w:rsidRPr="00C3022C">
              <w:rPr>
                <w:noProof/>
                <w:webHidden/>
              </w:rPr>
              <w:fldChar w:fldCharType="separate"/>
            </w:r>
            <w:r w:rsidRPr="00C3022C">
              <w:rPr>
                <w:noProof/>
                <w:webHidden/>
              </w:rPr>
              <w:t>7</w:t>
            </w:r>
            <w:r w:rsidRPr="00C3022C">
              <w:rPr>
                <w:noProof/>
                <w:webHidden/>
              </w:rPr>
              <w:fldChar w:fldCharType="end"/>
            </w:r>
          </w:hyperlink>
        </w:p>
        <w:p w14:paraId="6FD6BD48" w14:textId="4399D2ED" w:rsidR="00C3022C" w:rsidRPr="00C3022C" w:rsidRDefault="00C3022C">
          <w:pPr>
            <w:pStyle w:val="TOC2"/>
            <w:tabs>
              <w:tab w:val="right" w:leader="dot" w:pos="9350"/>
            </w:tabs>
            <w:rPr>
              <w:rFonts w:asciiTheme="minorHAnsi" w:eastAsiaTheme="minorEastAsia" w:hAnsiTheme="minorHAnsi" w:cstheme="minorBidi"/>
              <w:noProof/>
              <w:lang w:val="en-GB"/>
            </w:rPr>
          </w:pPr>
          <w:hyperlink w:anchor="_Toc236670220" w:history="1">
            <w:r w:rsidRPr="00C3022C">
              <w:rPr>
                <w:rStyle w:val="Hyperlink"/>
                <w:noProof/>
              </w:rPr>
              <w:t>References</w:t>
            </w:r>
            <w:r w:rsidRPr="00C3022C">
              <w:rPr>
                <w:noProof/>
                <w:webHidden/>
              </w:rPr>
              <w:tab/>
            </w:r>
            <w:r w:rsidRPr="00C3022C">
              <w:rPr>
                <w:noProof/>
                <w:webHidden/>
              </w:rPr>
              <w:fldChar w:fldCharType="begin"/>
            </w:r>
            <w:r w:rsidRPr="00C3022C">
              <w:rPr>
                <w:noProof/>
                <w:webHidden/>
              </w:rPr>
              <w:instrText xml:space="preserve"> PAGEREF _Toc236670220 \h </w:instrText>
            </w:r>
            <w:r w:rsidRPr="00C3022C">
              <w:rPr>
                <w:noProof/>
                <w:webHidden/>
              </w:rPr>
            </w:r>
            <w:r w:rsidRPr="00C3022C">
              <w:rPr>
                <w:noProof/>
                <w:webHidden/>
              </w:rPr>
              <w:fldChar w:fldCharType="separate"/>
            </w:r>
            <w:r w:rsidRPr="00C3022C">
              <w:rPr>
                <w:noProof/>
                <w:webHidden/>
              </w:rPr>
              <w:t>8</w:t>
            </w:r>
            <w:r w:rsidRPr="00C3022C">
              <w:rPr>
                <w:noProof/>
                <w:webHidden/>
              </w:rPr>
              <w:fldChar w:fldCharType="end"/>
            </w:r>
          </w:hyperlink>
        </w:p>
        <w:p w14:paraId="0FB7A5CD" w14:textId="7F3DA6BC" w:rsidR="00C3022C" w:rsidRDefault="00C3022C">
          <w:r w:rsidRPr="00C3022C">
            <w:rPr>
              <w:bCs/>
              <w:noProof/>
            </w:rPr>
            <w:fldChar w:fldCharType="end"/>
          </w:r>
        </w:p>
      </w:sdtContent>
    </w:sdt>
    <w:p w14:paraId="1136469D" w14:textId="77777777" w:rsidR="00887A6B" w:rsidRPr="00AD6873" w:rsidRDefault="00887A6B" w:rsidP="00AD6873">
      <w:pPr>
        <w:jc w:val="both"/>
        <w:rPr>
          <w:sz w:val="24"/>
          <w:szCs w:val="24"/>
        </w:rPr>
      </w:pPr>
      <w:r w:rsidRPr="00AD6873">
        <w:rPr>
          <w:sz w:val="24"/>
          <w:szCs w:val="24"/>
        </w:rPr>
        <w:br w:type="page"/>
      </w:r>
    </w:p>
    <w:p w14:paraId="34BAF91E" w14:textId="66BD8F7B" w:rsidR="00887A6B" w:rsidRPr="00AD6873" w:rsidRDefault="00887A6B" w:rsidP="00AD6873">
      <w:pPr>
        <w:pStyle w:val="Heading1"/>
        <w:keepNext w:val="0"/>
        <w:keepLines w:val="0"/>
        <w:spacing w:before="480" w:line="360" w:lineRule="auto"/>
        <w:jc w:val="center"/>
        <w:rPr>
          <w:b/>
          <w:bCs/>
          <w:sz w:val="24"/>
          <w:szCs w:val="24"/>
        </w:rPr>
      </w:pPr>
      <w:bookmarkStart w:id="1" w:name="_Toc236670207"/>
      <w:r w:rsidRPr="00AD6873">
        <w:rPr>
          <w:b/>
          <w:bCs/>
          <w:sz w:val="24"/>
          <w:szCs w:val="24"/>
        </w:rPr>
        <w:lastRenderedPageBreak/>
        <w:t>PART 1: POSTER</w:t>
      </w:r>
      <w:bookmarkEnd w:id="1"/>
    </w:p>
    <w:p w14:paraId="03F3B684" w14:textId="77777777" w:rsidR="00887A6B" w:rsidRPr="00AD6873" w:rsidRDefault="00887A6B" w:rsidP="00AD6873">
      <w:pPr>
        <w:pStyle w:val="Heading2"/>
        <w:keepNext w:val="0"/>
        <w:keepLines w:val="0"/>
        <w:spacing w:after="80" w:line="360" w:lineRule="auto"/>
        <w:jc w:val="center"/>
        <w:rPr>
          <w:b/>
          <w:bCs/>
          <w:sz w:val="24"/>
          <w:szCs w:val="24"/>
        </w:rPr>
      </w:pPr>
      <w:bookmarkStart w:id="2" w:name="_Toc236670208"/>
      <w:r w:rsidRPr="00AD6873">
        <w:rPr>
          <w:b/>
          <w:bCs/>
          <w:sz w:val="24"/>
          <w:szCs w:val="24"/>
        </w:rPr>
        <w:t>CareConnect: A Digital Mental Health and Wellbeing Support Platform for NHS and Social Care Professionals</w:t>
      </w:r>
      <w:bookmarkEnd w:id="2"/>
    </w:p>
    <w:p w14:paraId="0C1C7A99" w14:textId="107CC1C4" w:rsidR="00AD6873" w:rsidRPr="00AD6873" w:rsidRDefault="00AD6873" w:rsidP="00AD6873">
      <w:pPr>
        <w:pStyle w:val="Heading1"/>
        <w:keepNext w:val="0"/>
        <w:keepLines w:val="0"/>
        <w:spacing w:before="480" w:line="360" w:lineRule="auto"/>
        <w:jc w:val="both"/>
        <w:rPr>
          <w:b/>
          <w:bCs/>
          <w:sz w:val="24"/>
          <w:szCs w:val="24"/>
        </w:rPr>
      </w:pPr>
      <w:bookmarkStart w:id="3" w:name="_gx7nic4uhj5l" w:colFirst="0" w:colLast="0"/>
      <w:bookmarkStart w:id="4" w:name="_eer89x3qw6da" w:colFirst="0" w:colLast="0"/>
      <w:bookmarkStart w:id="5" w:name="_uab5cvmz5oo8" w:colFirst="0" w:colLast="0"/>
      <w:bookmarkStart w:id="6" w:name="_Toc236670209"/>
      <w:bookmarkEnd w:id="3"/>
      <w:bookmarkEnd w:id="4"/>
      <w:bookmarkEnd w:id="5"/>
      <w:r w:rsidRPr="00AD6873">
        <w:rPr>
          <w:b/>
          <w:bCs/>
          <w:noProof/>
          <w:sz w:val="24"/>
          <w:szCs w:val="24"/>
          <w:lang w:val="en-GB"/>
        </w:rPr>
        <w:drawing>
          <wp:inline distT="0" distB="0" distL="0" distR="0" wp14:anchorId="0D36BBBB" wp14:editId="78601C2B">
            <wp:extent cx="6076950" cy="6590671"/>
            <wp:effectExtent l="0" t="0" r="0" b="635"/>
            <wp:docPr id="2" name="Picture 2" descr="D:\Ndeye\Creativity and Value Creation\Final\Poster CareConnec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Ndeye\Creativity and Value Creation\Final\Poster CareConnect (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82756" cy="6596968"/>
                    </a:xfrm>
                    <a:prstGeom prst="rect">
                      <a:avLst/>
                    </a:prstGeom>
                    <a:noFill/>
                    <a:ln>
                      <a:noFill/>
                    </a:ln>
                  </pic:spPr>
                </pic:pic>
              </a:graphicData>
            </a:graphic>
          </wp:inline>
        </w:drawing>
      </w:r>
      <w:bookmarkStart w:id="7" w:name="_9sqn4ydd0r6r" w:colFirst="0" w:colLast="0"/>
      <w:bookmarkEnd w:id="6"/>
      <w:bookmarkEnd w:id="7"/>
    </w:p>
    <w:p w14:paraId="381307DF" w14:textId="6B1B29B8" w:rsidR="001170AE" w:rsidRPr="00AD6873" w:rsidRDefault="008B711A" w:rsidP="00AD6873">
      <w:pPr>
        <w:pStyle w:val="Heading1"/>
        <w:keepNext w:val="0"/>
        <w:keepLines w:val="0"/>
        <w:spacing w:before="480" w:line="360" w:lineRule="auto"/>
        <w:jc w:val="center"/>
        <w:rPr>
          <w:b/>
          <w:bCs/>
          <w:sz w:val="24"/>
          <w:szCs w:val="24"/>
        </w:rPr>
      </w:pPr>
      <w:bookmarkStart w:id="8" w:name="_Toc236670210"/>
      <w:r w:rsidRPr="00AD6873">
        <w:rPr>
          <w:b/>
          <w:bCs/>
          <w:sz w:val="24"/>
          <w:szCs w:val="24"/>
        </w:rPr>
        <w:lastRenderedPageBreak/>
        <w:t>PART 2: WRITTEN PITCH</w:t>
      </w:r>
      <w:bookmarkEnd w:id="8"/>
    </w:p>
    <w:p w14:paraId="4D21CF40" w14:textId="77777777" w:rsidR="001170AE" w:rsidRPr="00AD6873" w:rsidRDefault="008B711A" w:rsidP="00AD6873">
      <w:pPr>
        <w:pStyle w:val="Heading2"/>
        <w:keepNext w:val="0"/>
        <w:keepLines w:val="0"/>
        <w:spacing w:after="80" w:line="360" w:lineRule="auto"/>
        <w:jc w:val="center"/>
        <w:rPr>
          <w:b/>
          <w:bCs/>
          <w:sz w:val="24"/>
          <w:szCs w:val="24"/>
        </w:rPr>
      </w:pPr>
      <w:bookmarkStart w:id="9" w:name="_nai7wzuh4yw6" w:colFirst="0" w:colLast="0"/>
      <w:bookmarkStart w:id="10" w:name="_Toc236670211"/>
      <w:bookmarkEnd w:id="9"/>
      <w:r w:rsidRPr="00AD6873">
        <w:rPr>
          <w:b/>
          <w:bCs/>
          <w:sz w:val="24"/>
          <w:szCs w:val="24"/>
        </w:rPr>
        <w:t>CareConnect: A Digital Mental Health and Wellbeing Support Platform for NHS and Social Care Professionals</w:t>
      </w:r>
      <w:bookmarkEnd w:id="10"/>
    </w:p>
    <w:p w14:paraId="2518B0E7" w14:textId="145D34BF" w:rsidR="001170AE" w:rsidRPr="00AD6873" w:rsidRDefault="008B711A" w:rsidP="00AD6873">
      <w:pPr>
        <w:pStyle w:val="Heading2"/>
        <w:keepNext w:val="0"/>
        <w:keepLines w:val="0"/>
        <w:spacing w:after="80" w:line="360" w:lineRule="auto"/>
        <w:jc w:val="both"/>
        <w:rPr>
          <w:b/>
          <w:bCs/>
          <w:sz w:val="24"/>
          <w:szCs w:val="24"/>
        </w:rPr>
      </w:pPr>
      <w:bookmarkStart w:id="11" w:name="_37uizwhbnpu3" w:colFirst="0" w:colLast="0"/>
      <w:bookmarkStart w:id="12" w:name="_Toc236670212"/>
      <w:bookmarkEnd w:id="11"/>
      <w:r w:rsidRPr="00AD6873">
        <w:rPr>
          <w:b/>
          <w:bCs/>
          <w:sz w:val="24"/>
          <w:szCs w:val="24"/>
        </w:rPr>
        <w:t>Introduction</w:t>
      </w:r>
      <w:bookmarkEnd w:id="12"/>
    </w:p>
    <w:p w14:paraId="118E6B17" w14:textId="77777777" w:rsidR="00AD6873" w:rsidRPr="00AD6873" w:rsidRDefault="00AD6873" w:rsidP="00AD6873">
      <w:pPr>
        <w:spacing w:after="120" w:line="360" w:lineRule="auto"/>
        <w:jc w:val="both"/>
        <w:rPr>
          <w:rFonts w:eastAsiaTheme="minorEastAsia"/>
          <w:sz w:val="24"/>
          <w:szCs w:val="24"/>
          <w:lang w:val="en-GB" w:eastAsia="en-US"/>
        </w:rPr>
      </w:pPr>
      <w:r w:rsidRPr="00AD6873">
        <w:rPr>
          <w:rFonts w:eastAsiaTheme="minorEastAsia"/>
          <w:sz w:val="24"/>
          <w:szCs w:val="24"/>
          <w:lang w:val="en-GB" w:eastAsia="en-US"/>
        </w:rPr>
        <w:t>Healthcare and social care professionals face high levels of stress due to demanding workloads, workforce shortages and the emotional nature of their roles. CareConnect is a proposed digital wellbeing platform that provides accessible, confidential and preventative mental health support for NHS and social care staff. It offers self-assessment tools, evidence-based wellbeing resources, moderated peer support and referral pathways to occupational health and psychological services. Designed for professionals across diverse roles and settings, CareConnect promotes early intervention, improves access to support and aims to enhance staff wellbeing, workforce retention, and the quality of patient and service-user care.</w:t>
      </w:r>
    </w:p>
    <w:p w14:paraId="56BD47F2" w14:textId="77777777" w:rsidR="00AD6873" w:rsidRPr="00AD6873" w:rsidRDefault="00AD6873" w:rsidP="00AD6873">
      <w:pPr>
        <w:jc w:val="both"/>
        <w:rPr>
          <w:sz w:val="24"/>
          <w:szCs w:val="24"/>
        </w:rPr>
      </w:pPr>
    </w:p>
    <w:p w14:paraId="56C8FAB9" w14:textId="092AD63B" w:rsidR="001170AE" w:rsidRPr="00AD6873" w:rsidRDefault="008B711A" w:rsidP="00AD6873">
      <w:pPr>
        <w:pStyle w:val="Heading2"/>
        <w:keepNext w:val="0"/>
        <w:keepLines w:val="0"/>
        <w:spacing w:after="80" w:line="360" w:lineRule="auto"/>
        <w:jc w:val="both"/>
        <w:rPr>
          <w:b/>
          <w:bCs/>
          <w:sz w:val="24"/>
          <w:szCs w:val="24"/>
        </w:rPr>
      </w:pPr>
      <w:bookmarkStart w:id="13" w:name="_mfv0vqkqsem3" w:colFirst="0" w:colLast="0"/>
      <w:bookmarkStart w:id="14" w:name="_Toc236670213"/>
      <w:bookmarkEnd w:id="13"/>
      <w:r w:rsidRPr="00AD6873">
        <w:rPr>
          <w:b/>
          <w:bCs/>
          <w:sz w:val="24"/>
          <w:szCs w:val="24"/>
        </w:rPr>
        <w:t>Background and Evidence</w:t>
      </w:r>
      <w:bookmarkEnd w:id="14"/>
    </w:p>
    <w:p w14:paraId="4B693D98" w14:textId="000734F9" w:rsidR="00AD6873" w:rsidRPr="00AD6873" w:rsidRDefault="00AD6873" w:rsidP="00AD6873">
      <w:pPr>
        <w:spacing w:after="120" w:line="360" w:lineRule="auto"/>
        <w:jc w:val="both"/>
        <w:rPr>
          <w:rFonts w:eastAsiaTheme="minorEastAsia"/>
          <w:sz w:val="24"/>
          <w:szCs w:val="24"/>
          <w:lang w:val="en-GB" w:eastAsia="en-US"/>
        </w:rPr>
      </w:pPr>
      <w:r w:rsidRPr="00AD6873">
        <w:rPr>
          <w:rFonts w:eastAsiaTheme="minorEastAsia"/>
          <w:sz w:val="24"/>
          <w:szCs w:val="24"/>
          <w:lang w:val="en-GB" w:eastAsia="en-US"/>
        </w:rPr>
        <w:t xml:space="preserve">Burnout is recognised as an occupational phenomenon resulting from chronic workplace stress that has not been effectively managed (World Health Organization, 2019). Among healthcare professionals, it can reduce job satisfaction, motivation and performance, while contributing to staff turnover and patient safety concerns. Evidence suggests that workplace interventions can improve staff wellbeing, although their effectiveness depends on the intervention and organisational context (Cohen </w:t>
      </w:r>
      <w:r w:rsidRPr="00AD6873">
        <w:rPr>
          <w:rFonts w:eastAsiaTheme="minorEastAsia"/>
          <w:i/>
          <w:iCs/>
          <w:sz w:val="24"/>
          <w:szCs w:val="24"/>
          <w:lang w:val="en-GB" w:eastAsia="en-US"/>
        </w:rPr>
        <w:t>et al</w:t>
      </w:r>
      <w:r w:rsidRPr="00AD6873">
        <w:rPr>
          <w:rFonts w:eastAsiaTheme="minorEastAsia"/>
          <w:sz w:val="24"/>
          <w:szCs w:val="24"/>
          <w:lang w:val="en-GB" w:eastAsia="en-US"/>
        </w:rPr>
        <w:t xml:space="preserve">., 2023). Digital mental health support offers greater flexibility than traditional occupational health services, helping to overcome barriers such as limited access, stigma and confidentiality concerns. Systematic reviews indicate that eHealth interventions can reduce stress and improve mental wellbeing, although engagement and implementation influence outcomes (López-Del-Hoyo </w:t>
      </w:r>
      <w:r w:rsidRPr="00AD6873">
        <w:rPr>
          <w:rFonts w:eastAsiaTheme="minorEastAsia"/>
          <w:i/>
          <w:iCs/>
          <w:sz w:val="24"/>
          <w:szCs w:val="24"/>
          <w:lang w:val="en-GB" w:eastAsia="en-US"/>
        </w:rPr>
        <w:t>et al</w:t>
      </w:r>
      <w:r w:rsidRPr="00AD6873">
        <w:rPr>
          <w:rFonts w:eastAsiaTheme="minorEastAsia"/>
          <w:sz w:val="24"/>
          <w:szCs w:val="24"/>
          <w:lang w:val="en-GB" w:eastAsia="en-US"/>
        </w:rPr>
        <w:t xml:space="preserve">., 2023; Aye </w:t>
      </w:r>
      <w:r w:rsidRPr="00AD6873">
        <w:rPr>
          <w:rFonts w:eastAsiaTheme="minorEastAsia"/>
          <w:i/>
          <w:iCs/>
          <w:sz w:val="24"/>
          <w:szCs w:val="24"/>
          <w:lang w:val="en-GB" w:eastAsia="en-US"/>
        </w:rPr>
        <w:t>et al</w:t>
      </w:r>
      <w:r w:rsidRPr="00AD6873">
        <w:rPr>
          <w:rFonts w:eastAsiaTheme="minorEastAsia"/>
          <w:sz w:val="24"/>
          <w:szCs w:val="24"/>
          <w:lang w:val="en-GB" w:eastAsia="en-US"/>
        </w:rPr>
        <w:t xml:space="preserve">., 2024). A pilot NHS trial also found brief digital wellbeing interventions to be feasible, supporting CareConnect as a promising addition to existing staff wellbeing services (De Kock </w:t>
      </w:r>
      <w:r w:rsidRPr="00AD6873">
        <w:rPr>
          <w:rFonts w:eastAsiaTheme="minorEastAsia"/>
          <w:i/>
          <w:iCs/>
          <w:sz w:val="24"/>
          <w:szCs w:val="24"/>
          <w:lang w:val="en-GB" w:eastAsia="en-US"/>
        </w:rPr>
        <w:t>et al</w:t>
      </w:r>
      <w:r w:rsidRPr="00AD6873">
        <w:rPr>
          <w:rFonts w:eastAsiaTheme="minorEastAsia"/>
          <w:sz w:val="24"/>
          <w:szCs w:val="24"/>
          <w:lang w:val="en-GB" w:eastAsia="en-US"/>
        </w:rPr>
        <w:t>., 2022).</w:t>
      </w:r>
    </w:p>
    <w:p w14:paraId="46659F86" w14:textId="269B772C" w:rsidR="00AD6873" w:rsidRPr="00AD6873" w:rsidRDefault="00AD6873" w:rsidP="00AD6873">
      <w:pPr>
        <w:keepNext/>
        <w:keepLines/>
        <w:spacing w:before="480" w:line="360" w:lineRule="auto"/>
        <w:jc w:val="both"/>
        <w:outlineLvl w:val="0"/>
        <w:rPr>
          <w:rFonts w:eastAsiaTheme="majorEastAsia"/>
          <w:b/>
          <w:bCs/>
          <w:sz w:val="24"/>
          <w:szCs w:val="24"/>
          <w:lang w:val="en-US" w:eastAsia="en-US"/>
        </w:rPr>
      </w:pPr>
      <w:bookmarkStart w:id="15" w:name="_3fphpmzkrao" w:colFirst="0" w:colLast="0"/>
      <w:bookmarkStart w:id="16" w:name="_Toc236670214"/>
      <w:bookmarkEnd w:id="15"/>
      <w:r>
        <w:rPr>
          <w:rFonts w:eastAsiaTheme="majorEastAsia"/>
          <w:b/>
          <w:bCs/>
          <w:sz w:val="24"/>
          <w:szCs w:val="24"/>
          <w:lang w:val="en-US" w:eastAsia="en-US"/>
        </w:rPr>
        <w:lastRenderedPageBreak/>
        <w:t>Innovation, C</w:t>
      </w:r>
      <w:r w:rsidRPr="00AD6873">
        <w:rPr>
          <w:rFonts w:eastAsiaTheme="majorEastAsia"/>
          <w:b/>
          <w:bCs/>
          <w:sz w:val="24"/>
          <w:szCs w:val="24"/>
          <w:lang w:val="en-US" w:eastAsia="en-US"/>
        </w:rPr>
        <w:t xml:space="preserve">reativity and </w:t>
      </w:r>
      <w:r>
        <w:rPr>
          <w:rFonts w:eastAsiaTheme="majorEastAsia"/>
          <w:b/>
          <w:bCs/>
          <w:sz w:val="24"/>
          <w:szCs w:val="24"/>
          <w:lang w:val="en-US" w:eastAsia="en-US"/>
        </w:rPr>
        <w:t>Entrepreneurial A</w:t>
      </w:r>
      <w:r w:rsidRPr="00AD6873">
        <w:rPr>
          <w:rFonts w:eastAsiaTheme="majorEastAsia"/>
          <w:b/>
          <w:bCs/>
          <w:sz w:val="24"/>
          <w:szCs w:val="24"/>
          <w:lang w:val="en-US" w:eastAsia="en-US"/>
        </w:rPr>
        <w:t>pproach</w:t>
      </w:r>
      <w:bookmarkEnd w:id="16"/>
    </w:p>
    <w:p w14:paraId="43A5BA49"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 xml:space="preserve">CareConnect represents innovation because it </w:t>
      </w:r>
      <w:proofErr w:type="spellStart"/>
      <w:r w:rsidRPr="00AD6873">
        <w:rPr>
          <w:rFonts w:eastAsiaTheme="minorEastAsia"/>
          <w:sz w:val="24"/>
          <w:szCs w:val="24"/>
          <w:lang w:val="en-US" w:eastAsia="en-US"/>
        </w:rPr>
        <w:t>reorganises</w:t>
      </w:r>
      <w:proofErr w:type="spellEnd"/>
      <w:r w:rsidRPr="00AD6873">
        <w:rPr>
          <w:rFonts w:eastAsiaTheme="minorEastAsia"/>
          <w:sz w:val="24"/>
          <w:szCs w:val="24"/>
          <w:lang w:val="en-US" w:eastAsia="en-US"/>
        </w:rPr>
        <w:t xml:space="preserve"> existing wellbeing knowledge and professional support into a single, workforce-specific digital pathway. Its novelty lies in continuous access across roles and shift patterns while linking prevention, peer support and escalation. Existing wellbeing provision is often fragmented across intranet pages, helplines, occupational health departments and local initiatives. CareConnect offers one secure entry point and a personalised route based on user needs.</w:t>
      </w:r>
    </w:p>
    <w:p w14:paraId="47E85DDB"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Creativity is demonstrated through human-</w:t>
      </w:r>
      <w:proofErr w:type="spellStart"/>
      <w:r w:rsidRPr="00AD6873">
        <w:rPr>
          <w:rFonts w:eastAsiaTheme="minorEastAsia"/>
          <w:sz w:val="24"/>
          <w:szCs w:val="24"/>
          <w:lang w:val="en-US" w:eastAsia="en-US"/>
        </w:rPr>
        <w:t>centred</w:t>
      </w:r>
      <w:proofErr w:type="spellEnd"/>
      <w:r w:rsidRPr="00AD6873">
        <w:rPr>
          <w:rFonts w:eastAsiaTheme="minorEastAsia"/>
          <w:sz w:val="24"/>
          <w:szCs w:val="24"/>
          <w:lang w:val="en-US" w:eastAsia="en-US"/>
        </w:rPr>
        <w:t xml:space="preserve"> design. Staff would co-design the language, visual layout, accessibility functions and content so that the platform reflects real working conditions rather than imposing a generic consumer wellbeing product. Short activities could fit around breaks, resources could be filtered by role or concern, and users could choose self-help, peer discussion or professional referral.</w:t>
      </w:r>
    </w:p>
    <w:p w14:paraId="38658482"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 xml:space="preserve">The proposal also reflects social entrepreneurship: it identifies an unmet workforce need and develops a sustainable service model that creates social and </w:t>
      </w:r>
      <w:proofErr w:type="spellStart"/>
      <w:r w:rsidRPr="00AD6873">
        <w:rPr>
          <w:rFonts w:eastAsiaTheme="minorEastAsia"/>
          <w:sz w:val="24"/>
          <w:szCs w:val="24"/>
          <w:lang w:val="en-US" w:eastAsia="en-US"/>
        </w:rPr>
        <w:t>organisational</w:t>
      </w:r>
      <w:proofErr w:type="spellEnd"/>
      <w:r w:rsidRPr="00AD6873">
        <w:rPr>
          <w:rFonts w:eastAsiaTheme="minorEastAsia"/>
          <w:sz w:val="24"/>
          <w:szCs w:val="24"/>
          <w:lang w:val="en-US" w:eastAsia="en-US"/>
        </w:rPr>
        <w:t xml:space="preserve"> value. An entrepreneurial approach would begin with a minimum viable platform in one NHS trust and one social care </w:t>
      </w:r>
      <w:proofErr w:type="spellStart"/>
      <w:r w:rsidRPr="00AD6873">
        <w:rPr>
          <w:rFonts w:eastAsiaTheme="minorEastAsia"/>
          <w:sz w:val="24"/>
          <w:szCs w:val="24"/>
          <w:lang w:val="en-US" w:eastAsia="en-US"/>
        </w:rPr>
        <w:t>organisation</w:t>
      </w:r>
      <w:proofErr w:type="spellEnd"/>
      <w:r w:rsidRPr="00AD6873">
        <w:rPr>
          <w:rFonts w:eastAsiaTheme="minorEastAsia"/>
          <w:sz w:val="24"/>
          <w:szCs w:val="24"/>
          <w:lang w:val="en-US" w:eastAsia="en-US"/>
        </w:rPr>
        <w:t xml:space="preserve">, test assumptions with users, measure outcomes and refine the service before wider adoption. Partnerships with NHS </w:t>
      </w:r>
      <w:proofErr w:type="spellStart"/>
      <w:r w:rsidRPr="00AD6873">
        <w:rPr>
          <w:rFonts w:eastAsiaTheme="minorEastAsia"/>
          <w:sz w:val="24"/>
          <w:szCs w:val="24"/>
          <w:lang w:val="en-US" w:eastAsia="en-US"/>
        </w:rPr>
        <w:t>organisations</w:t>
      </w:r>
      <w:proofErr w:type="spellEnd"/>
      <w:r w:rsidRPr="00AD6873">
        <w:rPr>
          <w:rFonts w:eastAsiaTheme="minorEastAsia"/>
          <w:sz w:val="24"/>
          <w:szCs w:val="24"/>
          <w:lang w:val="en-US" w:eastAsia="en-US"/>
        </w:rPr>
        <w:t xml:space="preserve">, charities and digital developers would share expertise. Funding could come from </w:t>
      </w:r>
      <w:proofErr w:type="spellStart"/>
      <w:r w:rsidRPr="00AD6873">
        <w:rPr>
          <w:rFonts w:eastAsiaTheme="minorEastAsia"/>
          <w:sz w:val="24"/>
          <w:szCs w:val="24"/>
          <w:lang w:val="en-US" w:eastAsia="en-US"/>
        </w:rPr>
        <w:t>organisational</w:t>
      </w:r>
      <w:proofErr w:type="spellEnd"/>
      <w:r w:rsidRPr="00AD6873">
        <w:rPr>
          <w:rFonts w:eastAsiaTheme="minorEastAsia"/>
          <w:sz w:val="24"/>
          <w:szCs w:val="24"/>
          <w:lang w:val="en-US" w:eastAsia="en-US"/>
        </w:rPr>
        <w:t xml:space="preserve"> </w:t>
      </w:r>
      <w:proofErr w:type="spellStart"/>
      <w:r w:rsidRPr="00AD6873">
        <w:rPr>
          <w:rFonts w:eastAsiaTheme="minorEastAsia"/>
          <w:sz w:val="24"/>
          <w:szCs w:val="24"/>
          <w:lang w:val="en-US" w:eastAsia="en-US"/>
        </w:rPr>
        <w:t>licences</w:t>
      </w:r>
      <w:proofErr w:type="spellEnd"/>
      <w:r w:rsidRPr="00AD6873">
        <w:rPr>
          <w:rFonts w:eastAsiaTheme="minorEastAsia"/>
          <w:sz w:val="24"/>
          <w:szCs w:val="24"/>
          <w:lang w:val="en-US" w:eastAsia="en-US"/>
        </w:rPr>
        <w:t>, innovation grants or workforce-wellbeing budgets, while access remains free to staff.</w:t>
      </w:r>
    </w:p>
    <w:p w14:paraId="451CC6EC" w14:textId="0FA5E1CC" w:rsidR="00AD6873" w:rsidRPr="00AD6873" w:rsidRDefault="00AD6873" w:rsidP="00AD6873">
      <w:pPr>
        <w:keepNext/>
        <w:keepLines/>
        <w:spacing w:before="480" w:line="360" w:lineRule="auto"/>
        <w:jc w:val="both"/>
        <w:outlineLvl w:val="0"/>
        <w:rPr>
          <w:rFonts w:eastAsiaTheme="majorEastAsia"/>
          <w:b/>
          <w:bCs/>
          <w:sz w:val="24"/>
          <w:szCs w:val="24"/>
          <w:lang w:val="en-US" w:eastAsia="en-US"/>
        </w:rPr>
      </w:pPr>
      <w:bookmarkStart w:id="17" w:name="_Toc236670215"/>
      <w:r>
        <w:rPr>
          <w:rFonts w:eastAsiaTheme="majorEastAsia"/>
          <w:b/>
          <w:bCs/>
          <w:sz w:val="24"/>
          <w:szCs w:val="24"/>
          <w:lang w:val="en-US" w:eastAsia="en-US"/>
        </w:rPr>
        <w:t>Platform Features and Value C</w:t>
      </w:r>
      <w:r w:rsidRPr="00AD6873">
        <w:rPr>
          <w:rFonts w:eastAsiaTheme="majorEastAsia"/>
          <w:b/>
          <w:bCs/>
          <w:sz w:val="24"/>
          <w:szCs w:val="24"/>
          <w:lang w:val="en-US" w:eastAsia="en-US"/>
        </w:rPr>
        <w:t>reation</w:t>
      </w:r>
      <w:bookmarkEnd w:id="17"/>
    </w:p>
    <w:p w14:paraId="7C0825DF"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 xml:space="preserve">CareConnect would provide four connected functions. First, brief wellbeing check-ins would help users </w:t>
      </w:r>
      <w:proofErr w:type="spellStart"/>
      <w:r w:rsidRPr="00AD6873">
        <w:rPr>
          <w:rFonts w:eastAsiaTheme="minorEastAsia"/>
          <w:sz w:val="24"/>
          <w:szCs w:val="24"/>
          <w:lang w:val="en-US" w:eastAsia="en-US"/>
        </w:rPr>
        <w:t>recognise</w:t>
      </w:r>
      <w:proofErr w:type="spellEnd"/>
      <w:r w:rsidRPr="00AD6873">
        <w:rPr>
          <w:rFonts w:eastAsiaTheme="minorEastAsia"/>
          <w:sz w:val="24"/>
          <w:szCs w:val="24"/>
          <w:lang w:val="en-US" w:eastAsia="en-US"/>
        </w:rPr>
        <w:t xml:space="preserve"> stress patterns and decide whether further support may be useful. They would support reflection, not diagnosis. Second, an evidence-based resource library would include stress-management guidance, mindfulness, sleep support, resilience activities and information about workplace rights and services. Third, confidential pathways would connect users to occupational health, counselling, crisis services or appropriately qualified mental health professionals. Human support matters because supported digital interventions can improve engagement or outcomes for some </w:t>
      </w:r>
      <w:r w:rsidRPr="00AD6873">
        <w:rPr>
          <w:rFonts w:eastAsiaTheme="minorEastAsia"/>
          <w:sz w:val="24"/>
          <w:szCs w:val="24"/>
          <w:lang w:val="en-US" w:eastAsia="en-US"/>
        </w:rPr>
        <w:lastRenderedPageBreak/>
        <w:t>users (Werntz et al., 2023). Fourth, moderated peer spaces would reduce isolation while using clear safeguarding, conduct and escalation procedures.</w:t>
      </w:r>
    </w:p>
    <w:p w14:paraId="5FA1C98E"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 xml:space="preserve">Value is created at several levels. For staff, the platform offers privacy, convenience, earlier support and greater choice. For healthcare and social care </w:t>
      </w:r>
      <w:proofErr w:type="spellStart"/>
      <w:r w:rsidRPr="00AD6873">
        <w:rPr>
          <w:rFonts w:eastAsiaTheme="minorEastAsia"/>
          <w:sz w:val="24"/>
          <w:szCs w:val="24"/>
          <w:lang w:val="en-US" w:eastAsia="en-US"/>
        </w:rPr>
        <w:t>organisations</w:t>
      </w:r>
      <w:proofErr w:type="spellEnd"/>
      <w:r w:rsidRPr="00AD6873">
        <w:rPr>
          <w:rFonts w:eastAsiaTheme="minorEastAsia"/>
          <w:sz w:val="24"/>
          <w:szCs w:val="24"/>
          <w:lang w:val="en-US" w:eastAsia="en-US"/>
        </w:rPr>
        <w:t xml:space="preserve">, it may support retention, reduce avoidable absence, provide </w:t>
      </w:r>
      <w:proofErr w:type="spellStart"/>
      <w:r w:rsidRPr="00AD6873">
        <w:rPr>
          <w:rFonts w:eastAsiaTheme="minorEastAsia"/>
          <w:sz w:val="24"/>
          <w:szCs w:val="24"/>
          <w:lang w:val="en-US" w:eastAsia="en-US"/>
        </w:rPr>
        <w:t>anonymised</w:t>
      </w:r>
      <w:proofErr w:type="spellEnd"/>
      <w:r w:rsidRPr="00AD6873">
        <w:rPr>
          <w:rFonts w:eastAsiaTheme="minorEastAsia"/>
          <w:sz w:val="24"/>
          <w:szCs w:val="24"/>
          <w:lang w:val="en-US" w:eastAsia="en-US"/>
        </w:rPr>
        <w:t xml:space="preserve"> insights into workforce needs and demonstrate a visible commitment to staff wellbeing. For patients and service users, better-supported staff may provide more compassionate and consistent care. Digital access also benefits night workers and dispersed teams. However, value would depend on trust: individual responses must not be available to line managers, and </w:t>
      </w:r>
      <w:proofErr w:type="spellStart"/>
      <w:r w:rsidRPr="00AD6873">
        <w:rPr>
          <w:rFonts w:eastAsiaTheme="minorEastAsia"/>
          <w:sz w:val="24"/>
          <w:szCs w:val="24"/>
          <w:lang w:val="en-US" w:eastAsia="en-US"/>
        </w:rPr>
        <w:t>organisational</w:t>
      </w:r>
      <w:proofErr w:type="spellEnd"/>
      <w:r w:rsidRPr="00AD6873">
        <w:rPr>
          <w:rFonts w:eastAsiaTheme="minorEastAsia"/>
          <w:sz w:val="24"/>
          <w:szCs w:val="24"/>
          <w:lang w:val="en-US" w:eastAsia="en-US"/>
        </w:rPr>
        <w:t xml:space="preserve"> dashboards should use only aggregated, non-identifiable data.</w:t>
      </w:r>
    </w:p>
    <w:p w14:paraId="58E131A0" w14:textId="4833B3D6" w:rsidR="00AD6873" w:rsidRPr="00AD6873" w:rsidRDefault="00AD6873" w:rsidP="00AD6873">
      <w:pPr>
        <w:keepNext/>
        <w:keepLines/>
        <w:spacing w:before="480" w:line="360" w:lineRule="auto"/>
        <w:jc w:val="both"/>
        <w:outlineLvl w:val="0"/>
        <w:rPr>
          <w:rFonts w:eastAsiaTheme="majorEastAsia"/>
          <w:b/>
          <w:bCs/>
          <w:sz w:val="24"/>
          <w:szCs w:val="24"/>
          <w:lang w:val="en-US" w:eastAsia="en-US"/>
        </w:rPr>
      </w:pPr>
      <w:bookmarkStart w:id="18" w:name="_Toc236670216"/>
      <w:r>
        <w:rPr>
          <w:rFonts w:eastAsiaTheme="majorEastAsia"/>
          <w:b/>
          <w:bCs/>
          <w:sz w:val="24"/>
          <w:szCs w:val="24"/>
          <w:lang w:val="en-US" w:eastAsia="en-US"/>
        </w:rPr>
        <w:t>Why CareConnect is Preferable to Existing S</w:t>
      </w:r>
      <w:r w:rsidRPr="00AD6873">
        <w:rPr>
          <w:rFonts w:eastAsiaTheme="majorEastAsia"/>
          <w:b/>
          <w:bCs/>
          <w:sz w:val="24"/>
          <w:szCs w:val="24"/>
          <w:lang w:val="en-US" w:eastAsia="en-US"/>
        </w:rPr>
        <w:t>upport</w:t>
      </w:r>
      <w:bookmarkEnd w:id="18"/>
    </w:p>
    <w:p w14:paraId="5239B33F"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 xml:space="preserve">CareConnect is preferable to relying only on current services because it addresses the gap between no support and formal referral. Employee assistance </w:t>
      </w:r>
      <w:proofErr w:type="spellStart"/>
      <w:r w:rsidRPr="00AD6873">
        <w:rPr>
          <w:rFonts w:eastAsiaTheme="minorEastAsia"/>
          <w:sz w:val="24"/>
          <w:szCs w:val="24"/>
          <w:lang w:val="en-US" w:eastAsia="en-US"/>
        </w:rPr>
        <w:t>programmes</w:t>
      </w:r>
      <w:proofErr w:type="spellEnd"/>
      <w:r w:rsidRPr="00AD6873">
        <w:rPr>
          <w:rFonts w:eastAsiaTheme="minorEastAsia"/>
          <w:sz w:val="24"/>
          <w:szCs w:val="24"/>
          <w:lang w:val="en-US" w:eastAsia="en-US"/>
        </w:rPr>
        <w:t xml:space="preserve"> and occupational health remain essential, but they are usually appointment-based and may be accessed only after difficulties have intensified. Generic wellbeing apps may be immediately available, yet they are not designed around professional responsibilities, NHS and social care pathways, or the emotional realities of care work. CareConnect adds a tailored, always-available front door while directing users to existing services when needed. It complements rather than replaces face-to-face care and avoids presenting self-help as the solution to structural problems such as unsafe workloads or inadequate staffing.</w:t>
      </w:r>
    </w:p>
    <w:p w14:paraId="0A9E55DA" w14:textId="4A0E6969" w:rsidR="00AD6873" w:rsidRPr="00AD6873" w:rsidRDefault="00AD6873" w:rsidP="00AD6873">
      <w:pPr>
        <w:keepNext/>
        <w:keepLines/>
        <w:spacing w:before="480" w:line="360" w:lineRule="auto"/>
        <w:jc w:val="both"/>
        <w:outlineLvl w:val="0"/>
        <w:rPr>
          <w:rFonts w:eastAsiaTheme="majorEastAsia"/>
          <w:b/>
          <w:bCs/>
          <w:sz w:val="24"/>
          <w:szCs w:val="24"/>
          <w:lang w:val="en-US" w:eastAsia="en-US"/>
        </w:rPr>
      </w:pPr>
      <w:bookmarkStart w:id="19" w:name="_Toc236670217"/>
      <w:r>
        <w:rPr>
          <w:rFonts w:eastAsiaTheme="majorEastAsia"/>
          <w:b/>
          <w:bCs/>
          <w:sz w:val="24"/>
          <w:szCs w:val="24"/>
          <w:lang w:val="en-US" w:eastAsia="en-US"/>
        </w:rPr>
        <w:t>Implementation Challenges and Risk M</w:t>
      </w:r>
      <w:r w:rsidRPr="00AD6873">
        <w:rPr>
          <w:rFonts w:eastAsiaTheme="majorEastAsia"/>
          <w:b/>
          <w:bCs/>
          <w:sz w:val="24"/>
          <w:szCs w:val="24"/>
          <w:lang w:val="en-US" w:eastAsia="en-US"/>
        </w:rPr>
        <w:t>anagement</w:t>
      </w:r>
      <w:bookmarkEnd w:id="19"/>
    </w:p>
    <w:p w14:paraId="77503720"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 xml:space="preserve">Several challenges could limit implementation. Development, cybersecurity, governance, moderation and evaluation require funding and a realistic commissioning model. A phased pilot would control costs and generate evidence before scaling. Staff engagement may be weak if the platform is perceived as another </w:t>
      </w:r>
      <w:proofErr w:type="spellStart"/>
      <w:r w:rsidRPr="00AD6873">
        <w:rPr>
          <w:rFonts w:eastAsiaTheme="minorEastAsia"/>
          <w:sz w:val="24"/>
          <w:szCs w:val="24"/>
          <w:lang w:val="en-US" w:eastAsia="en-US"/>
        </w:rPr>
        <w:t>organisational</w:t>
      </w:r>
      <w:proofErr w:type="spellEnd"/>
      <w:r w:rsidRPr="00AD6873">
        <w:rPr>
          <w:rFonts w:eastAsiaTheme="minorEastAsia"/>
          <w:sz w:val="24"/>
          <w:szCs w:val="24"/>
          <w:lang w:val="en-US" w:eastAsia="en-US"/>
        </w:rPr>
        <w:t xml:space="preserve"> initiative or as a substitute for improving working conditions. Visible leadership support, protected time, staff champions and co-production are therefore necessary.</w:t>
      </w:r>
    </w:p>
    <w:p w14:paraId="5B5FC9E6"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lastRenderedPageBreak/>
        <w:t xml:space="preserve">Digital literacy and accessibility also require attention. Training, simple navigation, compatibility with assistive technologies and non-digital alternatives should be provided so that the innovation does not widen inequality. Resistance to change may be reduced through early stakeholder mapping and clear integration with existing pathways. Privacy is especially important. The platform must comply with UK GDPR and the Data Protection Act 2018, </w:t>
      </w:r>
      <w:proofErr w:type="spellStart"/>
      <w:r w:rsidRPr="00AD6873">
        <w:rPr>
          <w:rFonts w:eastAsiaTheme="minorEastAsia"/>
          <w:sz w:val="24"/>
          <w:szCs w:val="24"/>
          <w:lang w:val="en-US" w:eastAsia="en-US"/>
        </w:rPr>
        <w:t>minimise</w:t>
      </w:r>
      <w:proofErr w:type="spellEnd"/>
      <w:r w:rsidRPr="00AD6873">
        <w:rPr>
          <w:rFonts w:eastAsiaTheme="minorEastAsia"/>
          <w:sz w:val="24"/>
          <w:szCs w:val="24"/>
          <w:lang w:val="en-US" w:eastAsia="en-US"/>
        </w:rPr>
        <w:t xml:space="preserve"> data collection and establish transparent consent and safeguarding procedures. Digital mental health research also shows that safety reporting is often inconsistent, supporting the need for explicit adverse-event monitoring and clinical oversight (Taher et al., 2023).</w:t>
      </w:r>
    </w:p>
    <w:p w14:paraId="04D15F64"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 xml:space="preserve">Long-term sustainability depends on continued use and demonstrable value. Implementation should therefore be assessed, not assumed. The NASSS framework is useful for examining the condition, technology, value proposition, adopters, </w:t>
      </w:r>
      <w:proofErr w:type="spellStart"/>
      <w:r w:rsidRPr="00AD6873">
        <w:rPr>
          <w:rFonts w:eastAsiaTheme="minorEastAsia"/>
          <w:sz w:val="24"/>
          <w:szCs w:val="24"/>
          <w:lang w:val="en-US" w:eastAsia="en-US"/>
        </w:rPr>
        <w:t>organisation</w:t>
      </w:r>
      <w:proofErr w:type="spellEnd"/>
      <w:r w:rsidRPr="00AD6873">
        <w:rPr>
          <w:rFonts w:eastAsiaTheme="minorEastAsia"/>
          <w:sz w:val="24"/>
          <w:szCs w:val="24"/>
          <w:lang w:val="en-US" w:eastAsia="en-US"/>
        </w:rPr>
        <w:t xml:space="preserve"> and wider system factors that influence whether digital health innovations become embedded (Greenhalgh et al., 2017).</w:t>
      </w:r>
    </w:p>
    <w:p w14:paraId="6F4522D7" w14:textId="63FF7D34" w:rsidR="00AD6873" w:rsidRPr="00AD6873" w:rsidRDefault="00C46D63" w:rsidP="00AD6873">
      <w:pPr>
        <w:keepNext/>
        <w:keepLines/>
        <w:spacing w:before="480" w:line="360" w:lineRule="auto"/>
        <w:jc w:val="both"/>
        <w:outlineLvl w:val="0"/>
        <w:rPr>
          <w:rFonts w:eastAsiaTheme="majorEastAsia"/>
          <w:b/>
          <w:bCs/>
          <w:sz w:val="24"/>
          <w:szCs w:val="24"/>
          <w:lang w:val="en-US" w:eastAsia="en-US"/>
        </w:rPr>
      </w:pPr>
      <w:bookmarkStart w:id="20" w:name="_Toc236670218"/>
      <w:r>
        <w:rPr>
          <w:rFonts w:eastAsiaTheme="majorEastAsia"/>
          <w:b/>
          <w:bCs/>
          <w:sz w:val="24"/>
          <w:szCs w:val="24"/>
          <w:lang w:val="en-US" w:eastAsia="en-US"/>
        </w:rPr>
        <w:t>Stakeholder Involvement, Policy and E</w:t>
      </w:r>
      <w:r w:rsidR="00AD6873" w:rsidRPr="00AD6873">
        <w:rPr>
          <w:rFonts w:eastAsiaTheme="majorEastAsia"/>
          <w:b/>
          <w:bCs/>
          <w:sz w:val="24"/>
          <w:szCs w:val="24"/>
          <w:lang w:val="en-US" w:eastAsia="en-US"/>
        </w:rPr>
        <w:t>valuation</w:t>
      </w:r>
      <w:bookmarkEnd w:id="20"/>
    </w:p>
    <w:p w14:paraId="4A56960E"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Co-production should involve diverse staff, unions, managers, occupational health, psychologists, information-governance leads and service users. Qualitative research on NHS wellbeing interventions shows that local leadership, facilitation, trust and fit with team culture influence implementation (Zasada et al., 2024). Patient and public involvement is also justified because workforce wellbeing can affect care experience and continuity.</w:t>
      </w:r>
    </w:p>
    <w:p w14:paraId="76C76BFA" w14:textId="77777777" w:rsidR="00AD6873" w:rsidRP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CareConnect aligns with the NHS Long Term Workforce Plan’s focus on retention and staff experience (NHS England, 2023), the Equality Act 2010, and professional duties under the NMC Code and HCPC standards (NMC, 2023; HCPC, 2024). Evaluation should use a mixed-method design. A six- to twelve-month pilot could measure uptake, use, referrals, satisfaction, wellbeing, burnout, absence and intention to leave. Interviews should explore trust, accessibility and unintended effects. Outcomes should be compared with baseline data and, where feasible, a matched service or phased implementation site. Findings should guide improvement and an independent commissioning decision.</w:t>
      </w:r>
    </w:p>
    <w:p w14:paraId="5B864E4E" w14:textId="524C66BF" w:rsidR="00AD6873" w:rsidRPr="00AD6873" w:rsidRDefault="00C46D63" w:rsidP="00AD6873">
      <w:pPr>
        <w:keepNext/>
        <w:keepLines/>
        <w:spacing w:before="480" w:line="360" w:lineRule="auto"/>
        <w:jc w:val="both"/>
        <w:outlineLvl w:val="0"/>
        <w:rPr>
          <w:rFonts w:eastAsiaTheme="majorEastAsia"/>
          <w:b/>
          <w:bCs/>
          <w:sz w:val="24"/>
          <w:szCs w:val="24"/>
          <w:lang w:val="en-US" w:eastAsia="en-US"/>
        </w:rPr>
      </w:pPr>
      <w:bookmarkStart w:id="21" w:name="_Toc236670219"/>
      <w:r>
        <w:rPr>
          <w:rFonts w:eastAsiaTheme="majorEastAsia"/>
          <w:b/>
          <w:bCs/>
          <w:sz w:val="24"/>
          <w:szCs w:val="24"/>
          <w:lang w:val="en-US" w:eastAsia="en-US"/>
        </w:rPr>
        <w:lastRenderedPageBreak/>
        <w:t>Conclusion and R</w:t>
      </w:r>
      <w:r w:rsidR="00AD6873" w:rsidRPr="00AD6873">
        <w:rPr>
          <w:rFonts w:eastAsiaTheme="majorEastAsia"/>
          <w:b/>
          <w:bCs/>
          <w:sz w:val="24"/>
          <w:szCs w:val="24"/>
          <w:lang w:val="en-US" w:eastAsia="en-US"/>
        </w:rPr>
        <w:t>ecommendations</w:t>
      </w:r>
      <w:bookmarkEnd w:id="21"/>
    </w:p>
    <w:p w14:paraId="4A76E32C" w14:textId="0BF2485D" w:rsidR="00AD6873" w:rsidRDefault="00AD6873" w:rsidP="00AD6873">
      <w:pPr>
        <w:spacing w:after="120" w:line="360" w:lineRule="auto"/>
        <w:jc w:val="both"/>
        <w:rPr>
          <w:rFonts w:eastAsiaTheme="minorEastAsia"/>
          <w:sz w:val="24"/>
          <w:szCs w:val="24"/>
          <w:lang w:val="en-US" w:eastAsia="en-US"/>
        </w:rPr>
      </w:pPr>
      <w:r w:rsidRPr="00AD6873">
        <w:rPr>
          <w:rFonts w:eastAsiaTheme="minorEastAsia"/>
          <w:sz w:val="24"/>
          <w:szCs w:val="24"/>
          <w:lang w:val="en-US" w:eastAsia="en-US"/>
        </w:rPr>
        <w:t xml:space="preserve">CareConnect offers a credible digital innovation for strengthening mental health and wellbeing support across NHS and social care workforces. Its contribution is the integration of early self-help, human support, peer connection and professional referral within a confidential, workforce-specific platform. It creates potential value for employees, </w:t>
      </w:r>
      <w:proofErr w:type="spellStart"/>
      <w:r w:rsidRPr="00AD6873">
        <w:rPr>
          <w:rFonts w:eastAsiaTheme="minorEastAsia"/>
          <w:sz w:val="24"/>
          <w:szCs w:val="24"/>
          <w:lang w:val="en-US" w:eastAsia="en-US"/>
        </w:rPr>
        <w:t>organisations</w:t>
      </w:r>
      <w:proofErr w:type="spellEnd"/>
      <w:r w:rsidRPr="00AD6873">
        <w:rPr>
          <w:rFonts w:eastAsiaTheme="minorEastAsia"/>
          <w:sz w:val="24"/>
          <w:szCs w:val="24"/>
          <w:lang w:val="en-US" w:eastAsia="en-US"/>
        </w:rPr>
        <w:t xml:space="preserve"> and patients, while its co-designed and iterative development reflects creativity and social entrepreneurship. Nevertheless, the platform should not be used to </w:t>
      </w:r>
      <w:proofErr w:type="spellStart"/>
      <w:r w:rsidRPr="00AD6873">
        <w:rPr>
          <w:rFonts w:eastAsiaTheme="minorEastAsia"/>
          <w:sz w:val="24"/>
          <w:szCs w:val="24"/>
          <w:lang w:val="en-US" w:eastAsia="en-US"/>
        </w:rPr>
        <w:t>individualise</w:t>
      </w:r>
      <w:proofErr w:type="spellEnd"/>
      <w:r w:rsidRPr="00AD6873">
        <w:rPr>
          <w:rFonts w:eastAsiaTheme="minorEastAsia"/>
          <w:sz w:val="24"/>
          <w:szCs w:val="24"/>
          <w:lang w:val="en-US" w:eastAsia="en-US"/>
        </w:rPr>
        <w:t xml:space="preserve"> responsibility for workplace stress or replace adequately resourced occupational health and face-to-face services. The recommended next step is a funded co-design phase followed by a carefully governed pilot in varied care settings. Independent mixed-method evaluation, transparent safety monitoring and predefined criteria for affordability, equity, engagement and effectiveness should determine whether CareConnect is refined, scaled or discontinued.</w:t>
      </w:r>
    </w:p>
    <w:p w14:paraId="68CED8BF" w14:textId="05DEDC47" w:rsidR="00C46D63" w:rsidRDefault="00C46D63" w:rsidP="00AD6873">
      <w:pPr>
        <w:spacing w:after="120" w:line="360" w:lineRule="auto"/>
        <w:jc w:val="both"/>
        <w:rPr>
          <w:rFonts w:eastAsiaTheme="minorEastAsia"/>
          <w:sz w:val="24"/>
          <w:szCs w:val="24"/>
          <w:lang w:val="en-US" w:eastAsia="en-US"/>
        </w:rPr>
      </w:pPr>
    </w:p>
    <w:p w14:paraId="51B54C7C" w14:textId="42F2CB59" w:rsidR="00C46D63" w:rsidRDefault="00C46D63" w:rsidP="00AD6873">
      <w:pPr>
        <w:spacing w:after="120" w:line="360" w:lineRule="auto"/>
        <w:jc w:val="both"/>
        <w:rPr>
          <w:rFonts w:eastAsiaTheme="minorEastAsia"/>
          <w:sz w:val="24"/>
          <w:szCs w:val="24"/>
          <w:lang w:val="en-US" w:eastAsia="en-US"/>
        </w:rPr>
      </w:pPr>
    </w:p>
    <w:p w14:paraId="776FE461" w14:textId="5ACC49C9" w:rsidR="00C46D63" w:rsidRDefault="00C46D63" w:rsidP="00AD6873">
      <w:pPr>
        <w:spacing w:after="120" w:line="360" w:lineRule="auto"/>
        <w:jc w:val="both"/>
        <w:rPr>
          <w:rFonts w:eastAsiaTheme="minorEastAsia"/>
          <w:sz w:val="24"/>
          <w:szCs w:val="24"/>
          <w:lang w:val="en-US" w:eastAsia="en-US"/>
        </w:rPr>
      </w:pPr>
    </w:p>
    <w:p w14:paraId="6A378F64" w14:textId="76709BAC" w:rsidR="00C46D63" w:rsidRDefault="00C46D63" w:rsidP="00AD6873">
      <w:pPr>
        <w:spacing w:after="120" w:line="360" w:lineRule="auto"/>
        <w:jc w:val="both"/>
        <w:rPr>
          <w:rFonts w:eastAsiaTheme="minorEastAsia"/>
          <w:sz w:val="24"/>
          <w:szCs w:val="24"/>
          <w:lang w:val="en-US" w:eastAsia="en-US"/>
        </w:rPr>
      </w:pPr>
    </w:p>
    <w:p w14:paraId="59110713" w14:textId="026505D8" w:rsidR="00C46D63" w:rsidRDefault="00C46D63" w:rsidP="00AD6873">
      <w:pPr>
        <w:spacing w:after="120" w:line="360" w:lineRule="auto"/>
        <w:jc w:val="both"/>
        <w:rPr>
          <w:rFonts w:eastAsiaTheme="minorEastAsia"/>
          <w:sz w:val="24"/>
          <w:szCs w:val="24"/>
          <w:lang w:val="en-US" w:eastAsia="en-US"/>
        </w:rPr>
      </w:pPr>
    </w:p>
    <w:p w14:paraId="789DD29B" w14:textId="5DD22B68" w:rsidR="00C46D63" w:rsidRDefault="00C46D63" w:rsidP="00AD6873">
      <w:pPr>
        <w:spacing w:after="120" w:line="360" w:lineRule="auto"/>
        <w:jc w:val="both"/>
        <w:rPr>
          <w:rFonts w:eastAsiaTheme="minorEastAsia"/>
          <w:sz w:val="24"/>
          <w:szCs w:val="24"/>
          <w:lang w:val="en-US" w:eastAsia="en-US"/>
        </w:rPr>
      </w:pPr>
    </w:p>
    <w:p w14:paraId="62D814B0" w14:textId="418B6DA0" w:rsidR="00C46D63" w:rsidRDefault="00C46D63" w:rsidP="00AD6873">
      <w:pPr>
        <w:spacing w:after="120" w:line="360" w:lineRule="auto"/>
        <w:jc w:val="both"/>
        <w:rPr>
          <w:rFonts w:eastAsiaTheme="minorEastAsia"/>
          <w:sz w:val="24"/>
          <w:szCs w:val="24"/>
          <w:lang w:val="en-US" w:eastAsia="en-US"/>
        </w:rPr>
      </w:pPr>
    </w:p>
    <w:p w14:paraId="1CF97249" w14:textId="0DD429F2" w:rsidR="00C46D63" w:rsidRDefault="00C46D63" w:rsidP="00AD6873">
      <w:pPr>
        <w:spacing w:after="120" w:line="360" w:lineRule="auto"/>
        <w:jc w:val="both"/>
        <w:rPr>
          <w:rFonts w:eastAsiaTheme="minorEastAsia"/>
          <w:sz w:val="24"/>
          <w:szCs w:val="24"/>
          <w:lang w:val="en-US" w:eastAsia="en-US"/>
        </w:rPr>
      </w:pPr>
    </w:p>
    <w:p w14:paraId="1F59E0BD" w14:textId="78899627" w:rsidR="00C46D63" w:rsidRDefault="00C46D63" w:rsidP="00AD6873">
      <w:pPr>
        <w:spacing w:after="120" w:line="360" w:lineRule="auto"/>
        <w:jc w:val="both"/>
        <w:rPr>
          <w:rFonts w:eastAsiaTheme="minorEastAsia"/>
          <w:sz w:val="24"/>
          <w:szCs w:val="24"/>
          <w:lang w:val="en-US" w:eastAsia="en-US"/>
        </w:rPr>
      </w:pPr>
    </w:p>
    <w:p w14:paraId="515256F8" w14:textId="3B689D93" w:rsidR="00C46D63" w:rsidRDefault="00C46D63" w:rsidP="00AD6873">
      <w:pPr>
        <w:spacing w:after="120" w:line="360" w:lineRule="auto"/>
        <w:jc w:val="both"/>
        <w:rPr>
          <w:rFonts w:eastAsiaTheme="minorEastAsia"/>
          <w:sz w:val="24"/>
          <w:szCs w:val="24"/>
          <w:lang w:val="en-US" w:eastAsia="en-US"/>
        </w:rPr>
      </w:pPr>
    </w:p>
    <w:p w14:paraId="3771EBAA" w14:textId="1D990230" w:rsidR="00C46D63" w:rsidRDefault="00C46D63" w:rsidP="00AD6873">
      <w:pPr>
        <w:spacing w:after="120" w:line="360" w:lineRule="auto"/>
        <w:jc w:val="both"/>
        <w:rPr>
          <w:rFonts w:eastAsiaTheme="minorEastAsia"/>
          <w:sz w:val="24"/>
          <w:szCs w:val="24"/>
          <w:lang w:val="en-US" w:eastAsia="en-US"/>
        </w:rPr>
      </w:pPr>
    </w:p>
    <w:p w14:paraId="11F5AAC1" w14:textId="7AA2F698" w:rsidR="00C46D63" w:rsidRDefault="00C46D63" w:rsidP="00AD6873">
      <w:pPr>
        <w:spacing w:after="120" w:line="360" w:lineRule="auto"/>
        <w:jc w:val="both"/>
        <w:rPr>
          <w:rFonts w:eastAsiaTheme="minorEastAsia"/>
          <w:sz w:val="24"/>
          <w:szCs w:val="24"/>
          <w:lang w:val="en-US" w:eastAsia="en-US"/>
        </w:rPr>
      </w:pPr>
    </w:p>
    <w:p w14:paraId="603D5509" w14:textId="480AEC98" w:rsidR="00C46D63" w:rsidRDefault="00C46D63" w:rsidP="00AD6873">
      <w:pPr>
        <w:spacing w:after="120" w:line="360" w:lineRule="auto"/>
        <w:jc w:val="both"/>
        <w:rPr>
          <w:rFonts w:eastAsiaTheme="minorEastAsia"/>
          <w:sz w:val="24"/>
          <w:szCs w:val="24"/>
          <w:lang w:val="en-US" w:eastAsia="en-US"/>
        </w:rPr>
      </w:pPr>
    </w:p>
    <w:p w14:paraId="66236F30" w14:textId="77777777" w:rsidR="00C46D63" w:rsidRPr="00AD6873" w:rsidRDefault="00C46D63" w:rsidP="00AD6873">
      <w:pPr>
        <w:spacing w:after="120" w:line="360" w:lineRule="auto"/>
        <w:jc w:val="both"/>
        <w:rPr>
          <w:rFonts w:eastAsiaTheme="minorEastAsia"/>
          <w:sz w:val="24"/>
          <w:szCs w:val="24"/>
          <w:lang w:val="en-US" w:eastAsia="en-US"/>
        </w:rPr>
      </w:pPr>
    </w:p>
    <w:p w14:paraId="5006D05F" w14:textId="22D601BF" w:rsidR="001170AE" w:rsidRPr="00C3022C" w:rsidRDefault="008B711A" w:rsidP="00C3022C">
      <w:pPr>
        <w:pStyle w:val="Heading2"/>
        <w:rPr>
          <w:b/>
          <w:sz w:val="24"/>
          <w:szCs w:val="24"/>
        </w:rPr>
      </w:pPr>
      <w:bookmarkStart w:id="22" w:name="_bvs4dni34ppj" w:colFirst="0" w:colLast="0"/>
      <w:bookmarkStart w:id="23" w:name="_9u3iwekestf3" w:colFirst="0" w:colLast="0"/>
      <w:bookmarkStart w:id="24" w:name="_nvgg20ci04n3" w:colFirst="0" w:colLast="0"/>
      <w:bookmarkStart w:id="25" w:name="_rmbcjs74ph57" w:colFirst="0" w:colLast="0"/>
      <w:bookmarkStart w:id="26" w:name="_777veggy8wmf" w:colFirst="0" w:colLast="0"/>
      <w:bookmarkStart w:id="27" w:name="_qi6z6sximf4s" w:colFirst="0" w:colLast="0"/>
      <w:bookmarkStart w:id="28" w:name="_vs29on1rmo84" w:colFirst="0" w:colLast="0"/>
      <w:bookmarkStart w:id="29" w:name="_mb2p6o8eauba" w:colFirst="0" w:colLast="0"/>
      <w:bookmarkStart w:id="30" w:name="_t10jnih7qadi" w:colFirst="0" w:colLast="0"/>
      <w:bookmarkStart w:id="31" w:name="_9fmwcce4z4ab" w:colFirst="0" w:colLast="0"/>
      <w:bookmarkStart w:id="32" w:name="_7humqfajovdx" w:colFirst="0" w:colLast="0"/>
      <w:bookmarkStart w:id="33" w:name="_1yvwte280dez" w:colFirst="0" w:colLast="0"/>
      <w:bookmarkStart w:id="34" w:name="_Toc236670220"/>
      <w:bookmarkEnd w:id="22"/>
      <w:bookmarkEnd w:id="23"/>
      <w:bookmarkEnd w:id="24"/>
      <w:bookmarkEnd w:id="25"/>
      <w:bookmarkEnd w:id="26"/>
      <w:bookmarkEnd w:id="27"/>
      <w:bookmarkEnd w:id="28"/>
      <w:bookmarkEnd w:id="29"/>
      <w:bookmarkEnd w:id="30"/>
      <w:bookmarkEnd w:id="31"/>
      <w:bookmarkEnd w:id="32"/>
      <w:bookmarkEnd w:id="33"/>
      <w:r w:rsidRPr="00C3022C">
        <w:rPr>
          <w:b/>
          <w:sz w:val="24"/>
          <w:szCs w:val="24"/>
        </w:rPr>
        <w:lastRenderedPageBreak/>
        <w:t>References</w:t>
      </w:r>
      <w:bookmarkEnd w:id="34"/>
    </w:p>
    <w:p w14:paraId="2D401D54"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Adam, D., </w:t>
      </w:r>
      <w:r w:rsidRPr="00C46D63">
        <w:rPr>
          <w:rFonts w:eastAsiaTheme="minorEastAsia" w:cstheme="minorBidi"/>
          <w:i/>
          <w:iCs/>
          <w:sz w:val="24"/>
          <w:szCs w:val="24"/>
          <w:lang w:val="en-GB" w:eastAsia="en-US"/>
        </w:rPr>
        <w:t>et al.</w:t>
      </w:r>
      <w:r w:rsidRPr="00C46D63">
        <w:rPr>
          <w:rFonts w:eastAsiaTheme="minorEastAsia" w:cstheme="minorBidi"/>
          <w:sz w:val="24"/>
          <w:szCs w:val="24"/>
          <w:lang w:val="en-GB" w:eastAsia="en-US"/>
        </w:rPr>
        <w:t xml:space="preserve"> (2023) ‘Interventions to reduce stress and prevent burnout in healthcare professionals supported by digital applications: a scoping review’, </w:t>
      </w:r>
      <w:r w:rsidRPr="00C46D63">
        <w:rPr>
          <w:rFonts w:eastAsiaTheme="minorEastAsia" w:cstheme="minorBidi"/>
          <w:i/>
          <w:iCs/>
          <w:sz w:val="24"/>
          <w:szCs w:val="24"/>
          <w:lang w:val="en-GB" w:eastAsia="en-US"/>
        </w:rPr>
        <w:t>Frontiers in Public Health</w:t>
      </w:r>
      <w:r w:rsidRPr="00C46D63">
        <w:rPr>
          <w:rFonts w:eastAsiaTheme="minorEastAsia" w:cstheme="minorBidi"/>
          <w:sz w:val="24"/>
          <w:szCs w:val="24"/>
          <w:lang w:val="en-GB" w:eastAsia="en-US"/>
        </w:rPr>
        <w:t xml:space="preserve">, </w:t>
      </w:r>
      <w:r w:rsidRPr="00C46D63">
        <w:rPr>
          <w:rFonts w:eastAsiaTheme="minorEastAsia" w:cstheme="minorBidi"/>
          <w:bCs/>
          <w:sz w:val="24"/>
          <w:szCs w:val="24"/>
          <w:lang w:val="en-GB" w:eastAsia="en-US"/>
        </w:rPr>
        <w:t>11</w:t>
      </w:r>
      <w:r w:rsidRPr="00C46D63">
        <w:rPr>
          <w:rFonts w:eastAsiaTheme="minorEastAsia" w:cstheme="minorBidi"/>
          <w:sz w:val="24"/>
          <w:szCs w:val="24"/>
          <w:lang w:val="en-GB" w:eastAsia="en-US"/>
        </w:rPr>
        <w:t>, 1231266. doi:10.3389/fpubh.2023.1231266.</w:t>
      </w:r>
    </w:p>
    <w:p w14:paraId="0FB1E5F4"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Aye, L.M., </w:t>
      </w:r>
      <w:r w:rsidRPr="00C46D63">
        <w:rPr>
          <w:rFonts w:eastAsiaTheme="minorEastAsia" w:cstheme="minorBidi"/>
          <w:i/>
          <w:iCs/>
          <w:sz w:val="24"/>
          <w:szCs w:val="24"/>
          <w:lang w:val="en-GB" w:eastAsia="en-US"/>
        </w:rPr>
        <w:t>et al.</w:t>
      </w:r>
      <w:r w:rsidRPr="00C46D63">
        <w:rPr>
          <w:rFonts w:eastAsiaTheme="minorEastAsia" w:cstheme="minorBidi"/>
          <w:sz w:val="24"/>
          <w:szCs w:val="24"/>
          <w:lang w:val="en-GB" w:eastAsia="en-US"/>
        </w:rPr>
        <w:t xml:space="preserve"> (2024) ‘Self-help digital mental health intervention in improving burnout and mental health outcomes among healthcare workers: a narrative review’, </w:t>
      </w:r>
      <w:r w:rsidRPr="00C46D63">
        <w:rPr>
          <w:rFonts w:eastAsiaTheme="minorEastAsia" w:cstheme="minorBidi"/>
          <w:i/>
          <w:iCs/>
          <w:sz w:val="24"/>
          <w:szCs w:val="24"/>
          <w:lang w:val="en-GB" w:eastAsia="en-US"/>
        </w:rPr>
        <w:t>Digital Health</w:t>
      </w:r>
      <w:r w:rsidRPr="00C46D63">
        <w:rPr>
          <w:rFonts w:eastAsiaTheme="minorEastAsia" w:cstheme="minorBidi"/>
          <w:sz w:val="24"/>
          <w:szCs w:val="24"/>
          <w:lang w:val="en-GB" w:eastAsia="en-US"/>
        </w:rPr>
        <w:t xml:space="preserve">, </w:t>
      </w:r>
      <w:r w:rsidRPr="00C46D63">
        <w:rPr>
          <w:rFonts w:eastAsiaTheme="minorEastAsia" w:cstheme="minorBidi"/>
          <w:bCs/>
          <w:sz w:val="24"/>
          <w:szCs w:val="24"/>
          <w:lang w:val="en-GB" w:eastAsia="en-US"/>
        </w:rPr>
        <w:t>10</w:t>
      </w:r>
      <w:r w:rsidRPr="00C46D63">
        <w:rPr>
          <w:rFonts w:eastAsiaTheme="minorEastAsia" w:cstheme="minorBidi"/>
          <w:sz w:val="24"/>
          <w:szCs w:val="24"/>
          <w:lang w:val="en-GB" w:eastAsia="en-US"/>
        </w:rPr>
        <w:t>, 20552076241278313. doi:10.1177/20552076241278313.</w:t>
      </w:r>
    </w:p>
    <w:p w14:paraId="36CF6B3A"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Cohen, C., </w:t>
      </w:r>
      <w:r w:rsidRPr="00C46D63">
        <w:rPr>
          <w:rFonts w:eastAsiaTheme="minorEastAsia" w:cstheme="minorBidi"/>
          <w:i/>
          <w:iCs/>
          <w:sz w:val="24"/>
          <w:szCs w:val="24"/>
          <w:lang w:val="en-GB" w:eastAsia="en-US"/>
        </w:rPr>
        <w:t>et al.</w:t>
      </w:r>
      <w:r w:rsidRPr="00C46D63">
        <w:rPr>
          <w:rFonts w:eastAsiaTheme="minorEastAsia" w:cstheme="minorBidi"/>
          <w:sz w:val="24"/>
          <w:szCs w:val="24"/>
          <w:lang w:val="en-GB" w:eastAsia="en-US"/>
        </w:rPr>
        <w:t xml:space="preserve"> (2023) ‘Workplace interventions to improve well-being and reduce burnout for nurses, physicians and allied healthcare professionals: a systematic review’, </w:t>
      </w:r>
      <w:r w:rsidRPr="00C46D63">
        <w:rPr>
          <w:rFonts w:eastAsiaTheme="minorEastAsia" w:cstheme="minorBidi"/>
          <w:i/>
          <w:iCs/>
          <w:sz w:val="24"/>
          <w:szCs w:val="24"/>
          <w:lang w:val="en-GB" w:eastAsia="en-US"/>
        </w:rPr>
        <w:t>BMJ Open</w:t>
      </w:r>
      <w:r w:rsidRPr="00C46D63">
        <w:rPr>
          <w:rFonts w:eastAsiaTheme="minorEastAsia" w:cstheme="minorBidi"/>
          <w:sz w:val="24"/>
          <w:szCs w:val="24"/>
          <w:lang w:val="en-GB" w:eastAsia="en-US"/>
        </w:rPr>
        <w:t xml:space="preserve">, </w:t>
      </w:r>
      <w:r w:rsidRPr="00C46D63">
        <w:rPr>
          <w:rFonts w:eastAsiaTheme="minorEastAsia" w:cstheme="minorBidi"/>
          <w:bCs/>
          <w:sz w:val="24"/>
          <w:szCs w:val="24"/>
          <w:lang w:val="en-GB" w:eastAsia="en-US"/>
        </w:rPr>
        <w:t>13</w:t>
      </w:r>
      <w:r w:rsidRPr="00C46D63">
        <w:rPr>
          <w:rFonts w:eastAsiaTheme="minorEastAsia" w:cstheme="minorBidi"/>
          <w:sz w:val="24"/>
          <w:szCs w:val="24"/>
          <w:lang w:val="en-GB" w:eastAsia="en-US"/>
        </w:rPr>
        <w:t>(6), e071203. doi:10.1136/bmjopen-2022-071203.</w:t>
      </w:r>
    </w:p>
    <w:p w14:paraId="4E5162A4"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De Kock, J.H., </w:t>
      </w:r>
      <w:r w:rsidRPr="00C46D63">
        <w:rPr>
          <w:rFonts w:eastAsiaTheme="minorEastAsia" w:cstheme="minorBidi"/>
          <w:i/>
          <w:iCs/>
          <w:sz w:val="24"/>
          <w:szCs w:val="24"/>
          <w:lang w:val="en-GB" w:eastAsia="en-US"/>
        </w:rPr>
        <w:t>et al.</w:t>
      </w:r>
      <w:r w:rsidRPr="00C46D63">
        <w:rPr>
          <w:rFonts w:eastAsiaTheme="minorEastAsia" w:cstheme="minorBidi"/>
          <w:sz w:val="24"/>
          <w:szCs w:val="24"/>
          <w:lang w:val="en-GB" w:eastAsia="en-US"/>
        </w:rPr>
        <w:t xml:space="preserve"> (2022) ‘Brief digital interventions to support the psychological well-being of NHS staff during the COVID-19 pandemic: 3-arm pilot randomized controlled trial’, </w:t>
      </w:r>
      <w:r w:rsidRPr="00C46D63">
        <w:rPr>
          <w:rFonts w:eastAsiaTheme="minorEastAsia" w:cstheme="minorBidi"/>
          <w:i/>
          <w:iCs/>
          <w:sz w:val="24"/>
          <w:szCs w:val="24"/>
          <w:lang w:val="en-GB" w:eastAsia="en-US"/>
        </w:rPr>
        <w:t>JMIR Mental Health</w:t>
      </w:r>
      <w:r w:rsidRPr="00C46D63">
        <w:rPr>
          <w:rFonts w:eastAsiaTheme="minorEastAsia" w:cstheme="minorBidi"/>
          <w:sz w:val="24"/>
          <w:szCs w:val="24"/>
          <w:lang w:val="en-GB" w:eastAsia="en-US"/>
        </w:rPr>
        <w:t xml:space="preserve">, </w:t>
      </w:r>
      <w:r w:rsidRPr="00C46D63">
        <w:rPr>
          <w:rFonts w:eastAsiaTheme="minorEastAsia" w:cstheme="minorBidi"/>
          <w:bCs/>
          <w:sz w:val="24"/>
          <w:szCs w:val="24"/>
          <w:lang w:val="en-GB" w:eastAsia="en-US"/>
        </w:rPr>
        <w:t>9</w:t>
      </w:r>
      <w:r w:rsidRPr="00C46D63">
        <w:rPr>
          <w:rFonts w:eastAsiaTheme="minorEastAsia" w:cstheme="minorBidi"/>
          <w:sz w:val="24"/>
          <w:szCs w:val="24"/>
          <w:lang w:val="en-GB" w:eastAsia="en-US"/>
        </w:rPr>
        <w:t>(4), e34002. doi:10.2196/34002.</w:t>
      </w:r>
    </w:p>
    <w:p w14:paraId="23420DDD"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Great Britain (2010) </w:t>
      </w:r>
      <w:r w:rsidRPr="00C46D63">
        <w:rPr>
          <w:rFonts w:eastAsiaTheme="minorEastAsia" w:cstheme="minorBidi"/>
          <w:i/>
          <w:iCs/>
          <w:sz w:val="24"/>
          <w:szCs w:val="24"/>
          <w:lang w:val="en-GB" w:eastAsia="en-US"/>
        </w:rPr>
        <w:t>Equality Act 2010</w:t>
      </w:r>
      <w:r w:rsidRPr="00C46D63">
        <w:rPr>
          <w:rFonts w:eastAsiaTheme="minorEastAsia" w:cstheme="minorBidi"/>
          <w:sz w:val="24"/>
          <w:szCs w:val="24"/>
          <w:lang w:val="en-GB" w:eastAsia="en-US"/>
        </w:rPr>
        <w:t>. London: The Stationery Office.</w:t>
      </w:r>
    </w:p>
    <w:p w14:paraId="381A9A6C"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Great Britain (2018) </w:t>
      </w:r>
      <w:r w:rsidRPr="00C46D63">
        <w:rPr>
          <w:rFonts w:eastAsiaTheme="minorEastAsia" w:cstheme="minorBidi"/>
          <w:i/>
          <w:iCs/>
          <w:sz w:val="24"/>
          <w:szCs w:val="24"/>
          <w:lang w:val="en-GB" w:eastAsia="en-US"/>
        </w:rPr>
        <w:t>Data Protection Act 2018</w:t>
      </w:r>
      <w:r w:rsidRPr="00C46D63">
        <w:rPr>
          <w:rFonts w:eastAsiaTheme="minorEastAsia" w:cstheme="minorBidi"/>
          <w:sz w:val="24"/>
          <w:szCs w:val="24"/>
          <w:lang w:val="en-GB" w:eastAsia="en-US"/>
        </w:rPr>
        <w:t>. London: The Stationery Office.</w:t>
      </w:r>
    </w:p>
    <w:p w14:paraId="6FA2F17B"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Greenhalgh, T., </w:t>
      </w:r>
      <w:r w:rsidRPr="00C46D63">
        <w:rPr>
          <w:rFonts w:eastAsiaTheme="minorEastAsia" w:cstheme="minorBidi"/>
          <w:i/>
          <w:iCs/>
          <w:sz w:val="24"/>
          <w:szCs w:val="24"/>
          <w:lang w:val="en-GB" w:eastAsia="en-US"/>
        </w:rPr>
        <w:t>et al.</w:t>
      </w:r>
      <w:r w:rsidRPr="00C46D63">
        <w:rPr>
          <w:rFonts w:eastAsiaTheme="minorEastAsia" w:cstheme="minorBidi"/>
          <w:sz w:val="24"/>
          <w:szCs w:val="24"/>
          <w:lang w:val="en-GB" w:eastAsia="en-US"/>
        </w:rPr>
        <w:t xml:space="preserve"> (2017) ‘Beyond adoption: a new framework for theorizing and evaluating non-adoption, abandonment, and challenges to the scale-up, spread, and sustainability of health and care technologies’, </w:t>
      </w:r>
      <w:r w:rsidRPr="00C46D63">
        <w:rPr>
          <w:rFonts w:eastAsiaTheme="minorEastAsia" w:cstheme="minorBidi"/>
          <w:i/>
          <w:iCs/>
          <w:sz w:val="24"/>
          <w:szCs w:val="24"/>
          <w:lang w:val="en-GB" w:eastAsia="en-US"/>
        </w:rPr>
        <w:t>Journal of Medical Internet Research</w:t>
      </w:r>
      <w:r w:rsidRPr="00C46D63">
        <w:rPr>
          <w:rFonts w:eastAsiaTheme="minorEastAsia" w:cstheme="minorBidi"/>
          <w:sz w:val="24"/>
          <w:szCs w:val="24"/>
          <w:lang w:val="en-GB" w:eastAsia="en-US"/>
        </w:rPr>
        <w:t xml:space="preserve">, </w:t>
      </w:r>
      <w:r w:rsidRPr="00C46D63">
        <w:rPr>
          <w:rFonts w:eastAsiaTheme="minorEastAsia" w:cstheme="minorBidi"/>
          <w:bCs/>
          <w:sz w:val="24"/>
          <w:szCs w:val="24"/>
          <w:lang w:val="en-GB" w:eastAsia="en-US"/>
        </w:rPr>
        <w:t>19</w:t>
      </w:r>
      <w:r w:rsidRPr="00C46D63">
        <w:rPr>
          <w:rFonts w:eastAsiaTheme="minorEastAsia" w:cstheme="minorBidi"/>
          <w:sz w:val="24"/>
          <w:szCs w:val="24"/>
          <w:lang w:val="en-GB" w:eastAsia="en-US"/>
        </w:rPr>
        <w:t>(11), e367. doi:10.2196/jmir.8775.</w:t>
      </w:r>
    </w:p>
    <w:p w14:paraId="5916EA20"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Health and Care Professions Council (HCPC) (2024) </w:t>
      </w:r>
      <w:r w:rsidRPr="00C46D63">
        <w:rPr>
          <w:rFonts w:eastAsiaTheme="minorEastAsia" w:cstheme="minorBidi"/>
          <w:i/>
          <w:iCs/>
          <w:sz w:val="24"/>
          <w:szCs w:val="24"/>
          <w:lang w:val="en-GB" w:eastAsia="en-US"/>
        </w:rPr>
        <w:t>Standards of conduct, performance and ethics</w:t>
      </w:r>
      <w:r w:rsidRPr="00C46D63">
        <w:rPr>
          <w:rFonts w:eastAsiaTheme="minorEastAsia" w:cstheme="minorBidi"/>
          <w:sz w:val="24"/>
          <w:szCs w:val="24"/>
          <w:lang w:val="en-GB" w:eastAsia="en-US"/>
        </w:rPr>
        <w:t>. London: HCPC.</w:t>
      </w:r>
    </w:p>
    <w:p w14:paraId="5F20C3EF"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López-Del-Hoyo, Y., </w:t>
      </w:r>
      <w:r w:rsidRPr="00C46D63">
        <w:rPr>
          <w:rFonts w:eastAsiaTheme="minorEastAsia" w:cstheme="minorBidi"/>
          <w:i/>
          <w:iCs/>
          <w:sz w:val="24"/>
          <w:szCs w:val="24"/>
          <w:lang w:val="en-GB" w:eastAsia="en-US"/>
        </w:rPr>
        <w:t>et al.</w:t>
      </w:r>
      <w:r w:rsidRPr="00C46D63">
        <w:rPr>
          <w:rFonts w:eastAsiaTheme="minorEastAsia" w:cstheme="minorBidi"/>
          <w:sz w:val="24"/>
          <w:szCs w:val="24"/>
          <w:lang w:val="en-GB" w:eastAsia="en-US"/>
        </w:rPr>
        <w:t xml:space="preserve"> (2023) ‘Effects of eHealth interventions on stress reduction and mental health promotion in healthcare professionals: a systematic review’, </w:t>
      </w:r>
      <w:r w:rsidRPr="00C46D63">
        <w:rPr>
          <w:rFonts w:eastAsiaTheme="minorEastAsia" w:cstheme="minorBidi"/>
          <w:i/>
          <w:iCs/>
          <w:sz w:val="24"/>
          <w:szCs w:val="24"/>
          <w:lang w:val="en-GB" w:eastAsia="en-US"/>
        </w:rPr>
        <w:t>Journal of Clinical Nursing</w:t>
      </w:r>
      <w:r w:rsidRPr="00C46D63">
        <w:rPr>
          <w:rFonts w:eastAsiaTheme="minorEastAsia" w:cstheme="minorBidi"/>
          <w:sz w:val="24"/>
          <w:szCs w:val="24"/>
          <w:lang w:val="en-GB" w:eastAsia="en-US"/>
        </w:rPr>
        <w:t xml:space="preserve">, </w:t>
      </w:r>
      <w:r w:rsidRPr="00C46D63">
        <w:rPr>
          <w:rFonts w:eastAsiaTheme="minorEastAsia" w:cstheme="minorBidi"/>
          <w:bCs/>
          <w:sz w:val="24"/>
          <w:szCs w:val="24"/>
          <w:lang w:val="en-GB" w:eastAsia="en-US"/>
        </w:rPr>
        <w:t>32</w:t>
      </w:r>
      <w:r w:rsidRPr="00C46D63">
        <w:rPr>
          <w:rFonts w:eastAsiaTheme="minorEastAsia" w:cstheme="minorBidi"/>
          <w:sz w:val="24"/>
          <w:szCs w:val="24"/>
          <w:lang w:val="en-GB" w:eastAsia="en-US"/>
        </w:rPr>
        <w:t>(17–18), pp. 5514–5533. doi:10.1111/jocn.16634.</w:t>
      </w:r>
    </w:p>
    <w:p w14:paraId="0709A0C3"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NHS England (2023) </w:t>
      </w:r>
      <w:r w:rsidRPr="00C46D63">
        <w:rPr>
          <w:rFonts w:eastAsiaTheme="minorEastAsia" w:cstheme="minorBidi"/>
          <w:i/>
          <w:iCs/>
          <w:sz w:val="24"/>
          <w:szCs w:val="24"/>
          <w:lang w:val="en-GB" w:eastAsia="en-US"/>
        </w:rPr>
        <w:t>NHS Long Term Workforce Plan</w:t>
      </w:r>
      <w:r w:rsidRPr="00C46D63">
        <w:rPr>
          <w:rFonts w:eastAsiaTheme="minorEastAsia" w:cstheme="minorBidi"/>
          <w:sz w:val="24"/>
          <w:szCs w:val="24"/>
          <w:lang w:val="en-GB" w:eastAsia="en-US"/>
        </w:rPr>
        <w:t>. London: NHS England.</w:t>
      </w:r>
    </w:p>
    <w:p w14:paraId="176912C3"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Nursing and Midwifery Council (NMC) (2023) </w:t>
      </w:r>
      <w:r w:rsidRPr="00C46D63">
        <w:rPr>
          <w:rFonts w:eastAsiaTheme="minorEastAsia" w:cstheme="minorBidi"/>
          <w:i/>
          <w:iCs/>
          <w:sz w:val="24"/>
          <w:szCs w:val="24"/>
          <w:lang w:val="en-GB" w:eastAsia="en-US"/>
        </w:rPr>
        <w:t>The Code: Professional standards of practice and behaviour for nurses, midwives and nursing associates</w:t>
      </w:r>
      <w:r w:rsidRPr="00C46D63">
        <w:rPr>
          <w:rFonts w:eastAsiaTheme="minorEastAsia" w:cstheme="minorBidi"/>
          <w:sz w:val="24"/>
          <w:szCs w:val="24"/>
          <w:lang w:val="en-GB" w:eastAsia="en-US"/>
        </w:rPr>
        <w:t>. London: NMC.</w:t>
      </w:r>
    </w:p>
    <w:p w14:paraId="350185FA"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lastRenderedPageBreak/>
        <w:t xml:space="preserve">Taher, R., </w:t>
      </w:r>
      <w:r w:rsidRPr="00C46D63">
        <w:rPr>
          <w:rFonts w:eastAsiaTheme="minorEastAsia" w:cstheme="minorBidi"/>
          <w:i/>
          <w:iCs/>
          <w:sz w:val="24"/>
          <w:szCs w:val="24"/>
          <w:lang w:val="en-GB" w:eastAsia="en-US"/>
        </w:rPr>
        <w:t>et al.</w:t>
      </w:r>
      <w:r w:rsidRPr="00C46D63">
        <w:rPr>
          <w:rFonts w:eastAsiaTheme="minorEastAsia" w:cstheme="minorBidi"/>
          <w:sz w:val="24"/>
          <w:szCs w:val="24"/>
          <w:lang w:val="en-GB" w:eastAsia="en-US"/>
        </w:rPr>
        <w:t xml:space="preserve"> (2023) ‘The safety of digital mental health interventions: systematic review and recommendations’, </w:t>
      </w:r>
      <w:r w:rsidRPr="00C46D63">
        <w:rPr>
          <w:rFonts w:eastAsiaTheme="minorEastAsia" w:cstheme="minorBidi"/>
          <w:i/>
          <w:iCs/>
          <w:sz w:val="24"/>
          <w:szCs w:val="24"/>
          <w:lang w:val="en-GB" w:eastAsia="en-US"/>
        </w:rPr>
        <w:t>JMIR Mental Health</w:t>
      </w:r>
      <w:r w:rsidRPr="00C46D63">
        <w:rPr>
          <w:rFonts w:eastAsiaTheme="minorEastAsia" w:cstheme="minorBidi"/>
          <w:sz w:val="24"/>
          <w:szCs w:val="24"/>
          <w:lang w:val="en-GB" w:eastAsia="en-US"/>
        </w:rPr>
        <w:t xml:space="preserve">, </w:t>
      </w:r>
      <w:r w:rsidRPr="00C46D63">
        <w:rPr>
          <w:rFonts w:eastAsiaTheme="minorEastAsia" w:cstheme="minorBidi"/>
          <w:bCs/>
          <w:sz w:val="24"/>
          <w:szCs w:val="24"/>
          <w:lang w:val="en-GB" w:eastAsia="en-US"/>
        </w:rPr>
        <w:t>10</w:t>
      </w:r>
      <w:r w:rsidRPr="00C46D63">
        <w:rPr>
          <w:rFonts w:eastAsiaTheme="minorEastAsia" w:cstheme="minorBidi"/>
          <w:sz w:val="24"/>
          <w:szCs w:val="24"/>
          <w:lang w:val="en-GB" w:eastAsia="en-US"/>
        </w:rPr>
        <w:t>, e47433. doi:10.2196/47433.</w:t>
      </w:r>
    </w:p>
    <w:p w14:paraId="167D9812"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Werntz, A., </w:t>
      </w:r>
      <w:r w:rsidRPr="00C46D63">
        <w:rPr>
          <w:rFonts w:eastAsiaTheme="minorEastAsia" w:cstheme="minorBidi"/>
          <w:i/>
          <w:iCs/>
          <w:sz w:val="24"/>
          <w:szCs w:val="24"/>
          <w:lang w:val="en-GB" w:eastAsia="en-US"/>
        </w:rPr>
        <w:t>et al.</w:t>
      </w:r>
      <w:r w:rsidRPr="00C46D63">
        <w:rPr>
          <w:rFonts w:eastAsiaTheme="minorEastAsia" w:cstheme="minorBidi"/>
          <w:sz w:val="24"/>
          <w:szCs w:val="24"/>
          <w:lang w:val="en-GB" w:eastAsia="en-US"/>
        </w:rPr>
        <w:t xml:space="preserve"> (2023) ‘Providing human support for the use of digital mental health interventions: systematic meta-review’, </w:t>
      </w:r>
      <w:r w:rsidRPr="00C46D63">
        <w:rPr>
          <w:rFonts w:eastAsiaTheme="minorEastAsia" w:cstheme="minorBidi"/>
          <w:i/>
          <w:iCs/>
          <w:sz w:val="24"/>
          <w:szCs w:val="24"/>
          <w:lang w:val="en-GB" w:eastAsia="en-US"/>
        </w:rPr>
        <w:t>Journal of Medical Internet Research</w:t>
      </w:r>
      <w:r w:rsidRPr="00C46D63">
        <w:rPr>
          <w:rFonts w:eastAsiaTheme="minorEastAsia" w:cstheme="minorBidi"/>
          <w:sz w:val="24"/>
          <w:szCs w:val="24"/>
          <w:lang w:val="en-GB" w:eastAsia="en-US"/>
        </w:rPr>
        <w:t xml:space="preserve">, </w:t>
      </w:r>
      <w:r w:rsidRPr="00C46D63">
        <w:rPr>
          <w:rFonts w:eastAsiaTheme="minorEastAsia" w:cstheme="minorBidi"/>
          <w:bCs/>
          <w:sz w:val="24"/>
          <w:szCs w:val="24"/>
          <w:lang w:val="en-GB" w:eastAsia="en-US"/>
        </w:rPr>
        <w:t>25</w:t>
      </w:r>
      <w:r w:rsidRPr="00C46D63">
        <w:rPr>
          <w:rFonts w:eastAsiaTheme="minorEastAsia" w:cstheme="minorBidi"/>
          <w:sz w:val="24"/>
          <w:szCs w:val="24"/>
          <w:lang w:val="en-GB" w:eastAsia="en-US"/>
        </w:rPr>
        <w:t>, e42864. doi:10.2196/42864.</w:t>
      </w:r>
    </w:p>
    <w:p w14:paraId="6B3FB29E"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World Health Organization (2019) </w:t>
      </w:r>
      <w:r w:rsidRPr="00C46D63">
        <w:rPr>
          <w:rFonts w:eastAsiaTheme="minorEastAsia" w:cstheme="minorBidi"/>
          <w:i/>
          <w:iCs/>
          <w:sz w:val="24"/>
          <w:szCs w:val="24"/>
          <w:lang w:val="en-GB" w:eastAsia="en-US"/>
        </w:rPr>
        <w:t>Burn-out as an occupational phenomenon</w:t>
      </w:r>
      <w:r w:rsidRPr="00C46D63">
        <w:rPr>
          <w:rFonts w:eastAsiaTheme="minorEastAsia" w:cstheme="minorBidi"/>
          <w:sz w:val="24"/>
          <w:szCs w:val="24"/>
          <w:lang w:val="en-GB" w:eastAsia="en-US"/>
        </w:rPr>
        <w:t>. Geneva: World Health Organization.</w:t>
      </w:r>
    </w:p>
    <w:p w14:paraId="05B44D90" w14:textId="77777777" w:rsidR="00C46D63" w:rsidRPr="00C46D63" w:rsidRDefault="00C46D63" w:rsidP="00C46D63">
      <w:pPr>
        <w:spacing w:after="120" w:line="360" w:lineRule="auto"/>
        <w:jc w:val="both"/>
        <w:rPr>
          <w:rFonts w:eastAsiaTheme="minorEastAsia" w:cstheme="minorBidi"/>
          <w:sz w:val="24"/>
          <w:szCs w:val="24"/>
          <w:lang w:val="en-GB" w:eastAsia="en-US"/>
        </w:rPr>
      </w:pPr>
      <w:r w:rsidRPr="00C46D63">
        <w:rPr>
          <w:rFonts w:eastAsiaTheme="minorEastAsia" w:cstheme="minorBidi"/>
          <w:sz w:val="24"/>
          <w:szCs w:val="24"/>
          <w:lang w:val="en-GB" w:eastAsia="en-US"/>
        </w:rPr>
        <w:t xml:space="preserve">Zasada, M., </w:t>
      </w:r>
      <w:r w:rsidRPr="00C46D63">
        <w:rPr>
          <w:rFonts w:eastAsiaTheme="minorEastAsia" w:cstheme="minorBidi"/>
          <w:i/>
          <w:iCs/>
          <w:sz w:val="24"/>
          <w:szCs w:val="24"/>
          <w:lang w:val="en-GB" w:eastAsia="en-US"/>
        </w:rPr>
        <w:t>et al.</w:t>
      </w:r>
      <w:r w:rsidRPr="00C46D63">
        <w:rPr>
          <w:rFonts w:eastAsiaTheme="minorEastAsia" w:cstheme="minorBidi"/>
          <w:sz w:val="24"/>
          <w:szCs w:val="24"/>
          <w:lang w:val="en-GB" w:eastAsia="en-US"/>
        </w:rPr>
        <w:t xml:space="preserve"> (2024) ‘Team Time as a wellbeing intervention for NHS staff: a qualitative evaluation of implementation during the COVID-19 pandemic’, </w:t>
      </w:r>
      <w:r w:rsidRPr="00C46D63">
        <w:rPr>
          <w:rFonts w:eastAsiaTheme="minorEastAsia" w:cstheme="minorBidi"/>
          <w:i/>
          <w:iCs/>
          <w:sz w:val="24"/>
          <w:szCs w:val="24"/>
          <w:lang w:val="en-GB" w:eastAsia="en-US"/>
        </w:rPr>
        <w:t>BMC Health Services Research</w:t>
      </w:r>
      <w:r w:rsidRPr="00C46D63">
        <w:rPr>
          <w:rFonts w:eastAsiaTheme="minorEastAsia" w:cstheme="minorBidi"/>
          <w:sz w:val="24"/>
          <w:szCs w:val="24"/>
          <w:lang w:val="en-GB" w:eastAsia="en-US"/>
        </w:rPr>
        <w:t xml:space="preserve">, </w:t>
      </w:r>
      <w:r w:rsidRPr="00C46D63">
        <w:rPr>
          <w:rFonts w:eastAsiaTheme="minorEastAsia" w:cstheme="minorBidi"/>
          <w:bCs/>
          <w:sz w:val="24"/>
          <w:szCs w:val="24"/>
          <w:lang w:val="en-GB" w:eastAsia="en-US"/>
        </w:rPr>
        <w:t>24</w:t>
      </w:r>
      <w:r w:rsidRPr="00C46D63">
        <w:rPr>
          <w:rFonts w:eastAsiaTheme="minorEastAsia" w:cstheme="minorBidi"/>
          <w:sz w:val="24"/>
          <w:szCs w:val="24"/>
          <w:lang w:val="en-GB" w:eastAsia="en-US"/>
        </w:rPr>
        <w:t>, 1622. doi:10.1186/s12913-024-12046-0.</w:t>
      </w:r>
    </w:p>
    <w:p w14:paraId="7CF44FFD" w14:textId="77777777" w:rsidR="00C46D63" w:rsidRDefault="00C46D63" w:rsidP="00AD6873">
      <w:pPr>
        <w:spacing w:before="240" w:after="240" w:line="360" w:lineRule="auto"/>
        <w:jc w:val="both"/>
        <w:rPr>
          <w:b/>
          <w:bCs/>
          <w:sz w:val="24"/>
          <w:szCs w:val="24"/>
        </w:rPr>
      </w:pPr>
    </w:p>
    <w:p w14:paraId="2C91D099" w14:textId="400EC040" w:rsidR="00C46D63" w:rsidRDefault="00C46D63" w:rsidP="00AD6873">
      <w:pPr>
        <w:spacing w:before="240" w:after="240" w:line="360" w:lineRule="auto"/>
        <w:jc w:val="both"/>
        <w:rPr>
          <w:b/>
          <w:bCs/>
          <w:sz w:val="24"/>
          <w:szCs w:val="24"/>
        </w:rPr>
      </w:pPr>
    </w:p>
    <w:p w14:paraId="10F223C1" w14:textId="7F47C622" w:rsidR="00C46D63" w:rsidRDefault="00C46D63" w:rsidP="00AD6873">
      <w:pPr>
        <w:spacing w:before="240" w:after="240" w:line="360" w:lineRule="auto"/>
        <w:jc w:val="both"/>
        <w:rPr>
          <w:b/>
          <w:bCs/>
          <w:sz w:val="24"/>
          <w:szCs w:val="24"/>
        </w:rPr>
      </w:pPr>
    </w:p>
    <w:p w14:paraId="7F890A39" w14:textId="2B1F2C37" w:rsidR="00C46D63" w:rsidRDefault="00C46D63" w:rsidP="00AD6873">
      <w:pPr>
        <w:spacing w:before="240" w:after="240" w:line="360" w:lineRule="auto"/>
        <w:jc w:val="both"/>
        <w:rPr>
          <w:b/>
          <w:bCs/>
          <w:sz w:val="24"/>
          <w:szCs w:val="24"/>
        </w:rPr>
      </w:pPr>
    </w:p>
    <w:p w14:paraId="65F00C53" w14:textId="0C7B48AA" w:rsidR="00C46D63" w:rsidRDefault="00C46D63" w:rsidP="00AD6873">
      <w:pPr>
        <w:spacing w:before="240" w:after="240" w:line="360" w:lineRule="auto"/>
        <w:jc w:val="both"/>
        <w:rPr>
          <w:b/>
          <w:bCs/>
          <w:sz w:val="24"/>
          <w:szCs w:val="24"/>
        </w:rPr>
      </w:pPr>
    </w:p>
    <w:p w14:paraId="709F5142" w14:textId="3A77254F" w:rsidR="00C46D63" w:rsidRDefault="00C46D63" w:rsidP="00AD6873">
      <w:pPr>
        <w:spacing w:before="240" w:after="240" w:line="360" w:lineRule="auto"/>
        <w:jc w:val="both"/>
        <w:rPr>
          <w:b/>
          <w:bCs/>
          <w:sz w:val="24"/>
          <w:szCs w:val="24"/>
        </w:rPr>
      </w:pPr>
    </w:p>
    <w:p w14:paraId="07DF2C08" w14:textId="462A1509" w:rsidR="00C46D63" w:rsidRDefault="00C46D63" w:rsidP="00AD6873">
      <w:pPr>
        <w:spacing w:before="240" w:after="240" w:line="360" w:lineRule="auto"/>
        <w:jc w:val="both"/>
        <w:rPr>
          <w:b/>
          <w:bCs/>
          <w:sz w:val="24"/>
          <w:szCs w:val="24"/>
        </w:rPr>
      </w:pPr>
    </w:p>
    <w:p w14:paraId="5775D7DB" w14:textId="161EFDDC" w:rsidR="00C46D63" w:rsidRDefault="00C46D63" w:rsidP="00AD6873">
      <w:pPr>
        <w:spacing w:before="240" w:after="240" w:line="360" w:lineRule="auto"/>
        <w:jc w:val="both"/>
        <w:rPr>
          <w:b/>
          <w:bCs/>
          <w:sz w:val="24"/>
          <w:szCs w:val="24"/>
        </w:rPr>
      </w:pPr>
    </w:p>
    <w:p w14:paraId="3DFDAC13" w14:textId="60E24779" w:rsidR="00C46D63" w:rsidRDefault="00C46D63" w:rsidP="00AD6873">
      <w:pPr>
        <w:spacing w:before="240" w:after="240" w:line="360" w:lineRule="auto"/>
        <w:jc w:val="both"/>
        <w:rPr>
          <w:b/>
          <w:bCs/>
          <w:sz w:val="24"/>
          <w:szCs w:val="24"/>
        </w:rPr>
      </w:pPr>
    </w:p>
    <w:p w14:paraId="63DCD0AF" w14:textId="727A99FD" w:rsidR="00C46D63" w:rsidRDefault="00C46D63" w:rsidP="00AD6873">
      <w:pPr>
        <w:spacing w:before="240" w:after="240" w:line="360" w:lineRule="auto"/>
        <w:jc w:val="both"/>
        <w:rPr>
          <w:b/>
          <w:bCs/>
          <w:sz w:val="24"/>
          <w:szCs w:val="24"/>
        </w:rPr>
      </w:pPr>
    </w:p>
    <w:p w14:paraId="64726808" w14:textId="4F9391D3" w:rsidR="00C46D63" w:rsidRDefault="00C46D63" w:rsidP="00AD6873">
      <w:pPr>
        <w:spacing w:before="240" w:after="240" w:line="360" w:lineRule="auto"/>
        <w:jc w:val="both"/>
        <w:rPr>
          <w:b/>
          <w:bCs/>
          <w:sz w:val="24"/>
          <w:szCs w:val="24"/>
        </w:rPr>
      </w:pPr>
    </w:p>
    <w:p w14:paraId="6B4E3839" w14:textId="507BEBA4" w:rsidR="00C46D63" w:rsidRDefault="00C46D63" w:rsidP="00AD6873">
      <w:pPr>
        <w:spacing w:before="240" w:after="240" w:line="360" w:lineRule="auto"/>
        <w:jc w:val="both"/>
        <w:rPr>
          <w:b/>
          <w:bCs/>
          <w:sz w:val="24"/>
          <w:szCs w:val="24"/>
        </w:rPr>
      </w:pPr>
    </w:p>
    <w:p w14:paraId="51E4EE26" w14:textId="437909F7" w:rsidR="001170AE" w:rsidRPr="00AD6873" w:rsidRDefault="001170AE" w:rsidP="00AD6873">
      <w:pPr>
        <w:spacing w:line="360" w:lineRule="auto"/>
        <w:jc w:val="both"/>
        <w:rPr>
          <w:sz w:val="24"/>
          <w:szCs w:val="24"/>
        </w:rPr>
      </w:pPr>
    </w:p>
    <w:sectPr w:rsidR="001170AE" w:rsidRPr="00AD6873" w:rsidSect="00887A6B">
      <w:footerReference w:type="default" r:id="rId1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6D774" w14:textId="77777777" w:rsidR="00E81834" w:rsidRDefault="00E81834" w:rsidP="00887A6B">
      <w:pPr>
        <w:spacing w:line="240" w:lineRule="auto"/>
      </w:pPr>
      <w:r>
        <w:separator/>
      </w:r>
    </w:p>
  </w:endnote>
  <w:endnote w:type="continuationSeparator" w:id="0">
    <w:p w14:paraId="0D4E82A5" w14:textId="77777777" w:rsidR="00E81834" w:rsidRDefault="00E81834" w:rsidP="00887A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2C0FF25-9B9E-41B1-9735-4CE7817220FD}"/>
    <w:embedBold r:id="rId2" w:fontKey="{4CD62D53-05FE-47B2-A2AE-7A859968EEAE}"/>
  </w:font>
  <w:font w:name="Cambria">
    <w:panose1 w:val="02040503050406030204"/>
    <w:charset w:val="00"/>
    <w:family w:val="roman"/>
    <w:pitch w:val="variable"/>
    <w:sig w:usb0="E00006FF" w:usb1="420024FF" w:usb2="02000000" w:usb3="00000000" w:csb0="0000019F" w:csb1="00000000"/>
    <w:embedRegular r:id="rId3" w:fontKey="{9FEF808E-A5AE-454B-B834-7258B16ACD11}"/>
    <w:embedBold r:id="rId4" w:fontKey="{52BC626C-E638-49BF-ADE7-3A3B96EA3D1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okmarkStart w:id="35" w:name="_pt8e9rqgyv33" w:colFirst="0" w:colLast="0" w:displacedByCustomXml="next"/>
  <w:bookmarkEnd w:id="35" w:displacedByCustomXml="next"/>
  <w:sdt>
    <w:sdtPr>
      <w:id w:val="-490638758"/>
      <w:docPartObj>
        <w:docPartGallery w:val="Page Numbers (Bottom of Page)"/>
        <w:docPartUnique/>
      </w:docPartObj>
    </w:sdtPr>
    <w:sdtEndPr>
      <w:rPr>
        <w:noProof/>
      </w:rPr>
    </w:sdtEndPr>
    <w:sdtContent>
      <w:p w14:paraId="1BC9F088" w14:textId="0D6001B3" w:rsidR="00887A6B" w:rsidRDefault="00887A6B">
        <w:pPr>
          <w:pStyle w:val="Footer"/>
          <w:jc w:val="center"/>
        </w:pPr>
        <w:r>
          <w:fldChar w:fldCharType="begin"/>
        </w:r>
        <w:r>
          <w:instrText xml:space="preserve"> PAGE   \* MERGEFORMAT </w:instrText>
        </w:r>
        <w:r>
          <w:fldChar w:fldCharType="separate"/>
        </w:r>
        <w:r w:rsidR="00540613">
          <w:rPr>
            <w:noProof/>
          </w:rPr>
          <w:t>9</w:t>
        </w:r>
        <w:r>
          <w:rPr>
            <w:noProof/>
          </w:rPr>
          <w:fldChar w:fldCharType="end"/>
        </w:r>
      </w:p>
    </w:sdtContent>
  </w:sdt>
  <w:p w14:paraId="3BC5AAE7" w14:textId="77777777" w:rsidR="00887A6B" w:rsidRDefault="00887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8E8B1" w14:textId="77777777" w:rsidR="00E81834" w:rsidRDefault="00E81834" w:rsidP="00887A6B">
      <w:pPr>
        <w:spacing w:line="240" w:lineRule="auto"/>
      </w:pPr>
      <w:r>
        <w:separator/>
      </w:r>
    </w:p>
  </w:footnote>
  <w:footnote w:type="continuationSeparator" w:id="0">
    <w:p w14:paraId="73EB313E" w14:textId="77777777" w:rsidR="00E81834" w:rsidRDefault="00E81834" w:rsidP="00887A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926D25"/>
    <w:multiLevelType w:val="multilevel"/>
    <w:tmpl w:val="016AA0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225264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0AE"/>
    <w:rsid w:val="000C2931"/>
    <w:rsid w:val="001170AE"/>
    <w:rsid w:val="00205738"/>
    <w:rsid w:val="004337FA"/>
    <w:rsid w:val="004A0777"/>
    <w:rsid w:val="00540613"/>
    <w:rsid w:val="0057116C"/>
    <w:rsid w:val="00574F48"/>
    <w:rsid w:val="005C4A37"/>
    <w:rsid w:val="00794BFB"/>
    <w:rsid w:val="00887A6B"/>
    <w:rsid w:val="008977FE"/>
    <w:rsid w:val="008B711A"/>
    <w:rsid w:val="00AC4AAB"/>
    <w:rsid w:val="00AD6873"/>
    <w:rsid w:val="00B53865"/>
    <w:rsid w:val="00C3022C"/>
    <w:rsid w:val="00C46D63"/>
    <w:rsid w:val="00E62094"/>
    <w:rsid w:val="00E81834"/>
    <w:rsid w:val="00F17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901552"/>
  <w15:docId w15:val="{DCFA0340-AC66-4367-8259-C88A81F49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87A6B"/>
    <w:pPr>
      <w:tabs>
        <w:tab w:val="center" w:pos="4513"/>
        <w:tab w:val="right" w:pos="9026"/>
      </w:tabs>
      <w:spacing w:line="240" w:lineRule="auto"/>
    </w:pPr>
  </w:style>
  <w:style w:type="character" w:customStyle="1" w:styleId="HeaderChar">
    <w:name w:val="Header Char"/>
    <w:basedOn w:val="DefaultParagraphFont"/>
    <w:link w:val="Header"/>
    <w:uiPriority w:val="99"/>
    <w:rsid w:val="00887A6B"/>
  </w:style>
  <w:style w:type="paragraph" w:styleId="Footer">
    <w:name w:val="footer"/>
    <w:basedOn w:val="Normal"/>
    <w:link w:val="FooterChar"/>
    <w:uiPriority w:val="99"/>
    <w:unhideWhenUsed/>
    <w:rsid w:val="00887A6B"/>
    <w:pPr>
      <w:tabs>
        <w:tab w:val="center" w:pos="4513"/>
        <w:tab w:val="right" w:pos="9026"/>
      </w:tabs>
      <w:spacing w:line="240" w:lineRule="auto"/>
    </w:pPr>
  </w:style>
  <w:style w:type="character" w:customStyle="1" w:styleId="FooterChar">
    <w:name w:val="Footer Char"/>
    <w:basedOn w:val="DefaultParagraphFont"/>
    <w:link w:val="Footer"/>
    <w:uiPriority w:val="99"/>
    <w:rsid w:val="00887A6B"/>
  </w:style>
  <w:style w:type="paragraph" w:styleId="TOCHeading">
    <w:name w:val="TOC Heading"/>
    <w:basedOn w:val="Heading1"/>
    <w:next w:val="Normal"/>
    <w:uiPriority w:val="39"/>
    <w:unhideWhenUsed/>
    <w:qFormat/>
    <w:rsid w:val="00887A6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887A6B"/>
    <w:pPr>
      <w:spacing w:after="100"/>
    </w:pPr>
  </w:style>
  <w:style w:type="paragraph" w:styleId="TOC2">
    <w:name w:val="toc 2"/>
    <w:basedOn w:val="Normal"/>
    <w:next w:val="Normal"/>
    <w:autoRedefine/>
    <w:uiPriority w:val="39"/>
    <w:unhideWhenUsed/>
    <w:rsid w:val="00887A6B"/>
    <w:pPr>
      <w:spacing w:after="100"/>
      <w:ind w:left="220"/>
    </w:pPr>
  </w:style>
  <w:style w:type="paragraph" w:styleId="TOC3">
    <w:name w:val="toc 3"/>
    <w:basedOn w:val="Normal"/>
    <w:next w:val="Normal"/>
    <w:autoRedefine/>
    <w:uiPriority w:val="39"/>
    <w:unhideWhenUsed/>
    <w:rsid w:val="00887A6B"/>
    <w:pPr>
      <w:spacing w:after="100"/>
      <w:ind w:left="440"/>
    </w:pPr>
  </w:style>
  <w:style w:type="character" w:styleId="Hyperlink">
    <w:name w:val="Hyperlink"/>
    <w:basedOn w:val="DefaultParagraphFont"/>
    <w:uiPriority w:val="99"/>
    <w:unhideWhenUsed/>
    <w:rsid w:val="00887A6B"/>
    <w:rPr>
      <w:color w:val="0000FF" w:themeColor="hyperlink"/>
      <w:u w:val="single"/>
    </w:rPr>
  </w:style>
  <w:style w:type="paragraph" w:styleId="NoSpacing">
    <w:name w:val="No Spacing"/>
    <w:link w:val="NoSpacingChar"/>
    <w:uiPriority w:val="1"/>
    <w:qFormat/>
    <w:rsid w:val="00887A6B"/>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887A6B"/>
    <w:rPr>
      <w:rFonts w:asciiTheme="minorHAnsi" w:eastAsiaTheme="minorEastAsia" w:hAnsiTheme="minorHAnsi" w:cstheme="minorBidi"/>
      <w:lang w:val="en-US" w:eastAsia="en-US"/>
    </w:rPr>
  </w:style>
  <w:style w:type="character" w:customStyle="1" w:styleId="Heading1Char">
    <w:name w:val="Heading 1 Char"/>
    <w:basedOn w:val="DefaultParagraphFont"/>
    <w:link w:val="Heading1"/>
    <w:rsid w:val="00887A6B"/>
    <w:rPr>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D2461A-D4DE-4D43-B6D9-FB4BA59C5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2148</Words>
  <Characters>12249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Ndeye rokheya Bop</dc:creator>
  <cp:lastModifiedBy>Ndeye rokheya Bop</cp:lastModifiedBy>
  <cp:revision>4</cp:revision>
  <dcterms:created xsi:type="dcterms:W3CDTF">2026-08-03T22:41:00Z</dcterms:created>
  <dcterms:modified xsi:type="dcterms:W3CDTF">2026-08-03T22:44:00Z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c594d817-243e-4e2c-a85a-71190932549e</vt:lpwstr>
  </property>
</Properties>
</file>