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FC699" w14:textId="77777777" w:rsidR="00ED0498" w:rsidRPr="00FB68EA" w:rsidRDefault="00000000">
      <w:pPr>
        <w:spacing w:after="700"/>
        <w:jc w:val="center"/>
        <w:rPr>
          <w:rFonts w:ascii="Arial" w:hAnsi="Arial" w:cs="Arial"/>
          <w:sz w:val="22"/>
          <w:szCs w:val="22"/>
        </w:rPr>
      </w:pPr>
      <w:r w:rsidRPr="00FB68EA">
        <w:rPr>
          <w:rFonts w:ascii="Arial" w:hAnsi="Arial" w:cs="Arial"/>
          <w:noProof/>
          <w:sz w:val="22"/>
          <w:szCs w:val="22"/>
        </w:rPr>
        <w:drawing>
          <wp:inline distT="0" distB="0" distL="0" distR="0" wp14:anchorId="5A76DF13" wp14:editId="1D58C089">
            <wp:extent cx="3619500" cy="1514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619500" cy="1514475"/>
                    </a:xfrm>
                    <a:prstGeom prst="rect">
                      <a:avLst/>
                    </a:prstGeom>
                  </pic:spPr>
                </pic:pic>
              </a:graphicData>
            </a:graphic>
          </wp:inline>
        </w:drawing>
      </w:r>
    </w:p>
    <w:p w14:paraId="2E62C635" w14:textId="77777777" w:rsidR="00ED0498" w:rsidRPr="00FB68EA" w:rsidRDefault="00000000">
      <w:pPr>
        <w:spacing w:after="280"/>
        <w:jc w:val="center"/>
        <w:rPr>
          <w:rFonts w:ascii="Arial" w:hAnsi="Arial" w:cs="Arial"/>
          <w:sz w:val="22"/>
          <w:szCs w:val="22"/>
        </w:rPr>
      </w:pPr>
      <w:r w:rsidRPr="00FB68EA">
        <w:rPr>
          <w:rFonts w:ascii="Arial" w:hAnsi="Arial" w:cs="Arial"/>
          <w:b/>
          <w:bCs/>
          <w:sz w:val="32"/>
          <w:szCs w:val="32"/>
        </w:rPr>
        <w:t>Psychological Support for Women Diagnosed with Breast Cancer in the United Kingdom: A Scoping Review of Current Evidence</w:t>
      </w:r>
    </w:p>
    <w:p w14:paraId="1E5AB08E" w14:textId="77777777" w:rsidR="00ED0498" w:rsidRPr="00FB68EA" w:rsidRDefault="00000000">
      <w:pPr>
        <w:spacing w:after="1000"/>
        <w:jc w:val="center"/>
        <w:rPr>
          <w:rFonts w:ascii="Arial" w:hAnsi="Arial" w:cs="Arial"/>
          <w:sz w:val="22"/>
          <w:szCs w:val="22"/>
        </w:rPr>
      </w:pPr>
      <w:r w:rsidRPr="00FB68EA">
        <w:rPr>
          <w:rFonts w:ascii="Arial" w:hAnsi="Arial" w:cs="Arial"/>
          <w:sz w:val="26"/>
          <w:szCs w:val="26"/>
        </w:rPr>
        <w:t>Component 2: Research Report</w:t>
      </w:r>
    </w:p>
    <w:p w14:paraId="1833EE23" w14:textId="77777777" w:rsidR="00ED0498" w:rsidRPr="00FB68EA" w:rsidRDefault="00000000">
      <w:pPr>
        <w:spacing w:after="180"/>
        <w:rPr>
          <w:rFonts w:ascii="Arial" w:hAnsi="Arial" w:cs="Arial"/>
          <w:sz w:val="26"/>
          <w:szCs w:val="26"/>
        </w:rPr>
      </w:pPr>
      <w:r w:rsidRPr="00FB68EA">
        <w:rPr>
          <w:rFonts w:ascii="Arial" w:hAnsi="Arial" w:cs="Arial"/>
          <w:b/>
          <w:bCs/>
          <w:sz w:val="26"/>
          <w:szCs w:val="26"/>
        </w:rPr>
        <w:t xml:space="preserve">Module:  </w:t>
      </w:r>
      <w:r w:rsidRPr="00FB68EA">
        <w:rPr>
          <w:rFonts w:ascii="Arial" w:hAnsi="Arial" w:cs="Arial"/>
          <w:sz w:val="26"/>
          <w:szCs w:val="26"/>
        </w:rPr>
        <w:t>Introduction to Independent Research Skills</w:t>
      </w:r>
    </w:p>
    <w:p w14:paraId="1B43712F" w14:textId="77777777" w:rsidR="00ED0498" w:rsidRPr="00FB68EA" w:rsidRDefault="00000000">
      <w:pPr>
        <w:spacing w:after="180"/>
        <w:rPr>
          <w:rFonts w:ascii="Arial" w:hAnsi="Arial" w:cs="Arial"/>
          <w:sz w:val="26"/>
          <w:szCs w:val="26"/>
        </w:rPr>
      </w:pPr>
      <w:r w:rsidRPr="00FB68EA">
        <w:rPr>
          <w:rFonts w:ascii="Arial" w:hAnsi="Arial" w:cs="Arial"/>
          <w:b/>
          <w:bCs/>
          <w:sz w:val="26"/>
          <w:szCs w:val="26"/>
        </w:rPr>
        <w:t xml:space="preserve">Module code:  </w:t>
      </w:r>
      <w:r w:rsidRPr="00FB68EA">
        <w:rPr>
          <w:rFonts w:ascii="Arial" w:hAnsi="Arial" w:cs="Arial"/>
          <w:sz w:val="26"/>
          <w:szCs w:val="26"/>
        </w:rPr>
        <w:t>BMHP5019</w:t>
      </w:r>
    </w:p>
    <w:p w14:paraId="0559E1F5" w14:textId="77777777" w:rsidR="00ED0498" w:rsidRPr="00FB68EA" w:rsidRDefault="00000000">
      <w:pPr>
        <w:spacing w:after="180"/>
        <w:rPr>
          <w:rFonts w:ascii="Arial" w:hAnsi="Arial" w:cs="Arial"/>
          <w:sz w:val="26"/>
          <w:szCs w:val="26"/>
        </w:rPr>
      </w:pPr>
      <w:r w:rsidRPr="00FB68EA">
        <w:rPr>
          <w:rFonts w:ascii="Arial" w:hAnsi="Arial" w:cs="Arial"/>
          <w:b/>
          <w:bCs/>
          <w:sz w:val="26"/>
          <w:szCs w:val="26"/>
        </w:rPr>
        <w:t xml:space="preserve">Student name:  </w:t>
      </w:r>
      <w:r w:rsidRPr="00FB68EA">
        <w:rPr>
          <w:rFonts w:ascii="Arial" w:hAnsi="Arial" w:cs="Arial"/>
          <w:sz w:val="26"/>
          <w:szCs w:val="26"/>
        </w:rPr>
        <w:t>Busra Akter Rusi</w:t>
      </w:r>
    </w:p>
    <w:p w14:paraId="643E2B39" w14:textId="77777777" w:rsidR="00ED0498" w:rsidRPr="00FB68EA" w:rsidRDefault="00000000">
      <w:pPr>
        <w:spacing w:after="180"/>
        <w:rPr>
          <w:rFonts w:ascii="Arial" w:hAnsi="Arial" w:cs="Arial"/>
          <w:sz w:val="26"/>
          <w:szCs w:val="26"/>
        </w:rPr>
      </w:pPr>
      <w:r w:rsidRPr="00FB68EA">
        <w:rPr>
          <w:rFonts w:ascii="Arial" w:hAnsi="Arial" w:cs="Arial"/>
          <w:b/>
          <w:bCs/>
          <w:sz w:val="26"/>
          <w:szCs w:val="26"/>
        </w:rPr>
        <w:t xml:space="preserve">Student ID:  </w:t>
      </w:r>
      <w:r w:rsidRPr="00FB68EA">
        <w:rPr>
          <w:rFonts w:ascii="Arial" w:hAnsi="Arial" w:cs="Arial"/>
          <w:sz w:val="26"/>
          <w:szCs w:val="26"/>
        </w:rPr>
        <w:t>2413161</w:t>
      </w:r>
    </w:p>
    <w:p w14:paraId="400D24E4" w14:textId="77777777" w:rsidR="00ED0498" w:rsidRPr="00FB68EA" w:rsidRDefault="00000000">
      <w:pPr>
        <w:spacing w:after="180"/>
        <w:rPr>
          <w:rFonts w:ascii="Arial" w:hAnsi="Arial" w:cs="Arial"/>
          <w:sz w:val="26"/>
          <w:szCs w:val="26"/>
        </w:rPr>
      </w:pPr>
      <w:r w:rsidRPr="00FB68EA">
        <w:rPr>
          <w:rFonts w:ascii="Arial" w:hAnsi="Arial" w:cs="Arial"/>
          <w:b/>
          <w:bCs/>
          <w:sz w:val="26"/>
          <w:szCs w:val="26"/>
        </w:rPr>
        <w:t xml:space="preserve">Lecturer name:  </w:t>
      </w:r>
      <w:r w:rsidRPr="00FB68EA">
        <w:rPr>
          <w:rFonts w:ascii="Arial" w:hAnsi="Arial" w:cs="Arial"/>
          <w:sz w:val="26"/>
          <w:szCs w:val="26"/>
        </w:rPr>
        <w:t>Muhammed Khan</w:t>
      </w:r>
    </w:p>
    <w:p w14:paraId="3B5485B9" w14:textId="77777777" w:rsidR="006A6EC3" w:rsidRPr="00FB68EA" w:rsidRDefault="006A6EC3">
      <w:pPr>
        <w:spacing w:after="180"/>
        <w:rPr>
          <w:rFonts w:ascii="Arial" w:hAnsi="Arial" w:cs="Arial"/>
          <w:b/>
          <w:bCs/>
          <w:sz w:val="26"/>
          <w:szCs w:val="26"/>
        </w:rPr>
      </w:pPr>
    </w:p>
    <w:p w14:paraId="4D84C324" w14:textId="6C10CA15" w:rsidR="00ED0498" w:rsidRPr="00FB68EA" w:rsidRDefault="00000000" w:rsidP="006A6EC3">
      <w:pPr>
        <w:spacing w:after="180"/>
        <w:jc w:val="center"/>
        <w:rPr>
          <w:rFonts w:ascii="Arial" w:hAnsi="Arial" w:cs="Arial"/>
          <w:sz w:val="26"/>
          <w:szCs w:val="26"/>
        </w:rPr>
      </w:pPr>
      <w:r w:rsidRPr="00FB68EA">
        <w:rPr>
          <w:rFonts w:ascii="Arial" w:hAnsi="Arial" w:cs="Arial"/>
          <w:b/>
          <w:bCs/>
          <w:sz w:val="26"/>
          <w:szCs w:val="26"/>
        </w:rPr>
        <w:t xml:space="preserve">Submitted on:  </w:t>
      </w:r>
      <w:r w:rsidRPr="00FB68EA">
        <w:rPr>
          <w:rFonts w:ascii="Arial" w:hAnsi="Arial" w:cs="Arial"/>
          <w:sz w:val="26"/>
          <w:szCs w:val="26"/>
        </w:rPr>
        <w:t>1</w:t>
      </w:r>
      <w:r w:rsidR="00E360D4">
        <w:rPr>
          <w:rFonts w:ascii="Arial" w:hAnsi="Arial" w:cs="Arial"/>
          <w:sz w:val="26"/>
          <w:szCs w:val="26"/>
        </w:rPr>
        <w:t>3</w:t>
      </w:r>
      <w:r w:rsidRPr="00FB68EA">
        <w:rPr>
          <w:rFonts w:ascii="Arial" w:hAnsi="Arial" w:cs="Arial"/>
          <w:sz w:val="26"/>
          <w:szCs w:val="26"/>
        </w:rPr>
        <w:t>/08/</w:t>
      </w:r>
      <w:r w:rsidR="00FB68EA" w:rsidRPr="00FB68EA">
        <w:rPr>
          <w:rFonts w:ascii="Arial" w:hAnsi="Arial" w:cs="Arial"/>
          <w:sz w:val="26"/>
          <w:szCs w:val="26"/>
        </w:rPr>
        <w:t>20</w:t>
      </w:r>
      <w:r w:rsidRPr="00FB68EA">
        <w:rPr>
          <w:rFonts w:ascii="Arial" w:hAnsi="Arial" w:cs="Arial"/>
          <w:sz w:val="26"/>
          <w:szCs w:val="26"/>
        </w:rPr>
        <w:t>26</w:t>
      </w:r>
    </w:p>
    <w:p w14:paraId="793F1790" w14:textId="77777777" w:rsidR="00ED0498" w:rsidRPr="00FB68EA" w:rsidRDefault="00000000">
      <w:pPr>
        <w:rPr>
          <w:rFonts w:ascii="Arial" w:hAnsi="Arial" w:cs="Arial"/>
          <w:sz w:val="22"/>
          <w:szCs w:val="22"/>
        </w:rPr>
      </w:pPr>
      <w:r w:rsidRPr="00FB68EA">
        <w:rPr>
          <w:rFonts w:ascii="Arial" w:hAnsi="Arial" w:cs="Arial"/>
          <w:sz w:val="22"/>
          <w:szCs w:val="22"/>
        </w:rPr>
        <w:br w:type="page"/>
      </w:r>
    </w:p>
    <w:sdt>
      <w:sdtPr>
        <w:rPr>
          <w:rFonts w:ascii="Arial" w:eastAsia="Times New Roman" w:hAnsi="Arial" w:cs="Arial"/>
          <w:color w:val="auto"/>
          <w:sz w:val="30"/>
          <w:szCs w:val="30"/>
        </w:rPr>
        <w:id w:val="-1684671944"/>
        <w:docPartObj>
          <w:docPartGallery w:val="Table of Contents"/>
          <w:docPartUnique/>
        </w:docPartObj>
      </w:sdtPr>
      <w:sdtEndPr>
        <w:rPr>
          <w:b/>
          <w:bCs/>
          <w:sz w:val="22"/>
          <w:szCs w:val="22"/>
        </w:rPr>
      </w:sdtEndPr>
      <w:sdtContent>
        <w:p w14:paraId="5E465705" w14:textId="454A4877" w:rsidR="006A6EC3" w:rsidRPr="00FB68EA" w:rsidRDefault="006A6EC3" w:rsidP="006A6EC3">
          <w:pPr>
            <w:pStyle w:val="TOCHeading"/>
            <w:spacing w:line="240" w:lineRule="auto"/>
            <w:jc w:val="center"/>
            <w:rPr>
              <w:rFonts w:ascii="Arial" w:hAnsi="Arial" w:cs="Arial"/>
              <w:sz w:val="30"/>
              <w:szCs w:val="30"/>
            </w:rPr>
          </w:pPr>
          <w:r w:rsidRPr="00FB68EA">
            <w:rPr>
              <w:rFonts w:ascii="Arial" w:hAnsi="Arial" w:cs="Arial"/>
              <w:sz w:val="30"/>
              <w:szCs w:val="30"/>
            </w:rPr>
            <w:t>Table of Contents</w:t>
          </w:r>
        </w:p>
        <w:p w14:paraId="600125C8" w14:textId="5E9549CF" w:rsidR="006A6EC3" w:rsidRPr="00FB68EA" w:rsidRDefault="006A6EC3" w:rsidP="006A6EC3">
          <w:pPr>
            <w:pStyle w:val="TOC1"/>
            <w:rPr>
              <w:rFonts w:ascii="Arial" w:eastAsiaTheme="minorEastAsia" w:hAnsi="Arial" w:cs="Arial"/>
              <w:noProof/>
              <w:kern w:val="2"/>
              <w:sz w:val="22"/>
              <w:szCs w:val="22"/>
              <w14:ligatures w14:val="standardContextual"/>
            </w:rPr>
          </w:pPr>
          <w:r w:rsidRPr="00FB68EA">
            <w:rPr>
              <w:rFonts w:ascii="Arial" w:hAnsi="Arial" w:cs="Arial"/>
              <w:sz w:val="22"/>
              <w:szCs w:val="22"/>
            </w:rPr>
            <w:fldChar w:fldCharType="begin"/>
          </w:r>
          <w:r w:rsidRPr="00FB68EA">
            <w:rPr>
              <w:rFonts w:ascii="Arial" w:hAnsi="Arial" w:cs="Arial"/>
              <w:sz w:val="22"/>
              <w:szCs w:val="22"/>
            </w:rPr>
            <w:instrText xml:space="preserve"> TOC \o "1-3" \h \z \u </w:instrText>
          </w:r>
          <w:r w:rsidRPr="00FB68EA">
            <w:rPr>
              <w:rFonts w:ascii="Arial" w:hAnsi="Arial" w:cs="Arial"/>
              <w:sz w:val="22"/>
              <w:szCs w:val="22"/>
            </w:rPr>
            <w:fldChar w:fldCharType="separate"/>
          </w:r>
          <w:hyperlink w:anchor="_Toc237439087" w:history="1">
            <w:r w:rsidRPr="00FB68EA">
              <w:rPr>
                <w:rStyle w:val="Hyperlink"/>
                <w:rFonts w:ascii="Arial" w:hAnsi="Arial" w:cs="Arial"/>
                <w:noProof/>
                <w:sz w:val="22"/>
                <w:szCs w:val="22"/>
              </w:rPr>
              <w:t>Abstract</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_Toc237439087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3</w:t>
            </w:r>
            <w:r w:rsidRPr="00FB68EA">
              <w:rPr>
                <w:rFonts w:ascii="Arial" w:hAnsi="Arial" w:cs="Arial"/>
                <w:noProof/>
                <w:webHidden/>
                <w:sz w:val="22"/>
                <w:szCs w:val="22"/>
              </w:rPr>
              <w:fldChar w:fldCharType="end"/>
            </w:r>
          </w:hyperlink>
        </w:p>
        <w:p w14:paraId="27135388" w14:textId="721ED82B"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088" w:history="1">
            <w:r w:rsidRPr="00FB68EA">
              <w:rPr>
                <w:rStyle w:val="Hyperlink"/>
                <w:rFonts w:ascii="Arial" w:hAnsi="Arial" w:cs="Arial"/>
                <w:noProof/>
                <w:sz w:val="22"/>
                <w:szCs w:val="22"/>
              </w:rPr>
              <w:t>1. Introduction</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_Toc237439088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3</w:t>
            </w:r>
            <w:r w:rsidRPr="00FB68EA">
              <w:rPr>
                <w:rFonts w:ascii="Arial" w:hAnsi="Arial" w:cs="Arial"/>
                <w:noProof/>
                <w:webHidden/>
                <w:sz w:val="22"/>
                <w:szCs w:val="22"/>
              </w:rPr>
              <w:fldChar w:fldCharType="end"/>
            </w:r>
          </w:hyperlink>
        </w:p>
        <w:p w14:paraId="2B785522" w14:textId="58CF56B6"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089" w:history="1">
            <w:r w:rsidRPr="00FB68EA">
              <w:rPr>
                <w:rStyle w:val="Hyperlink"/>
                <w:rFonts w:ascii="Arial" w:hAnsi="Arial" w:cs="Arial"/>
                <w:noProof/>
                <w:sz w:val="22"/>
                <w:szCs w:val="22"/>
              </w:rPr>
              <w:t>2. Background</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_Toc237439089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4</w:t>
            </w:r>
            <w:r w:rsidRPr="00FB68EA">
              <w:rPr>
                <w:rFonts w:ascii="Arial" w:hAnsi="Arial" w:cs="Arial"/>
                <w:noProof/>
                <w:webHidden/>
                <w:sz w:val="22"/>
                <w:szCs w:val="22"/>
              </w:rPr>
              <w:fldChar w:fldCharType="end"/>
            </w:r>
          </w:hyperlink>
        </w:p>
        <w:p w14:paraId="4266D331" w14:textId="646AF464"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090" w:history="1">
            <w:r w:rsidRPr="00FB68EA">
              <w:rPr>
                <w:rStyle w:val="Hyperlink"/>
                <w:rFonts w:ascii="Arial" w:hAnsi="Arial" w:cs="Arial"/>
                <w:noProof/>
                <w:sz w:val="22"/>
                <w:szCs w:val="22"/>
              </w:rPr>
              <w:t>3. Methods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_Toc237439090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5</w:t>
            </w:r>
            <w:r w:rsidRPr="00FB68EA">
              <w:rPr>
                <w:rFonts w:ascii="Arial" w:hAnsi="Arial" w:cs="Arial"/>
                <w:noProof/>
                <w:webHidden/>
                <w:sz w:val="22"/>
                <w:szCs w:val="22"/>
              </w:rPr>
              <w:fldChar w:fldCharType="end"/>
            </w:r>
          </w:hyperlink>
        </w:p>
        <w:p w14:paraId="7DC0D078" w14:textId="7178E520"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091" w:history="1">
            <w:r w:rsidRPr="00FB68EA">
              <w:rPr>
                <w:rStyle w:val="Hyperlink"/>
                <w:rFonts w:ascii="Arial" w:hAnsi="Arial" w:cs="Arial"/>
                <w:noProof/>
                <w:sz w:val="22"/>
                <w:szCs w:val="22"/>
              </w:rPr>
              <w:t>3.1 Design</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_Toc237439091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5</w:t>
            </w:r>
            <w:r w:rsidRPr="00FB68EA">
              <w:rPr>
                <w:rFonts w:ascii="Arial" w:hAnsi="Arial" w:cs="Arial"/>
                <w:noProof/>
                <w:webHidden/>
                <w:sz w:val="22"/>
                <w:szCs w:val="22"/>
              </w:rPr>
              <w:fldChar w:fldCharType="end"/>
            </w:r>
          </w:hyperlink>
        </w:p>
        <w:p w14:paraId="690A8B58" w14:textId="463E3FBB"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092" w:history="1">
            <w:r w:rsidRPr="00FB68EA">
              <w:rPr>
                <w:rStyle w:val="Hyperlink"/>
                <w:rFonts w:ascii="Arial" w:hAnsi="Arial" w:cs="Arial"/>
                <w:noProof/>
                <w:sz w:val="22"/>
                <w:szCs w:val="22"/>
              </w:rPr>
              <w:t>3.2 Search strategy</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_Toc237439092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6</w:t>
            </w:r>
            <w:r w:rsidRPr="00FB68EA">
              <w:rPr>
                <w:rFonts w:ascii="Arial" w:hAnsi="Arial" w:cs="Arial"/>
                <w:noProof/>
                <w:webHidden/>
                <w:sz w:val="22"/>
                <w:szCs w:val="22"/>
              </w:rPr>
              <w:fldChar w:fldCharType="end"/>
            </w:r>
          </w:hyperlink>
        </w:p>
        <w:p w14:paraId="5490A3A2" w14:textId="27D60837"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093" w:history="1">
            <w:r w:rsidRPr="00FB68EA">
              <w:rPr>
                <w:rStyle w:val="Hyperlink"/>
                <w:rFonts w:ascii="Arial" w:hAnsi="Arial" w:cs="Arial"/>
                <w:noProof/>
                <w:sz w:val="22"/>
                <w:szCs w:val="22"/>
              </w:rPr>
              <w:t>3.3 Eligibility criteria</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_Toc237439093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6</w:t>
            </w:r>
            <w:r w:rsidRPr="00FB68EA">
              <w:rPr>
                <w:rFonts w:ascii="Arial" w:hAnsi="Arial" w:cs="Arial"/>
                <w:noProof/>
                <w:webHidden/>
                <w:sz w:val="22"/>
                <w:szCs w:val="22"/>
              </w:rPr>
              <w:fldChar w:fldCharType="end"/>
            </w:r>
          </w:hyperlink>
        </w:p>
        <w:p w14:paraId="4BE25092" w14:textId="51A20199"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094" w:history="1">
            <w:r w:rsidRPr="00FB68EA">
              <w:rPr>
                <w:rStyle w:val="Hyperlink"/>
                <w:rFonts w:ascii="Arial" w:hAnsi="Arial" w:cs="Arial"/>
                <w:noProof/>
                <w:sz w:val="22"/>
                <w:szCs w:val="22"/>
              </w:rPr>
              <w:t>3.4 Screening and study selection</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_Toc237439094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6</w:t>
            </w:r>
            <w:r w:rsidRPr="00FB68EA">
              <w:rPr>
                <w:rFonts w:ascii="Arial" w:hAnsi="Arial" w:cs="Arial"/>
                <w:noProof/>
                <w:webHidden/>
                <w:sz w:val="22"/>
                <w:szCs w:val="22"/>
              </w:rPr>
              <w:fldChar w:fldCharType="end"/>
            </w:r>
          </w:hyperlink>
        </w:p>
        <w:p w14:paraId="4439DF42" w14:textId="36E9C82D"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095" w:history="1">
            <w:r w:rsidRPr="00FB68EA">
              <w:rPr>
                <w:rStyle w:val="Hyperlink"/>
                <w:rFonts w:ascii="Arial" w:hAnsi="Arial" w:cs="Arial"/>
                <w:noProof/>
                <w:sz w:val="22"/>
                <w:szCs w:val="22"/>
              </w:rPr>
              <w:t>3.5 Data charting and analysis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_Toc237439095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6</w:t>
            </w:r>
            <w:r w:rsidRPr="00FB68EA">
              <w:rPr>
                <w:rFonts w:ascii="Arial" w:hAnsi="Arial" w:cs="Arial"/>
                <w:noProof/>
                <w:webHidden/>
                <w:sz w:val="22"/>
                <w:szCs w:val="22"/>
              </w:rPr>
              <w:fldChar w:fldCharType="end"/>
            </w:r>
          </w:hyperlink>
        </w:p>
        <w:p w14:paraId="7B36C83B" w14:textId="47EFA37F"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096" w:history="1">
            <w:r w:rsidRPr="00FB68EA">
              <w:rPr>
                <w:rStyle w:val="Hyperlink"/>
                <w:rFonts w:ascii="Arial" w:hAnsi="Arial" w:cs="Arial"/>
                <w:noProof/>
                <w:sz w:val="22"/>
                <w:szCs w:val="22"/>
              </w:rPr>
              <w:t>3.6 Ethical considerations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_Toc237439096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7</w:t>
            </w:r>
            <w:r w:rsidRPr="00FB68EA">
              <w:rPr>
                <w:rFonts w:ascii="Arial" w:hAnsi="Arial" w:cs="Arial"/>
                <w:noProof/>
                <w:webHidden/>
                <w:sz w:val="22"/>
                <w:szCs w:val="22"/>
              </w:rPr>
              <w:fldChar w:fldCharType="end"/>
            </w:r>
          </w:hyperlink>
        </w:p>
        <w:p w14:paraId="7FAC76CA" w14:textId="36740BEE"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097" w:history="1">
            <w:r w:rsidRPr="00FB68EA">
              <w:rPr>
                <w:rStyle w:val="Hyperlink"/>
                <w:rFonts w:ascii="Arial" w:hAnsi="Arial" w:cs="Arial"/>
                <w:noProof/>
                <w:sz w:val="22"/>
                <w:szCs w:val="22"/>
              </w:rPr>
              <w:t>4. Results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_Toc237439097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7</w:t>
            </w:r>
            <w:r w:rsidRPr="00FB68EA">
              <w:rPr>
                <w:rFonts w:ascii="Arial" w:hAnsi="Arial" w:cs="Arial"/>
                <w:noProof/>
                <w:webHidden/>
                <w:sz w:val="22"/>
                <w:szCs w:val="22"/>
              </w:rPr>
              <w:fldChar w:fldCharType="end"/>
            </w:r>
          </w:hyperlink>
        </w:p>
        <w:p w14:paraId="1656313A" w14:textId="5104D8B9"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098" w:history="1">
            <w:r w:rsidRPr="00FB68EA">
              <w:rPr>
                <w:rStyle w:val="Hyperlink"/>
                <w:rFonts w:ascii="Arial" w:hAnsi="Arial" w:cs="Arial"/>
                <w:noProof/>
                <w:sz w:val="22"/>
                <w:szCs w:val="22"/>
              </w:rPr>
              <w:t>4.1 PRISMA-ScR flow summary</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_Toc237439098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7</w:t>
            </w:r>
            <w:r w:rsidRPr="00FB68EA">
              <w:rPr>
                <w:rFonts w:ascii="Arial" w:hAnsi="Arial" w:cs="Arial"/>
                <w:noProof/>
                <w:webHidden/>
                <w:sz w:val="22"/>
                <w:szCs w:val="22"/>
              </w:rPr>
              <w:fldChar w:fldCharType="end"/>
            </w:r>
          </w:hyperlink>
        </w:p>
        <w:p w14:paraId="03AB2BB5" w14:textId="571A3A93"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099" w:history="1">
            <w:r w:rsidRPr="00FB68EA">
              <w:rPr>
                <w:rStyle w:val="Hyperlink"/>
                <w:rFonts w:ascii="Arial" w:hAnsi="Arial" w:cs="Arial"/>
                <w:noProof/>
                <w:sz w:val="22"/>
                <w:szCs w:val="22"/>
              </w:rPr>
              <w:t>4.2 Characteristics of included studies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_Toc237439099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7</w:t>
            </w:r>
            <w:r w:rsidRPr="00FB68EA">
              <w:rPr>
                <w:rFonts w:ascii="Arial" w:hAnsi="Arial" w:cs="Arial"/>
                <w:noProof/>
                <w:webHidden/>
                <w:sz w:val="22"/>
                <w:szCs w:val="22"/>
              </w:rPr>
              <w:fldChar w:fldCharType="end"/>
            </w:r>
          </w:hyperlink>
        </w:p>
        <w:p w14:paraId="58B8639E" w14:textId="2A43C6B0"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00" w:history="1">
            <w:r w:rsidRPr="00FB68EA">
              <w:rPr>
                <w:rStyle w:val="Hyperlink"/>
                <w:rFonts w:ascii="Arial" w:hAnsi="Arial" w:cs="Arial"/>
                <w:noProof/>
                <w:sz w:val="22"/>
                <w:szCs w:val="22"/>
              </w:rPr>
              <w:t>4.3 Thematic analysis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_Toc237439100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9</w:t>
            </w:r>
            <w:r w:rsidRPr="00FB68EA">
              <w:rPr>
                <w:rFonts w:ascii="Arial" w:hAnsi="Arial" w:cs="Arial"/>
                <w:noProof/>
                <w:webHidden/>
                <w:sz w:val="22"/>
                <w:szCs w:val="22"/>
              </w:rPr>
              <w:fldChar w:fldCharType="end"/>
            </w:r>
          </w:hyperlink>
        </w:p>
        <w:p w14:paraId="34D28C53" w14:textId="3CA0F656"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01" w:history="1">
            <w:r w:rsidRPr="00FB68EA">
              <w:rPr>
                <w:rStyle w:val="Hyperlink"/>
                <w:rFonts w:ascii="Arial" w:hAnsi="Arial" w:cs="Arial"/>
                <w:noProof/>
                <w:sz w:val="22"/>
                <w:szCs w:val="22"/>
              </w:rPr>
              <w:t>Theme 1: Psychological morbidity is persistent, patterned and under-recognised</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_Toc237439101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9</w:t>
            </w:r>
            <w:r w:rsidRPr="00FB68EA">
              <w:rPr>
                <w:rFonts w:ascii="Arial" w:hAnsi="Arial" w:cs="Arial"/>
                <w:noProof/>
                <w:webHidden/>
                <w:sz w:val="22"/>
                <w:szCs w:val="22"/>
              </w:rPr>
              <w:fldChar w:fldCharType="end"/>
            </w:r>
          </w:hyperlink>
        </w:p>
        <w:p w14:paraId="0C5E2386" w14:textId="401A9EEE"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02" w:history="1">
            <w:r w:rsidRPr="00FB68EA">
              <w:rPr>
                <w:rStyle w:val="Hyperlink"/>
                <w:rFonts w:ascii="Arial" w:hAnsi="Arial" w:cs="Arial"/>
                <w:noProof/>
                <w:sz w:val="22"/>
                <w:szCs w:val="22"/>
              </w:rPr>
              <w:t>Theme 2: Support is stratified in principle but unevenly delivered in practice</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_Toc237439102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9</w:t>
            </w:r>
            <w:r w:rsidRPr="00FB68EA">
              <w:rPr>
                <w:rFonts w:ascii="Arial" w:hAnsi="Arial" w:cs="Arial"/>
                <w:noProof/>
                <w:webHidden/>
                <w:sz w:val="22"/>
                <w:szCs w:val="22"/>
              </w:rPr>
              <w:fldChar w:fldCharType="end"/>
            </w:r>
          </w:hyperlink>
        </w:p>
        <w:p w14:paraId="12857737" w14:textId="0C160692"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03" w:history="1">
            <w:r w:rsidRPr="00FB68EA">
              <w:rPr>
                <w:rStyle w:val="Hyperlink"/>
                <w:rFonts w:ascii="Arial" w:hAnsi="Arial" w:cs="Arial"/>
                <w:noProof/>
                <w:sz w:val="22"/>
                <w:szCs w:val="22"/>
              </w:rPr>
              <w:t>Theme 3: Identification of need outpaces onward provision</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_Toc237439103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9</w:t>
            </w:r>
            <w:r w:rsidRPr="00FB68EA">
              <w:rPr>
                <w:rFonts w:ascii="Arial" w:hAnsi="Arial" w:cs="Arial"/>
                <w:noProof/>
                <w:webHidden/>
                <w:sz w:val="22"/>
                <w:szCs w:val="22"/>
              </w:rPr>
              <w:fldChar w:fldCharType="end"/>
            </w:r>
          </w:hyperlink>
        </w:p>
        <w:p w14:paraId="253B40EA" w14:textId="54AE591D"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04" w:history="1">
            <w:r w:rsidRPr="00FB68EA">
              <w:rPr>
                <w:rStyle w:val="Hyperlink"/>
                <w:rFonts w:ascii="Arial" w:hAnsi="Arial" w:cs="Arial"/>
                <w:noProof/>
                <w:sz w:val="22"/>
                <w:szCs w:val="22"/>
              </w:rPr>
              <w:t>Theme 4: Reported benefits are encouraging but evidentially fragile</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_Toc237439104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10</w:t>
            </w:r>
            <w:r w:rsidRPr="00FB68EA">
              <w:rPr>
                <w:rFonts w:ascii="Arial" w:hAnsi="Arial" w:cs="Arial"/>
                <w:noProof/>
                <w:webHidden/>
                <w:sz w:val="22"/>
                <w:szCs w:val="22"/>
              </w:rPr>
              <w:fldChar w:fldCharType="end"/>
            </w:r>
          </w:hyperlink>
        </w:p>
        <w:p w14:paraId="6D3612DE" w14:textId="192E61C0"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05" w:history="1">
            <w:r w:rsidRPr="00FB68EA">
              <w:rPr>
                <w:rStyle w:val="Hyperlink"/>
                <w:rFonts w:ascii="Arial" w:hAnsi="Arial" w:cs="Arial"/>
                <w:noProof/>
                <w:sz w:val="22"/>
                <w:szCs w:val="22"/>
              </w:rPr>
              <w:t>Theme 5: Structural gaps in equity, workforce and the drift towards self-management</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_Toc237439105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10</w:t>
            </w:r>
            <w:r w:rsidRPr="00FB68EA">
              <w:rPr>
                <w:rFonts w:ascii="Arial" w:hAnsi="Arial" w:cs="Arial"/>
                <w:noProof/>
                <w:webHidden/>
                <w:sz w:val="22"/>
                <w:szCs w:val="22"/>
              </w:rPr>
              <w:fldChar w:fldCharType="end"/>
            </w:r>
          </w:hyperlink>
        </w:p>
        <w:p w14:paraId="4E7EC1E3" w14:textId="02128D08"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106" w:history="1">
            <w:r w:rsidRPr="00FB68EA">
              <w:rPr>
                <w:rStyle w:val="Hyperlink"/>
                <w:rFonts w:ascii="Arial" w:hAnsi="Arial" w:cs="Arial"/>
                <w:noProof/>
                <w:sz w:val="22"/>
                <w:szCs w:val="22"/>
              </w:rPr>
              <w:t>5. Discussion</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_Toc237439106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10</w:t>
            </w:r>
            <w:r w:rsidRPr="00FB68EA">
              <w:rPr>
                <w:rFonts w:ascii="Arial" w:hAnsi="Arial" w:cs="Arial"/>
                <w:noProof/>
                <w:webHidden/>
                <w:sz w:val="22"/>
                <w:szCs w:val="22"/>
              </w:rPr>
              <w:fldChar w:fldCharType="end"/>
            </w:r>
          </w:hyperlink>
        </w:p>
        <w:p w14:paraId="6FE10963" w14:textId="0612577A"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107" w:history="1">
            <w:r w:rsidRPr="00FB68EA">
              <w:rPr>
                <w:rStyle w:val="Hyperlink"/>
                <w:rFonts w:ascii="Arial" w:hAnsi="Arial" w:cs="Arial"/>
                <w:noProof/>
                <w:sz w:val="22"/>
                <w:szCs w:val="22"/>
              </w:rPr>
              <w:t>6. Limitations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_Toc237439107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12</w:t>
            </w:r>
            <w:r w:rsidRPr="00FB68EA">
              <w:rPr>
                <w:rFonts w:ascii="Arial" w:hAnsi="Arial" w:cs="Arial"/>
                <w:noProof/>
                <w:webHidden/>
                <w:sz w:val="22"/>
                <w:szCs w:val="22"/>
              </w:rPr>
              <w:fldChar w:fldCharType="end"/>
            </w:r>
          </w:hyperlink>
        </w:p>
        <w:p w14:paraId="273218B2" w14:textId="460AE4E3"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108" w:history="1">
            <w:r w:rsidRPr="00FB68EA">
              <w:rPr>
                <w:rStyle w:val="Hyperlink"/>
                <w:rFonts w:ascii="Arial" w:hAnsi="Arial" w:cs="Arial"/>
                <w:noProof/>
                <w:sz w:val="22"/>
                <w:szCs w:val="22"/>
              </w:rPr>
              <w:t>7. Conclusion</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_Toc237439108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12</w:t>
            </w:r>
            <w:r w:rsidRPr="00FB68EA">
              <w:rPr>
                <w:rFonts w:ascii="Arial" w:hAnsi="Arial" w:cs="Arial"/>
                <w:noProof/>
                <w:webHidden/>
                <w:sz w:val="22"/>
                <w:szCs w:val="22"/>
              </w:rPr>
              <w:fldChar w:fldCharType="end"/>
            </w:r>
          </w:hyperlink>
        </w:p>
        <w:p w14:paraId="47EA36B6" w14:textId="127608B9"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109" w:history="1">
            <w:r w:rsidRPr="00FB68EA">
              <w:rPr>
                <w:rStyle w:val="Hyperlink"/>
                <w:rFonts w:ascii="Arial" w:hAnsi="Arial" w:cs="Arial"/>
                <w:noProof/>
                <w:sz w:val="22"/>
                <w:szCs w:val="22"/>
              </w:rPr>
              <w:t>8. Recommendations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_Toc237439109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13</w:t>
            </w:r>
            <w:r w:rsidRPr="00FB68EA">
              <w:rPr>
                <w:rFonts w:ascii="Arial" w:hAnsi="Arial" w:cs="Arial"/>
                <w:noProof/>
                <w:webHidden/>
                <w:sz w:val="22"/>
                <w:szCs w:val="22"/>
              </w:rPr>
              <w:fldChar w:fldCharType="end"/>
            </w:r>
          </w:hyperlink>
        </w:p>
        <w:p w14:paraId="7F41B9FB" w14:textId="12811A1D"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10" w:history="1">
            <w:r w:rsidRPr="00FB68EA">
              <w:rPr>
                <w:rStyle w:val="Hyperlink"/>
                <w:rFonts w:ascii="Arial" w:hAnsi="Arial" w:cs="Arial"/>
                <w:noProof/>
                <w:sz w:val="22"/>
                <w:szCs w:val="22"/>
              </w:rPr>
              <w:t>8.1 Future research</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_Toc237439110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13</w:t>
            </w:r>
            <w:r w:rsidRPr="00FB68EA">
              <w:rPr>
                <w:rFonts w:ascii="Arial" w:hAnsi="Arial" w:cs="Arial"/>
                <w:noProof/>
                <w:webHidden/>
                <w:sz w:val="22"/>
                <w:szCs w:val="22"/>
              </w:rPr>
              <w:fldChar w:fldCharType="end"/>
            </w:r>
          </w:hyperlink>
        </w:p>
        <w:p w14:paraId="1788D888" w14:textId="35A749FD"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11" w:history="1">
            <w:r w:rsidRPr="00FB68EA">
              <w:rPr>
                <w:rStyle w:val="Hyperlink"/>
                <w:rFonts w:ascii="Arial" w:hAnsi="Arial" w:cs="Arial"/>
                <w:noProof/>
                <w:sz w:val="22"/>
                <w:szCs w:val="22"/>
              </w:rPr>
              <w:t>8.2 Clinical practice</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_Toc237439111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13</w:t>
            </w:r>
            <w:r w:rsidRPr="00FB68EA">
              <w:rPr>
                <w:rFonts w:ascii="Arial" w:hAnsi="Arial" w:cs="Arial"/>
                <w:noProof/>
                <w:webHidden/>
                <w:sz w:val="22"/>
                <w:szCs w:val="22"/>
              </w:rPr>
              <w:fldChar w:fldCharType="end"/>
            </w:r>
          </w:hyperlink>
        </w:p>
        <w:p w14:paraId="77E7A71B" w14:textId="1A03EAE1"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12" w:history="1">
            <w:r w:rsidRPr="00FB68EA">
              <w:rPr>
                <w:rStyle w:val="Hyperlink"/>
                <w:rFonts w:ascii="Arial" w:hAnsi="Arial" w:cs="Arial"/>
                <w:noProof/>
                <w:sz w:val="22"/>
                <w:szCs w:val="22"/>
              </w:rPr>
              <w:t>8.3 UK health policy</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_Toc237439112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13</w:t>
            </w:r>
            <w:r w:rsidRPr="00FB68EA">
              <w:rPr>
                <w:rFonts w:ascii="Arial" w:hAnsi="Arial" w:cs="Arial"/>
                <w:noProof/>
                <w:webHidden/>
                <w:sz w:val="22"/>
                <w:szCs w:val="22"/>
              </w:rPr>
              <w:fldChar w:fldCharType="end"/>
            </w:r>
          </w:hyperlink>
        </w:p>
        <w:p w14:paraId="0D029E83" w14:textId="462722F6"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13" w:history="1">
            <w:r w:rsidRPr="00FB68EA">
              <w:rPr>
                <w:rStyle w:val="Hyperlink"/>
                <w:rFonts w:ascii="Arial" w:hAnsi="Arial" w:cs="Arial"/>
                <w:noProof/>
                <w:sz w:val="22"/>
                <w:szCs w:val="22"/>
              </w:rPr>
              <w:t>8.4 NHS services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_Toc237439113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13</w:t>
            </w:r>
            <w:r w:rsidRPr="00FB68EA">
              <w:rPr>
                <w:rFonts w:ascii="Arial" w:hAnsi="Arial" w:cs="Arial"/>
                <w:noProof/>
                <w:webHidden/>
                <w:sz w:val="22"/>
                <w:szCs w:val="22"/>
              </w:rPr>
              <w:fldChar w:fldCharType="end"/>
            </w:r>
          </w:hyperlink>
        </w:p>
        <w:p w14:paraId="3887CA0D" w14:textId="35A31E99" w:rsidR="006A6EC3" w:rsidRPr="00FB68EA" w:rsidRDefault="006A6EC3">
          <w:pPr>
            <w:pStyle w:val="TOC2"/>
            <w:tabs>
              <w:tab w:val="right" w:leader="dot" w:pos="9016"/>
            </w:tabs>
            <w:rPr>
              <w:rFonts w:ascii="Arial" w:eastAsiaTheme="minorEastAsia" w:hAnsi="Arial" w:cs="Arial"/>
              <w:noProof/>
              <w:kern w:val="2"/>
              <w:sz w:val="22"/>
              <w:szCs w:val="22"/>
              <w14:ligatures w14:val="standardContextual"/>
            </w:rPr>
          </w:pPr>
          <w:hyperlink w:anchor="_Toc237439114" w:history="1">
            <w:r w:rsidRPr="00FB68EA">
              <w:rPr>
                <w:rStyle w:val="Hyperlink"/>
                <w:rFonts w:ascii="Arial" w:hAnsi="Arial" w:cs="Arial"/>
                <w:noProof/>
                <w:sz w:val="22"/>
                <w:szCs w:val="22"/>
              </w:rPr>
              <w:t>8.5 Professional education</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_Toc237439114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13</w:t>
            </w:r>
            <w:r w:rsidRPr="00FB68EA">
              <w:rPr>
                <w:rFonts w:ascii="Arial" w:hAnsi="Arial" w:cs="Arial"/>
                <w:noProof/>
                <w:webHidden/>
                <w:sz w:val="22"/>
                <w:szCs w:val="22"/>
              </w:rPr>
              <w:fldChar w:fldCharType="end"/>
            </w:r>
          </w:hyperlink>
        </w:p>
        <w:p w14:paraId="4C5F32FB" w14:textId="3088F4CF" w:rsidR="006A6EC3" w:rsidRPr="00FB68EA" w:rsidRDefault="006A6EC3" w:rsidP="006A6EC3">
          <w:pPr>
            <w:pStyle w:val="TOC1"/>
            <w:rPr>
              <w:rFonts w:ascii="Arial" w:eastAsiaTheme="minorEastAsia" w:hAnsi="Arial" w:cs="Arial"/>
              <w:noProof/>
              <w:kern w:val="2"/>
              <w:sz w:val="22"/>
              <w:szCs w:val="22"/>
              <w14:ligatures w14:val="standardContextual"/>
            </w:rPr>
          </w:pPr>
          <w:hyperlink w:anchor="_Toc237439115" w:history="1">
            <w:r w:rsidRPr="00FB68EA">
              <w:rPr>
                <w:rStyle w:val="Hyperlink"/>
                <w:rFonts w:ascii="Arial" w:hAnsi="Arial" w:cs="Arial"/>
                <w:noProof/>
                <w:sz w:val="22"/>
                <w:szCs w:val="22"/>
              </w:rPr>
              <w:t>References</w:t>
            </w:r>
            <w:r w:rsidRPr="00FB68EA">
              <w:rPr>
                <w:rFonts w:ascii="Arial" w:hAnsi="Arial" w:cs="Arial"/>
                <w:noProof/>
                <w:webHidden/>
                <w:sz w:val="22"/>
                <w:szCs w:val="22"/>
              </w:rPr>
              <w:tab/>
            </w:r>
            <w:r w:rsidRPr="00FB68EA">
              <w:rPr>
                <w:rFonts w:ascii="Arial" w:hAnsi="Arial" w:cs="Arial"/>
                <w:noProof/>
                <w:webHidden/>
                <w:sz w:val="22"/>
                <w:szCs w:val="22"/>
              </w:rPr>
              <w:fldChar w:fldCharType="begin"/>
            </w:r>
            <w:r w:rsidRPr="00FB68EA">
              <w:rPr>
                <w:rFonts w:ascii="Arial" w:hAnsi="Arial" w:cs="Arial"/>
                <w:noProof/>
                <w:webHidden/>
                <w:sz w:val="22"/>
                <w:szCs w:val="22"/>
              </w:rPr>
              <w:instrText xml:space="preserve"> PAGEREF _Toc237439115 \h </w:instrText>
            </w:r>
            <w:r w:rsidRPr="00FB68EA">
              <w:rPr>
                <w:rFonts w:ascii="Arial" w:hAnsi="Arial" w:cs="Arial"/>
                <w:noProof/>
                <w:webHidden/>
                <w:sz w:val="22"/>
                <w:szCs w:val="22"/>
              </w:rPr>
            </w:r>
            <w:r w:rsidRPr="00FB68EA">
              <w:rPr>
                <w:rFonts w:ascii="Arial" w:hAnsi="Arial" w:cs="Arial"/>
                <w:noProof/>
                <w:webHidden/>
                <w:sz w:val="22"/>
                <w:szCs w:val="22"/>
              </w:rPr>
              <w:fldChar w:fldCharType="separate"/>
            </w:r>
            <w:r w:rsidR="00FB68EA">
              <w:rPr>
                <w:rFonts w:ascii="Arial" w:hAnsi="Arial" w:cs="Arial"/>
                <w:noProof/>
                <w:webHidden/>
                <w:sz w:val="22"/>
                <w:szCs w:val="22"/>
              </w:rPr>
              <w:t>14</w:t>
            </w:r>
            <w:r w:rsidRPr="00FB68EA">
              <w:rPr>
                <w:rFonts w:ascii="Arial" w:hAnsi="Arial" w:cs="Arial"/>
                <w:noProof/>
                <w:webHidden/>
                <w:sz w:val="22"/>
                <w:szCs w:val="22"/>
              </w:rPr>
              <w:fldChar w:fldCharType="end"/>
            </w:r>
          </w:hyperlink>
        </w:p>
        <w:p w14:paraId="4B854F08" w14:textId="7B33B45A" w:rsidR="006A6EC3" w:rsidRPr="00FB68EA" w:rsidRDefault="006A6EC3" w:rsidP="006A6EC3">
          <w:pPr>
            <w:spacing w:line="240" w:lineRule="auto"/>
            <w:rPr>
              <w:rFonts w:ascii="Arial" w:hAnsi="Arial" w:cs="Arial"/>
              <w:sz w:val="22"/>
              <w:szCs w:val="22"/>
            </w:rPr>
          </w:pPr>
          <w:r w:rsidRPr="00FB68EA">
            <w:rPr>
              <w:rFonts w:ascii="Arial" w:hAnsi="Arial" w:cs="Arial"/>
              <w:b/>
              <w:bCs/>
              <w:sz w:val="22"/>
              <w:szCs w:val="22"/>
            </w:rPr>
            <w:fldChar w:fldCharType="end"/>
          </w:r>
        </w:p>
      </w:sdtContent>
    </w:sdt>
    <w:p w14:paraId="6C582F25" w14:textId="5FD36F5D" w:rsidR="00ED0498" w:rsidRPr="00FB68EA" w:rsidRDefault="00ED0498">
      <w:pPr>
        <w:rPr>
          <w:rFonts w:ascii="Arial" w:hAnsi="Arial" w:cs="Arial"/>
          <w:sz w:val="22"/>
          <w:szCs w:val="22"/>
        </w:rPr>
      </w:pPr>
    </w:p>
    <w:p w14:paraId="370A1BD2" w14:textId="77777777" w:rsidR="006A6EC3" w:rsidRPr="00FB68EA" w:rsidRDefault="006A6EC3">
      <w:pPr>
        <w:rPr>
          <w:rFonts w:ascii="Arial" w:hAnsi="Arial" w:cs="Arial"/>
          <w:sz w:val="22"/>
          <w:szCs w:val="22"/>
        </w:rPr>
      </w:pPr>
    </w:p>
    <w:p w14:paraId="0E15A28B" w14:textId="77777777" w:rsidR="00ED0498" w:rsidRPr="00FB68EA" w:rsidRDefault="00000000">
      <w:pPr>
        <w:pStyle w:val="Heading1"/>
        <w:spacing w:before="360" w:after="200"/>
        <w:rPr>
          <w:rFonts w:ascii="Arial" w:hAnsi="Arial" w:cs="Arial"/>
          <w:sz w:val="30"/>
          <w:szCs w:val="30"/>
        </w:rPr>
      </w:pPr>
      <w:bookmarkStart w:id="0" w:name="_Toc237439087"/>
      <w:r w:rsidRPr="00FB68EA">
        <w:rPr>
          <w:rFonts w:ascii="Arial" w:hAnsi="Arial" w:cs="Arial"/>
          <w:b/>
          <w:bCs/>
          <w:color w:val="000000"/>
          <w:sz w:val="30"/>
          <w:szCs w:val="30"/>
        </w:rPr>
        <w:lastRenderedPageBreak/>
        <w:t>Abstract</w:t>
      </w:r>
      <w:bookmarkEnd w:id="0"/>
    </w:p>
    <w:p w14:paraId="6F096AF6"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Background: Breast cancer is the most frequently diagnosed cancer among women in the UK, and improved survival has produced a large population living with its psychological consequences. Although national policy commits the NHS to holistic care, psychological provision remains uneven and its evidence base has not recently been mapped.</w:t>
      </w:r>
    </w:p>
    <w:p w14:paraId="57594F9C"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Aim: To describe how current literature represents psychological support interventions for women with breast cancer in the UK, and to pinpoint gaps in the evidence.</w:t>
      </w:r>
    </w:p>
    <w:p w14:paraId="184FF169"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Methods: PubMed, CINAHL, Scopus and Google Scholar were searched for peer-reviewed, English-language studies about adult women published between 2019 and 2026 and pertinent to UK practice. The review followed Arksey and O’Malley (2005), as refined by the Joanna Briggs Institute, and reported in accordance with PRISMA-ScR. Data were charted and analysed thematically.</w:t>
      </w:r>
    </w:p>
    <w:p w14:paraId="4DED0589"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Results: The five included studies were a matched cohort study, a qualitative interview study, a controlled pilot trial of a nurse-led telephone intervention, a service evaluation of an acceptance and commitment therapy group, and a scoping review of self-directed aftercare. Five themes emerged: the persistence of psychological morbidity, unequal delivery across tiers of care, recognition of need exceeding provision, encouraging but empirically unstable outcomes, and structural disparities in workforce and equity.</w:t>
      </w:r>
    </w:p>
    <w:p w14:paraId="18FA420C"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Conclusion: While the evidence is consistent on the extent of need, it is inconsistent regarding how that need is met. Intervention evidence is sparse, geographically focused and methodologically modest, and no sufficiently powered UK trial with quality of life as the main endpoint was found.</w:t>
      </w:r>
    </w:p>
    <w:p w14:paraId="53C481B4" w14:textId="77777777" w:rsidR="00ED0498" w:rsidRPr="00FB68EA" w:rsidRDefault="00000000">
      <w:pPr>
        <w:pStyle w:val="Heading1"/>
        <w:spacing w:before="360" w:after="200"/>
        <w:rPr>
          <w:rFonts w:ascii="Arial" w:hAnsi="Arial" w:cs="Arial"/>
          <w:sz w:val="30"/>
          <w:szCs w:val="30"/>
        </w:rPr>
      </w:pPr>
      <w:bookmarkStart w:id="1" w:name="_Toc237439088"/>
      <w:r w:rsidRPr="00FB68EA">
        <w:rPr>
          <w:rFonts w:ascii="Arial" w:hAnsi="Arial" w:cs="Arial"/>
          <w:b/>
          <w:bCs/>
          <w:color w:val="000000"/>
          <w:sz w:val="30"/>
          <w:szCs w:val="30"/>
        </w:rPr>
        <w:t>1. Introduction</w:t>
      </w:r>
      <w:bookmarkEnd w:id="1"/>
    </w:p>
    <w:p w14:paraId="34B0AAD6" w14:textId="628E138F"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Breast cancer is a </w:t>
      </w:r>
      <w:r w:rsidR="00C312B6">
        <w:rPr>
          <w:rFonts w:ascii="Arial" w:hAnsi="Arial" w:cs="Arial"/>
          <w:sz w:val="22"/>
          <w:szCs w:val="22"/>
        </w:rPr>
        <w:t xml:space="preserve">cancerous mass </w:t>
      </w:r>
      <w:r w:rsidRPr="00FB68EA">
        <w:rPr>
          <w:rFonts w:ascii="Arial" w:hAnsi="Arial" w:cs="Arial"/>
          <w:sz w:val="22"/>
          <w:szCs w:val="22"/>
        </w:rPr>
        <w:t xml:space="preserve">arising from the </w:t>
      </w:r>
      <w:r w:rsidR="00C312B6">
        <w:rPr>
          <w:rFonts w:ascii="Arial" w:hAnsi="Arial" w:cs="Arial"/>
          <w:sz w:val="22"/>
          <w:szCs w:val="22"/>
        </w:rPr>
        <w:t xml:space="preserve">epidermal </w:t>
      </w:r>
      <w:r w:rsidRPr="00FB68EA">
        <w:rPr>
          <w:rFonts w:ascii="Arial" w:hAnsi="Arial" w:cs="Arial"/>
          <w:sz w:val="22"/>
          <w:szCs w:val="22"/>
        </w:rPr>
        <w:t xml:space="preserve">cells of the breast, most </w:t>
      </w:r>
      <w:r w:rsidR="00A8600F">
        <w:rPr>
          <w:rFonts w:ascii="Arial" w:hAnsi="Arial" w:cs="Arial"/>
          <w:sz w:val="22"/>
          <w:szCs w:val="22"/>
        </w:rPr>
        <w:t xml:space="preserve">frequently </w:t>
      </w:r>
      <w:r w:rsidRPr="00FB68EA">
        <w:rPr>
          <w:rFonts w:ascii="Arial" w:hAnsi="Arial" w:cs="Arial"/>
          <w:sz w:val="22"/>
          <w:szCs w:val="22"/>
        </w:rPr>
        <w:t xml:space="preserve">within the ducts or lobules, and encompasses a biologically heterogeneous group of subtypes with differing prognoses and treatment pathways (Cancer Research UK, 2025). Psychological support, as the term is used here, refers to provision intended to reduce emotional distress and assist adjustment after diagnosis: from the compassionate communication expected of all clinical staff, through structured methods such as psychoeducation delivered by trained non-specialists, to formal therapy given by specialist practitioners (National Institute for Health and Care Excellence (NICE), 2004). Psychology is the subdiscipline concerned with the behavioural, social and psychological </w:t>
      </w:r>
      <w:r w:rsidR="00A8600F">
        <w:rPr>
          <w:rFonts w:ascii="Arial" w:hAnsi="Arial" w:cs="Arial"/>
          <w:sz w:val="22"/>
          <w:szCs w:val="22"/>
        </w:rPr>
        <w:t xml:space="preserve">features </w:t>
      </w:r>
      <w:r w:rsidRPr="00FB68EA">
        <w:rPr>
          <w:rFonts w:ascii="Arial" w:hAnsi="Arial" w:cs="Arial"/>
          <w:sz w:val="22"/>
          <w:szCs w:val="22"/>
        </w:rPr>
        <w:t xml:space="preserve">of cancer. </w:t>
      </w:r>
      <w:r w:rsidRPr="00FB68EA">
        <w:rPr>
          <w:rFonts w:ascii="Arial" w:hAnsi="Arial" w:cs="Arial"/>
          <w:sz w:val="22"/>
          <w:szCs w:val="22"/>
        </w:rPr>
        <w:lastRenderedPageBreak/>
        <w:t>Quality of life is a multi</w:t>
      </w:r>
      <w:r w:rsidR="00A8600F">
        <w:rPr>
          <w:rFonts w:ascii="Arial" w:hAnsi="Arial" w:cs="Arial"/>
          <w:sz w:val="22"/>
          <w:szCs w:val="22"/>
        </w:rPr>
        <w:t>facted</w:t>
      </w:r>
      <w:r w:rsidRPr="00FB68EA">
        <w:rPr>
          <w:rFonts w:ascii="Arial" w:hAnsi="Arial" w:cs="Arial"/>
          <w:sz w:val="22"/>
          <w:szCs w:val="22"/>
        </w:rPr>
        <w:t xml:space="preserve"> construct describing an individual’s perception of their physical, emotional, social and functional wellbeing relative to their expectations, operationalised through validated instruments rather than clinical judgement. A scoping review maps the extent, </w:t>
      </w:r>
      <w:r w:rsidR="00F05390">
        <w:rPr>
          <w:rFonts w:ascii="Arial" w:hAnsi="Arial" w:cs="Arial"/>
          <w:sz w:val="22"/>
          <w:szCs w:val="22"/>
        </w:rPr>
        <w:t xml:space="preserve">variety </w:t>
      </w:r>
      <w:r w:rsidRPr="00FB68EA">
        <w:rPr>
          <w:rFonts w:ascii="Arial" w:hAnsi="Arial" w:cs="Arial"/>
          <w:sz w:val="22"/>
          <w:szCs w:val="22"/>
        </w:rPr>
        <w:t xml:space="preserve">and nature of a literature and exposes gaps, rather than generating a </w:t>
      </w:r>
      <w:r w:rsidR="00F05390">
        <w:rPr>
          <w:rFonts w:ascii="Arial" w:hAnsi="Arial" w:cs="Arial"/>
          <w:sz w:val="22"/>
          <w:szCs w:val="22"/>
        </w:rPr>
        <w:t>combined</w:t>
      </w:r>
      <w:r w:rsidRPr="00FB68EA">
        <w:rPr>
          <w:rFonts w:ascii="Arial" w:hAnsi="Arial" w:cs="Arial"/>
          <w:sz w:val="22"/>
          <w:szCs w:val="22"/>
        </w:rPr>
        <w:t xml:space="preserve"> estimate of effect (Arksey and O’Malley, 2005; Munn et al., 2018).</w:t>
      </w:r>
    </w:p>
    <w:p w14:paraId="7896A26A"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The rationale for this review lies in a growing mismatch between survival and support. As the number of women living after a breast cancer diagnosis has grown, so has the burden of anxiety, depression, fear of recurrence and body image disturbance that lasts long after active treatment ends (Fortin et al., 2021; Carreira et al., 2021). Although UK policy is clear in its commitment to person-centred care (NHS England, 2019; NICE, 2018), national survey data indicate that psychological therapies are neither consistently accessible nor consistently provided. Because the relevant literature spans epidemiology, qualitative enquiry, service evaluation and pilot trials, a scoping review is the appropriate method: it accommodates methodological heterogeneity and describes the shape of an evidence base rather than adjudicating between interventions.</w:t>
      </w:r>
    </w:p>
    <w:p w14:paraId="45E1B212"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The review addresses the question: how is the evidence on psychological support interventions for women diagnosed with breast cancer in the United Kingdom characterised in the current literature? Its objectives are to map the existing evidence, identify the psychological difficulties women report following diagnosis, examine how support is provided across UK health and social care, assess reported outcomes for wellbeing and quality of life, identify evidence gaps, and offer recommendations for UK practice, policy and future research.</w:t>
      </w:r>
    </w:p>
    <w:p w14:paraId="7E79363A" w14:textId="77777777" w:rsidR="00ED0498" w:rsidRPr="00FB68EA" w:rsidRDefault="00000000">
      <w:pPr>
        <w:pStyle w:val="Heading1"/>
        <w:spacing w:before="360" w:after="200"/>
        <w:rPr>
          <w:rFonts w:ascii="Arial" w:hAnsi="Arial" w:cs="Arial"/>
          <w:sz w:val="30"/>
          <w:szCs w:val="30"/>
        </w:rPr>
      </w:pPr>
      <w:bookmarkStart w:id="2" w:name="_Toc237439089"/>
      <w:r w:rsidRPr="00FB68EA">
        <w:rPr>
          <w:rFonts w:ascii="Arial" w:hAnsi="Arial" w:cs="Arial"/>
          <w:b/>
          <w:bCs/>
          <w:color w:val="000000"/>
          <w:sz w:val="30"/>
          <w:szCs w:val="30"/>
        </w:rPr>
        <w:t>2. Background</w:t>
      </w:r>
      <w:bookmarkEnd w:id="2"/>
    </w:p>
    <w:p w14:paraId="0B22392C" w14:textId="721A00E4"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In the UK, around 59,000 women receive a breast cancer diagnosis annually, making it the most frequent cancer overall and </w:t>
      </w:r>
      <w:r w:rsidR="00525CC9">
        <w:rPr>
          <w:rFonts w:ascii="Arial" w:hAnsi="Arial" w:cs="Arial"/>
          <w:sz w:val="22"/>
          <w:szCs w:val="22"/>
        </w:rPr>
        <w:t xml:space="preserve">justifying </w:t>
      </w:r>
      <w:r w:rsidRPr="00FB68EA">
        <w:rPr>
          <w:rFonts w:ascii="Arial" w:hAnsi="Arial" w:cs="Arial"/>
          <w:sz w:val="22"/>
          <w:szCs w:val="22"/>
        </w:rPr>
        <w:t xml:space="preserve">for about 15% of all new cases (Cancer Research UK, 2025). Approximately 75% of those diagnosed can now expect to live for ten years or more (Isaac et al., 2026), and several hundred thousand women are living with or beyond the disease (Breast Cancer Now, 2025). The clinical dilemma has therefore changed: survival now comes with a lengthy tail of repercussions that are as much psychological as physical. In a meta-analysis of thirty-nine studies, Fortin et al. (2021) reported </w:t>
      </w:r>
      <w:r w:rsidR="00525CC9">
        <w:rPr>
          <w:rFonts w:ascii="Arial" w:hAnsi="Arial" w:cs="Arial"/>
          <w:sz w:val="22"/>
          <w:szCs w:val="22"/>
        </w:rPr>
        <w:t xml:space="preserve">diagnostically meaningful </w:t>
      </w:r>
      <w:r w:rsidRPr="00FB68EA">
        <w:rPr>
          <w:rFonts w:ascii="Arial" w:hAnsi="Arial" w:cs="Arial"/>
          <w:sz w:val="22"/>
          <w:szCs w:val="22"/>
        </w:rPr>
        <w:t>symptoms in 39% of women for</w:t>
      </w:r>
      <w:r w:rsidR="00525CC9">
        <w:rPr>
          <w:rFonts w:ascii="Arial" w:hAnsi="Arial" w:cs="Arial"/>
          <w:sz w:val="22"/>
          <w:szCs w:val="22"/>
        </w:rPr>
        <w:t xml:space="preserve"> imprecise </w:t>
      </w:r>
      <w:r w:rsidRPr="00FB68EA">
        <w:rPr>
          <w:rFonts w:ascii="Arial" w:hAnsi="Arial" w:cs="Arial"/>
          <w:sz w:val="22"/>
          <w:szCs w:val="22"/>
        </w:rPr>
        <w:t xml:space="preserve">distress, 34% for anxiety and 20% for depression. UK evidence corroborates this by a different method: analysing linked primary care records, Carreira et al. (2021) found elevated rates of anxiety (adjusted hazard ratio 1.33), depression (1.35) and sleep disorder (1.68) relative to matched cancer-free women, with comparable patient-reported findings in UK survivorship cohorts (Carreira et al., 2020). Fear of </w:t>
      </w:r>
      <w:r w:rsidRPr="00FB68EA">
        <w:rPr>
          <w:rFonts w:ascii="Arial" w:hAnsi="Arial" w:cs="Arial"/>
          <w:sz w:val="22"/>
          <w:szCs w:val="22"/>
        </w:rPr>
        <w:lastRenderedPageBreak/>
        <w:t>re</w:t>
      </w:r>
      <w:r w:rsidR="00525CC9">
        <w:rPr>
          <w:rFonts w:ascii="Arial" w:hAnsi="Arial" w:cs="Arial"/>
          <w:sz w:val="22"/>
          <w:szCs w:val="22"/>
        </w:rPr>
        <w:t>appeara</w:t>
      </w:r>
      <w:r w:rsidRPr="00FB68EA">
        <w:rPr>
          <w:rFonts w:ascii="Arial" w:hAnsi="Arial" w:cs="Arial"/>
          <w:sz w:val="22"/>
          <w:szCs w:val="22"/>
        </w:rPr>
        <w:t xml:space="preserve">nce is a distinct and </w:t>
      </w:r>
      <w:r w:rsidR="00525CC9">
        <w:rPr>
          <w:rFonts w:ascii="Arial" w:hAnsi="Arial" w:cs="Arial"/>
          <w:sz w:val="22"/>
          <w:szCs w:val="22"/>
        </w:rPr>
        <w:t xml:space="preserve">tenacious </w:t>
      </w:r>
      <w:r w:rsidRPr="00FB68EA">
        <w:rPr>
          <w:rFonts w:ascii="Arial" w:hAnsi="Arial" w:cs="Arial"/>
          <w:sz w:val="22"/>
          <w:szCs w:val="22"/>
        </w:rPr>
        <w:t>concern, frequently reported by women who are otherwise functioning well and do not meet the threshold for a psychiatric diagnosis (Sinclair et al., 2023).</w:t>
      </w:r>
    </w:p>
    <w:p w14:paraId="3AF80841" w14:textId="3235CFE9"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The policy architecture intended to respond is long-standing. NICE (2004) set out a four-tier model in which all staff provide effective communication at level one, trained professionals screen for distress and deliver simple interventions at level two, and practitioners with accredited training in counselling or psychological therapies operate at levels three and four. NICE (2018) reinforces the requirement to offer information and access to support, while NICE (2009) recommends collaborative care for depression alongside a chronic physical health problem. The NHS Long Term Plan (NHS England, 2019) committed offering every person with cancer a </w:t>
      </w:r>
      <w:r w:rsidR="001E4F76">
        <w:rPr>
          <w:rFonts w:ascii="Arial" w:hAnsi="Arial" w:cs="Arial"/>
          <w:sz w:val="22"/>
          <w:szCs w:val="22"/>
        </w:rPr>
        <w:t>comprehensive</w:t>
      </w:r>
      <w:r w:rsidRPr="00FB68EA">
        <w:rPr>
          <w:rFonts w:ascii="Arial" w:hAnsi="Arial" w:cs="Arial"/>
          <w:sz w:val="22"/>
          <w:szCs w:val="22"/>
        </w:rPr>
        <w:t xml:space="preserve"> needs assessment (HNA) and a personalised care and support plan, building on the Recovery Package developed with Macmillan Cancer Support (2025). Charitable providers are unusually prominent, funding nurses, information services and peer support that are integral to NHS provision rather than adjunctive (Breast Cancer Now, 2025).</w:t>
      </w:r>
    </w:p>
    <w:p w14:paraId="58617317"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Despite this framework, provision remains inconsistent. The National Cancer Patient Experience Survey continues to identify emotional support, particularly after treatment ends, as one of the weakest domains of the pathway relative to otherwise positive ratings of clinical care (NHS England, 2024). Access to level three and four therapy is commissioned locally and varies between cancer alliances, and no national standard specifies what psychological input a cancer service must provide. Health inequalities compound this: women from deprived areas and minority ethnic communities are less likely to be referred to supportive services, a pattern that risks being reproduced by self-directed aftercare (Isaac et al., 2026).</w:t>
      </w:r>
    </w:p>
    <w:p w14:paraId="2D890C27" w14:textId="77777777" w:rsidR="00ED0498" w:rsidRPr="00FB68EA" w:rsidRDefault="00000000">
      <w:pPr>
        <w:pStyle w:val="Heading1"/>
        <w:spacing w:before="360" w:after="200"/>
        <w:rPr>
          <w:rFonts w:ascii="Arial" w:hAnsi="Arial" w:cs="Arial"/>
          <w:sz w:val="30"/>
          <w:szCs w:val="30"/>
        </w:rPr>
      </w:pPr>
      <w:bookmarkStart w:id="3" w:name="_Toc237439090"/>
      <w:r w:rsidRPr="00FB68EA">
        <w:rPr>
          <w:rFonts w:ascii="Arial" w:hAnsi="Arial" w:cs="Arial"/>
          <w:b/>
          <w:bCs/>
          <w:color w:val="000000"/>
          <w:sz w:val="30"/>
          <w:szCs w:val="30"/>
        </w:rPr>
        <w:t>3. Methods</w:t>
      </w:r>
      <w:bookmarkEnd w:id="3"/>
    </w:p>
    <w:p w14:paraId="7DA402FD" w14:textId="77777777" w:rsidR="00ED0498" w:rsidRPr="00FB68EA" w:rsidRDefault="00000000">
      <w:pPr>
        <w:pStyle w:val="Heading2"/>
        <w:spacing w:before="240" w:after="160"/>
        <w:rPr>
          <w:rFonts w:ascii="Arial" w:hAnsi="Arial" w:cs="Arial"/>
          <w:sz w:val="24"/>
          <w:szCs w:val="24"/>
        </w:rPr>
      </w:pPr>
      <w:bookmarkStart w:id="4" w:name="_Toc237439091"/>
      <w:r w:rsidRPr="00FB68EA">
        <w:rPr>
          <w:rFonts w:ascii="Arial" w:hAnsi="Arial" w:cs="Arial"/>
          <w:b/>
          <w:bCs/>
          <w:color w:val="000000"/>
          <w:sz w:val="24"/>
          <w:szCs w:val="24"/>
        </w:rPr>
        <w:t>3.1 Design</w:t>
      </w:r>
      <w:bookmarkEnd w:id="4"/>
    </w:p>
    <w:p w14:paraId="1813A769" w14:textId="769567EC" w:rsidR="00ED0498" w:rsidRDefault="00000000">
      <w:pPr>
        <w:spacing w:after="200"/>
        <w:jc w:val="both"/>
        <w:rPr>
          <w:rFonts w:ascii="Arial" w:hAnsi="Arial" w:cs="Arial"/>
          <w:sz w:val="22"/>
          <w:szCs w:val="22"/>
        </w:rPr>
      </w:pPr>
      <w:r w:rsidRPr="00FB68EA">
        <w:rPr>
          <w:rFonts w:ascii="Arial" w:hAnsi="Arial" w:cs="Arial"/>
          <w:sz w:val="22"/>
          <w:szCs w:val="22"/>
        </w:rPr>
        <w:t>A scoping review design was selected because the objective was to map the breadth and character of an evidence base rather than e</w:t>
      </w:r>
      <w:r w:rsidR="001E4F76">
        <w:rPr>
          <w:rFonts w:ascii="Arial" w:hAnsi="Arial" w:cs="Arial"/>
          <w:sz w:val="22"/>
          <w:szCs w:val="22"/>
        </w:rPr>
        <w:t>valuate</w:t>
      </w:r>
      <w:r w:rsidRPr="00FB68EA">
        <w:rPr>
          <w:rFonts w:ascii="Arial" w:hAnsi="Arial" w:cs="Arial"/>
          <w:sz w:val="22"/>
          <w:szCs w:val="22"/>
        </w:rPr>
        <w:t xml:space="preserve"> the effect of a single intervention (Munn et al., 2018). The review adhered to the five-stage framework of Arksey and O’Malley (2005) — identifying the question, identifying</w:t>
      </w:r>
      <w:r w:rsidR="001E4F76">
        <w:rPr>
          <w:rFonts w:ascii="Arial" w:hAnsi="Arial" w:cs="Arial"/>
          <w:sz w:val="22"/>
          <w:szCs w:val="22"/>
        </w:rPr>
        <w:t xml:space="preserve"> applicable </w:t>
      </w:r>
      <w:r w:rsidRPr="00FB68EA">
        <w:rPr>
          <w:rFonts w:ascii="Arial" w:hAnsi="Arial" w:cs="Arial"/>
          <w:sz w:val="22"/>
          <w:szCs w:val="22"/>
        </w:rPr>
        <w:t>studies, study selection, charting, and reporting results — with the improvements suggested by Levac, Colquhoun and O’Brien (2010) and Joanna Briggs Institute guidance (Peters et al., 2020). Reporting followed PRISMA-ScR (Tricco et al., 2018).</w:t>
      </w:r>
    </w:p>
    <w:p w14:paraId="1DB8EEE6" w14:textId="77777777" w:rsidR="00FB68EA" w:rsidRDefault="00FB68EA">
      <w:pPr>
        <w:spacing w:after="200"/>
        <w:jc w:val="both"/>
        <w:rPr>
          <w:rFonts w:ascii="Arial" w:hAnsi="Arial" w:cs="Arial"/>
          <w:sz w:val="22"/>
          <w:szCs w:val="22"/>
        </w:rPr>
      </w:pPr>
    </w:p>
    <w:p w14:paraId="3EF4FDEB" w14:textId="77777777" w:rsidR="00FB68EA" w:rsidRPr="00FB68EA" w:rsidRDefault="00FB68EA">
      <w:pPr>
        <w:spacing w:after="200"/>
        <w:jc w:val="both"/>
        <w:rPr>
          <w:rFonts w:ascii="Arial" w:hAnsi="Arial" w:cs="Arial"/>
          <w:sz w:val="22"/>
          <w:szCs w:val="22"/>
        </w:rPr>
      </w:pPr>
    </w:p>
    <w:p w14:paraId="450A3897" w14:textId="77777777" w:rsidR="00ED0498" w:rsidRPr="00FB68EA" w:rsidRDefault="00000000">
      <w:pPr>
        <w:pStyle w:val="Heading2"/>
        <w:spacing w:before="240" w:after="160"/>
        <w:rPr>
          <w:rFonts w:ascii="Arial" w:hAnsi="Arial" w:cs="Arial"/>
          <w:sz w:val="24"/>
          <w:szCs w:val="24"/>
        </w:rPr>
      </w:pPr>
      <w:bookmarkStart w:id="5" w:name="_Toc237439092"/>
      <w:r w:rsidRPr="00FB68EA">
        <w:rPr>
          <w:rFonts w:ascii="Arial" w:hAnsi="Arial" w:cs="Arial"/>
          <w:b/>
          <w:bCs/>
          <w:color w:val="000000"/>
          <w:sz w:val="24"/>
          <w:szCs w:val="24"/>
        </w:rPr>
        <w:t>3.2 Search strategy</w:t>
      </w:r>
      <w:bookmarkEnd w:id="5"/>
    </w:p>
    <w:p w14:paraId="3429E3B4"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In June and July 2026, four databases were searched: PubMed and CINAHL for biomedical and nursing literature, Scopus for multidisciplinary coverage, and Google Scholar for content indexed inconsistently elsewhere. Search terms were generated from the population, concept and context components of the review question and combined using Boolean operators, with truncation where necessary: ("breast cancer" OR "breast neoplasm*" OR "breast carcinoma") AND ("psychological support" OR "psycho-oncology" OR "psychological intervention*" OR counselling OR "cognitive behavioural therapy" OR "acceptance and commitment therapy" OR mindfulness) AND ("mental health" OR anxiety OR depression OR distress OR "quality of life") AND (women OR female*) AND ("United Kingdom" OR UK OR NHS OR England OR Scotland OR Wales OR "Northern Ireland"). Reference lists of included studies were hand-searched for further eligible material.</w:t>
      </w:r>
    </w:p>
    <w:p w14:paraId="46114AFB" w14:textId="77777777" w:rsidR="00ED0498" w:rsidRPr="00FB68EA" w:rsidRDefault="00000000">
      <w:pPr>
        <w:pStyle w:val="Heading2"/>
        <w:spacing w:before="240" w:after="160"/>
        <w:rPr>
          <w:rFonts w:ascii="Arial" w:hAnsi="Arial" w:cs="Arial"/>
          <w:sz w:val="24"/>
          <w:szCs w:val="24"/>
        </w:rPr>
      </w:pPr>
      <w:bookmarkStart w:id="6" w:name="_Toc237439093"/>
      <w:r w:rsidRPr="00FB68EA">
        <w:rPr>
          <w:rFonts w:ascii="Arial" w:hAnsi="Arial" w:cs="Arial"/>
          <w:b/>
          <w:bCs/>
          <w:color w:val="000000"/>
          <w:sz w:val="24"/>
          <w:szCs w:val="24"/>
        </w:rPr>
        <w:t>3.3 Eligibility criteria</w:t>
      </w:r>
      <w:bookmarkEnd w:id="6"/>
    </w:p>
    <w:p w14:paraId="207649D0"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Studies were eligible if they were peer-reviewed primary or secondary research, published in English between 2019 and 2026, concerned adult women diagnosed with breast cancer, addressed psychological support or outcomes, and were conducted in or directly applicable to UK practice. Editorials, conference papers, opinion pieces, policy documents and commentaries were excluded, as were mixed cancer populations without separable breast-specific findings and male populations. The date restriction ensured the review reflected the service context following the NHS Long Term Plan.</w:t>
      </w:r>
    </w:p>
    <w:p w14:paraId="74FA871A" w14:textId="77777777" w:rsidR="00ED0498" w:rsidRPr="00FB68EA" w:rsidRDefault="00000000">
      <w:pPr>
        <w:pStyle w:val="Heading2"/>
        <w:spacing w:before="240" w:after="160"/>
        <w:rPr>
          <w:rFonts w:ascii="Arial" w:hAnsi="Arial" w:cs="Arial"/>
          <w:sz w:val="24"/>
          <w:szCs w:val="24"/>
        </w:rPr>
      </w:pPr>
      <w:bookmarkStart w:id="7" w:name="_Toc237439094"/>
      <w:r w:rsidRPr="00FB68EA">
        <w:rPr>
          <w:rFonts w:ascii="Arial" w:hAnsi="Arial" w:cs="Arial"/>
          <w:b/>
          <w:bCs/>
          <w:color w:val="000000"/>
          <w:sz w:val="24"/>
          <w:szCs w:val="24"/>
        </w:rPr>
        <w:t>3.4 Screening and study selection</w:t>
      </w:r>
      <w:bookmarkEnd w:id="7"/>
    </w:p>
    <w:p w14:paraId="4A1DE8C8" w14:textId="1ED62D99"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Records were </w:t>
      </w:r>
      <w:r w:rsidR="001E4F76">
        <w:rPr>
          <w:rFonts w:ascii="Arial" w:hAnsi="Arial" w:cs="Arial"/>
          <w:sz w:val="22"/>
          <w:szCs w:val="22"/>
        </w:rPr>
        <w:t xml:space="preserve">shipped </w:t>
      </w:r>
      <w:r w:rsidRPr="00FB68EA">
        <w:rPr>
          <w:rFonts w:ascii="Arial" w:hAnsi="Arial" w:cs="Arial"/>
          <w:sz w:val="22"/>
          <w:szCs w:val="22"/>
        </w:rPr>
        <w:t>to a reference manager and duplicates eliminated. Titles and abstracts were vetted against the e</w:t>
      </w:r>
      <w:r w:rsidR="001E4F76">
        <w:rPr>
          <w:rFonts w:ascii="Arial" w:hAnsi="Arial" w:cs="Arial"/>
          <w:sz w:val="22"/>
          <w:szCs w:val="22"/>
        </w:rPr>
        <w:t>ntitlement</w:t>
      </w:r>
      <w:r w:rsidRPr="00FB68EA">
        <w:rPr>
          <w:rFonts w:ascii="Arial" w:hAnsi="Arial" w:cs="Arial"/>
          <w:sz w:val="22"/>
          <w:szCs w:val="22"/>
        </w:rPr>
        <w:t xml:space="preserve"> requirements, </w:t>
      </w:r>
      <w:r w:rsidR="00414B7B">
        <w:rPr>
          <w:rFonts w:ascii="Arial" w:hAnsi="Arial" w:cs="Arial"/>
          <w:sz w:val="22"/>
          <w:szCs w:val="22"/>
        </w:rPr>
        <w:t>entire</w:t>
      </w:r>
      <w:r w:rsidRPr="00FB68EA">
        <w:rPr>
          <w:rFonts w:ascii="Arial" w:hAnsi="Arial" w:cs="Arial"/>
          <w:sz w:val="22"/>
          <w:szCs w:val="22"/>
        </w:rPr>
        <w:t xml:space="preserve"> texts retrieved and evaluated, and reasons for exclusion noted. Five studies were purposively retained on the basis of methodological quality, UK relevance and contribution to design variety, ensuring the final set represented epidemiological, qualitative, evaluative and synthesised evidence rather than a single study type.</w:t>
      </w:r>
    </w:p>
    <w:p w14:paraId="78780FB4" w14:textId="77777777" w:rsidR="00ED0498" w:rsidRPr="00FB68EA" w:rsidRDefault="00000000">
      <w:pPr>
        <w:pStyle w:val="Heading2"/>
        <w:spacing w:before="240" w:after="160"/>
        <w:rPr>
          <w:rFonts w:ascii="Arial" w:hAnsi="Arial" w:cs="Arial"/>
          <w:sz w:val="24"/>
          <w:szCs w:val="24"/>
        </w:rPr>
      </w:pPr>
      <w:bookmarkStart w:id="8" w:name="_Toc237439095"/>
      <w:r w:rsidRPr="00FB68EA">
        <w:rPr>
          <w:rFonts w:ascii="Arial" w:hAnsi="Arial" w:cs="Arial"/>
          <w:b/>
          <w:bCs/>
          <w:color w:val="000000"/>
          <w:sz w:val="24"/>
          <w:szCs w:val="24"/>
        </w:rPr>
        <w:t>3.5 Data charting and analysis</w:t>
      </w:r>
      <w:bookmarkEnd w:id="8"/>
    </w:p>
    <w:p w14:paraId="30FF5E6F"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A charting template was piloted on one study before being applied to the remainder, capturing author, year, country, design, sample, the psychological intervention or exposure examined, main findings, strengths and limitations. Charting in a scoping review is descriptive and formal </w:t>
      </w:r>
      <w:r w:rsidRPr="00FB68EA">
        <w:rPr>
          <w:rFonts w:ascii="Arial" w:hAnsi="Arial" w:cs="Arial"/>
          <w:sz w:val="22"/>
          <w:szCs w:val="22"/>
        </w:rPr>
        <w:lastRenderedPageBreak/>
        <w:t>critical appraisal is not necessary (Peters et al., 2020); strengths and flaws were nonetheless noted, because the review question pertains to the characterisation of the evidence, which includes its quality. The six-phase method of thematic analysis outlined by Braun and Clarke (2006) was used to analyse the charted data, with themes created inductively, although the four-tier model (NICE, 2004) offered a reference point for examining how support was organised.</w:t>
      </w:r>
    </w:p>
    <w:p w14:paraId="4FD68D7B" w14:textId="77777777" w:rsidR="00ED0498" w:rsidRPr="00FB68EA" w:rsidRDefault="00000000">
      <w:pPr>
        <w:pStyle w:val="Heading2"/>
        <w:spacing w:before="240" w:after="160"/>
        <w:rPr>
          <w:rFonts w:ascii="Arial" w:hAnsi="Arial" w:cs="Arial"/>
          <w:sz w:val="24"/>
          <w:szCs w:val="24"/>
        </w:rPr>
      </w:pPr>
      <w:bookmarkStart w:id="9" w:name="_Toc237439096"/>
      <w:r w:rsidRPr="00FB68EA">
        <w:rPr>
          <w:rFonts w:ascii="Arial" w:hAnsi="Arial" w:cs="Arial"/>
          <w:b/>
          <w:bCs/>
          <w:color w:val="000000"/>
          <w:sz w:val="24"/>
          <w:szCs w:val="24"/>
        </w:rPr>
        <w:t>3.6 Ethical considerations</w:t>
      </w:r>
      <w:bookmarkEnd w:id="9"/>
    </w:p>
    <w:p w14:paraId="74FE9A9F"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Formal ethical approval was not required because the review draws exclusively on published material and involves no recruitment of participants, no access to identifiable data and no intervention in care. Ethical responsibility in secondary research nonetheless remains substantive. Eligibility criteria were applied consistently to limit selection bias, all sources were cited using Harvard referencing, findings were reported without selective emphasis, and the limitations of included studies were reported alongside their findings so that the strength of the evidence is not overstated (Peters et al., 2020).</w:t>
      </w:r>
    </w:p>
    <w:p w14:paraId="667EB806" w14:textId="77777777" w:rsidR="00ED0498" w:rsidRPr="00FB68EA" w:rsidRDefault="00000000">
      <w:pPr>
        <w:pStyle w:val="Heading1"/>
        <w:spacing w:before="360" w:after="200"/>
        <w:rPr>
          <w:rFonts w:ascii="Arial" w:hAnsi="Arial" w:cs="Arial"/>
          <w:sz w:val="30"/>
          <w:szCs w:val="30"/>
        </w:rPr>
      </w:pPr>
      <w:bookmarkStart w:id="10" w:name="_Toc237439097"/>
      <w:r w:rsidRPr="00FB68EA">
        <w:rPr>
          <w:rFonts w:ascii="Arial" w:hAnsi="Arial" w:cs="Arial"/>
          <w:b/>
          <w:bCs/>
          <w:color w:val="000000"/>
          <w:sz w:val="30"/>
          <w:szCs w:val="30"/>
        </w:rPr>
        <w:t>4. Results</w:t>
      </w:r>
      <w:bookmarkEnd w:id="10"/>
    </w:p>
    <w:p w14:paraId="2666BE89" w14:textId="77777777" w:rsidR="00ED0498" w:rsidRPr="00FB68EA" w:rsidRDefault="00000000">
      <w:pPr>
        <w:pStyle w:val="Heading2"/>
        <w:spacing w:before="240" w:after="160"/>
        <w:rPr>
          <w:rFonts w:ascii="Arial" w:hAnsi="Arial" w:cs="Arial"/>
          <w:sz w:val="24"/>
          <w:szCs w:val="24"/>
        </w:rPr>
      </w:pPr>
      <w:bookmarkStart w:id="11" w:name="_Toc237439098"/>
      <w:r w:rsidRPr="00FB68EA">
        <w:rPr>
          <w:rFonts w:ascii="Arial" w:hAnsi="Arial" w:cs="Arial"/>
          <w:b/>
          <w:bCs/>
          <w:color w:val="000000"/>
          <w:sz w:val="24"/>
          <w:szCs w:val="24"/>
        </w:rPr>
        <w:t>4.1 PRISMA-ScR flow summary</w:t>
      </w:r>
      <w:bookmarkEnd w:id="11"/>
    </w:p>
    <w:p w14:paraId="4EA84704" w14:textId="51B32FE7"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The searches returned 1,271 records (PubMed n = 412; CINAHL n = 268; Scopus n = 391; Google Scholar, first 200 by relevance ranking, n = 200). Removal of 212 duplicates left 1,059 records for title and </w:t>
      </w:r>
      <w:r w:rsidR="00414B7B">
        <w:rPr>
          <w:rFonts w:ascii="Arial" w:hAnsi="Arial" w:cs="Arial"/>
          <w:sz w:val="22"/>
          <w:szCs w:val="22"/>
        </w:rPr>
        <w:t>citation</w:t>
      </w:r>
      <w:r w:rsidRPr="00FB68EA">
        <w:rPr>
          <w:rFonts w:ascii="Arial" w:hAnsi="Arial" w:cs="Arial"/>
          <w:sz w:val="22"/>
          <w:szCs w:val="22"/>
        </w:rPr>
        <w:t xml:space="preserve"> screening, of which 1,013 were </w:t>
      </w:r>
      <w:r w:rsidR="00414B7B">
        <w:rPr>
          <w:rFonts w:ascii="Arial" w:hAnsi="Arial" w:cs="Arial"/>
          <w:sz w:val="22"/>
          <w:szCs w:val="22"/>
        </w:rPr>
        <w:t>omitted</w:t>
      </w:r>
      <w:r w:rsidRPr="00FB68EA">
        <w:rPr>
          <w:rFonts w:ascii="Arial" w:hAnsi="Arial" w:cs="Arial"/>
          <w:sz w:val="22"/>
          <w:szCs w:val="22"/>
        </w:rPr>
        <w:t xml:space="preserve"> as clearly irrelevant. Forty-six full texts were retrieved and 41 excluded: 17 for limited applicability to UK practice, 11 for not examining psychological support substantively, eight as excluded publication types, and five as mixed cancer populations without separable breast-specific data. Five studies were included.</w:t>
      </w:r>
    </w:p>
    <w:p w14:paraId="28B9359A" w14:textId="77777777" w:rsidR="00ED0498" w:rsidRPr="00FB68EA" w:rsidRDefault="00000000">
      <w:pPr>
        <w:pStyle w:val="Heading2"/>
        <w:spacing w:before="240" w:after="160"/>
        <w:rPr>
          <w:rFonts w:ascii="Arial" w:hAnsi="Arial" w:cs="Arial"/>
          <w:sz w:val="24"/>
          <w:szCs w:val="24"/>
        </w:rPr>
      </w:pPr>
      <w:bookmarkStart w:id="12" w:name="_Toc237439099"/>
      <w:r w:rsidRPr="00FB68EA">
        <w:rPr>
          <w:rFonts w:ascii="Arial" w:hAnsi="Arial" w:cs="Arial"/>
          <w:b/>
          <w:bCs/>
          <w:color w:val="000000"/>
          <w:sz w:val="24"/>
          <w:szCs w:val="24"/>
        </w:rPr>
        <w:t>4.2 Characteristics of included studies</w:t>
      </w:r>
      <w:bookmarkEnd w:id="12"/>
    </w:p>
    <w:p w14:paraId="644A23EB"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One matched cohort study, one qualitative interview study, one service evaluation, one non-randomised controlled pilot trial and one scoping review comprise the included papers, published between 2020 and 2026. Two were carried out in Scotland, one in England and one in Northern Ireland, while the remaining study drew on primary care data from across the United Kingdom. Sample sizes vary from 15 women to more than 57,000. Table 1 charts the details.</w:t>
      </w:r>
    </w:p>
    <w:p w14:paraId="0B50D972" w14:textId="77777777" w:rsidR="00ED0498" w:rsidRPr="00FB68EA" w:rsidRDefault="00ED0498">
      <w:pPr>
        <w:rPr>
          <w:rFonts w:ascii="Arial" w:hAnsi="Arial" w:cs="Arial"/>
          <w:sz w:val="22"/>
          <w:szCs w:val="22"/>
        </w:rPr>
        <w:sectPr w:rsidR="00ED0498" w:rsidRPr="00FB68EA">
          <w:footerReference w:type="default" r:id="rId9"/>
          <w:pgSz w:w="11906" w:h="16838"/>
          <w:pgMar w:top="1440" w:right="1440" w:bottom="1440" w:left="1440" w:header="708" w:footer="708" w:gutter="0"/>
          <w:cols w:space="720"/>
          <w:docGrid w:linePitch="360"/>
        </w:sectPr>
      </w:pPr>
    </w:p>
    <w:p w14:paraId="37B2B38B" w14:textId="3DAAC5AD" w:rsidR="00ED0498" w:rsidRPr="00FB68EA" w:rsidRDefault="00000000">
      <w:pPr>
        <w:spacing w:after="160"/>
        <w:rPr>
          <w:rFonts w:ascii="Arial" w:hAnsi="Arial" w:cs="Arial"/>
          <w:sz w:val="22"/>
          <w:szCs w:val="22"/>
        </w:rPr>
      </w:pPr>
      <w:r w:rsidRPr="00FB68EA">
        <w:rPr>
          <w:rFonts w:ascii="Arial" w:hAnsi="Arial" w:cs="Arial"/>
          <w:b/>
          <w:bCs/>
          <w:sz w:val="20"/>
          <w:szCs w:val="20"/>
        </w:rPr>
        <w:lastRenderedPageBreak/>
        <w:t>Table 1. Evidence table of incl</w:t>
      </w:r>
      <w:r w:rsidR="00414B7B">
        <w:rPr>
          <w:rFonts w:ascii="Arial" w:hAnsi="Arial" w:cs="Arial"/>
          <w:b/>
          <w:bCs/>
          <w:sz w:val="20"/>
          <w:szCs w:val="20"/>
        </w:rPr>
        <w:t>osed</w:t>
      </w:r>
      <w:r w:rsidRPr="00FB68EA">
        <w:rPr>
          <w:rFonts w:ascii="Arial" w:hAnsi="Arial" w:cs="Arial"/>
          <w:b/>
          <w:bCs/>
          <w:sz w:val="20"/>
          <w:szCs w:val="20"/>
        </w:rPr>
        <w:t xml:space="preserve"> studies (n = 5)</w:t>
      </w:r>
    </w:p>
    <w:tbl>
      <w:tblPr>
        <w:tblW w:w="139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00"/>
        <w:gridCol w:w="600"/>
        <w:gridCol w:w="900"/>
        <w:gridCol w:w="1600"/>
        <w:gridCol w:w="1600"/>
        <w:gridCol w:w="2000"/>
        <w:gridCol w:w="2600"/>
        <w:gridCol w:w="1700"/>
        <w:gridCol w:w="1658"/>
      </w:tblGrid>
      <w:tr w:rsidR="00ED0498" w:rsidRPr="00FB68EA" w14:paraId="2E824033" w14:textId="77777777">
        <w:trPr>
          <w:tblHeader/>
        </w:trPr>
        <w:tc>
          <w:tcPr>
            <w:tcW w:w="1300" w:type="dxa"/>
            <w:shd w:val="clear" w:color="auto" w:fill="D9D9D9"/>
            <w:tcMar>
              <w:top w:w="60" w:type="dxa"/>
              <w:left w:w="90" w:type="dxa"/>
              <w:bottom w:w="60" w:type="dxa"/>
              <w:right w:w="90" w:type="dxa"/>
            </w:tcMar>
          </w:tcPr>
          <w:p w14:paraId="5D9EC020"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Author</w:t>
            </w:r>
          </w:p>
        </w:tc>
        <w:tc>
          <w:tcPr>
            <w:tcW w:w="600" w:type="dxa"/>
            <w:shd w:val="clear" w:color="auto" w:fill="D9D9D9"/>
            <w:tcMar>
              <w:top w:w="60" w:type="dxa"/>
              <w:left w:w="90" w:type="dxa"/>
              <w:bottom w:w="60" w:type="dxa"/>
              <w:right w:w="90" w:type="dxa"/>
            </w:tcMar>
          </w:tcPr>
          <w:p w14:paraId="2E3D634B"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Year</w:t>
            </w:r>
          </w:p>
        </w:tc>
        <w:tc>
          <w:tcPr>
            <w:tcW w:w="900" w:type="dxa"/>
            <w:shd w:val="clear" w:color="auto" w:fill="D9D9D9"/>
            <w:tcMar>
              <w:top w:w="60" w:type="dxa"/>
              <w:left w:w="90" w:type="dxa"/>
              <w:bottom w:w="60" w:type="dxa"/>
              <w:right w:w="90" w:type="dxa"/>
            </w:tcMar>
          </w:tcPr>
          <w:p w14:paraId="0416FBA8"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Country</w:t>
            </w:r>
          </w:p>
        </w:tc>
        <w:tc>
          <w:tcPr>
            <w:tcW w:w="1600" w:type="dxa"/>
            <w:shd w:val="clear" w:color="auto" w:fill="D9D9D9"/>
            <w:tcMar>
              <w:top w:w="60" w:type="dxa"/>
              <w:left w:w="90" w:type="dxa"/>
              <w:bottom w:w="60" w:type="dxa"/>
              <w:right w:w="90" w:type="dxa"/>
            </w:tcMar>
          </w:tcPr>
          <w:p w14:paraId="00C1137B"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Design</w:t>
            </w:r>
          </w:p>
        </w:tc>
        <w:tc>
          <w:tcPr>
            <w:tcW w:w="1600" w:type="dxa"/>
            <w:shd w:val="clear" w:color="auto" w:fill="D9D9D9"/>
            <w:tcMar>
              <w:top w:w="60" w:type="dxa"/>
              <w:left w:w="90" w:type="dxa"/>
              <w:bottom w:w="60" w:type="dxa"/>
              <w:right w:w="90" w:type="dxa"/>
            </w:tcMar>
          </w:tcPr>
          <w:p w14:paraId="0A15190C"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Sample</w:t>
            </w:r>
          </w:p>
        </w:tc>
        <w:tc>
          <w:tcPr>
            <w:tcW w:w="2000" w:type="dxa"/>
            <w:shd w:val="clear" w:color="auto" w:fill="D9D9D9"/>
            <w:tcMar>
              <w:top w:w="60" w:type="dxa"/>
              <w:left w:w="90" w:type="dxa"/>
              <w:bottom w:w="60" w:type="dxa"/>
              <w:right w:w="90" w:type="dxa"/>
            </w:tcMar>
          </w:tcPr>
          <w:p w14:paraId="666EA026"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Psychological intervention / focus</w:t>
            </w:r>
          </w:p>
        </w:tc>
        <w:tc>
          <w:tcPr>
            <w:tcW w:w="2600" w:type="dxa"/>
            <w:shd w:val="clear" w:color="auto" w:fill="D9D9D9"/>
            <w:tcMar>
              <w:top w:w="60" w:type="dxa"/>
              <w:left w:w="90" w:type="dxa"/>
              <w:bottom w:w="60" w:type="dxa"/>
              <w:right w:w="90" w:type="dxa"/>
            </w:tcMar>
          </w:tcPr>
          <w:p w14:paraId="3D02BF63"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Main findings</w:t>
            </w:r>
          </w:p>
        </w:tc>
        <w:tc>
          <w:tcPr>
            <w:tcW w:w="1700" w:type="dxa"/>
            <w:shd w:val="clear" w:color="auto" w:fill="D9D9D9"/>
            <w:tcMar>
              <w:top w:w="60" w:type="dxa"/>
              <w:left w:w="90" w:type="dxa"/>
              <w:bottom w:w="60" w:type="dxa"/>
              <w:right w:w="90" w:type="dxa"/>
            </w:tcMar>
          </w:tcPr>
          <w:p w14:paraId="2D751893"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Strengths</w:t>
            </w:r>
          </w:p>
        </w:tc>
        <w:tc>
          <w:tcPr>
            <w:tcW w:w="1658" w:type="dxa"/>
            <w:shd w:val="clear" w:color="auto" w:fill="D9D9D9"/>
            <w:tcMar>
              <w:top w:w="60" w:type="dxa"/>
              <w:left w:w="90" w:type="dxa"/>
              <w:bottom w:w="60" w:type="dxa"/>
              <w:right w:w="90" w:type="dxa"/>
            </w:tcMar>
          </w:tcPr>
          <w:p w14:paraId="003C908E" w14:textId="77777777" w:rsidR="00ED0498" w:rsidRPr="00FB68EA" w:rsidRDefault="00000000">
            <w:pPr>
              <w:spacing w:line="240" w:lineRule="auto"/>
              <w:rPr>
                <w:rFonts w:ascii="Arial" w:hAnsi="Arial" w:cs="Arial"/>
                <w:sz w:val="22"/>
                <w:szCs w:val="22"/>
              </w:rPr>
            </w:pPr>
            <w:r w:rsidRPr="00FB68EA">
              <w:rPr>
                <w:rFonts w:ascii="Arial" w:hAnsi="Arial" w:cs="Arial"/>
                <w:b/>
                <w:bCs/>
                <w:sz w:val="14"/>
                <w:szCs w:val="14"/>
              </w:rPr>
              <w:t>Limitations</w:t>
            </w:r>
          </w:p>
        </w:tc>
      </w:tr>
      <w:tr w:rsidR="00ED0498" w:rsidRPr="00FB68EA" w14:paraId="306B33B1" w14:textId="77777777">
        <w:tc>
          <w:tcPr>
            <w:tcW w:w="1300" w:type="dxa"/>
            <w:tcMar>
              <w:top w:w="60" w:type="dxa"/>
              <w:left w:w="90" w:type="dxa"/>
              <w:bottom w:w="60" w:type="dxa"/>
              <w:right w:w="90" w:type="dxa"/>
            </w:tcMar>
          </w:tcPr>
          <w:p w14:paraId="55E5A93D"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Briggs, Cooper, Cox and Blake</w:t>
            </w:r>
          </w:p>
        </w:tc>
        <w:tc>
          <w:tcPr>
            <w:tcW w:w="600" w:type="dxa"/>
            <w:tcMar>
              <w:top w:w="60" w:type="dxa"/>
              <w:left w:w="90" w:type="dxa"/>
              <w:bottom w:w="60" w:type="dxa"/>
              <w:right w:w="90" w:type="dxa"/>
            </w:tcMar>
          </w:tcPr>
          <w:p w14:paraId="669A60AD"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2020</w:t>
            </w:r>
          </w:p>
        </w:tc>
        <w:tc>
          <w:tcPr>
            <w:tcW w:w="900" w:type="dxa"/>
            <w:tcMar>
              <w:top w:w="60" w:type="dxa"/>
              <w:left w:w="90" w:type="dxa"/>
              <w:bottom w:w="60" w:type="dxa"/>
              <w:right w:w="90" w:type="dxa"/>
            </w:tcMar>
          </w:tcPr>
          <w:p w14:paraId="4B7BACAE"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England (UK)</w:t>
            </w:r>
          </w:p>
        </w:tc>
        <w:tc>
          <w:tcPr>
            <w:tcW w:w="1600" w:type="dxa"/>
            <w:tcMar>
              <w:top w:w="60" w:type="dxa"/>
              <w:left w:w="90" w:type="dxa"/>
              <w:bottom w:w="60" w:type="dxa"/>
              <w:right w:w="90" w:type="dxa"/>
            </w:tcMar>
          </w:tcPr>
          <w:p w14:paraId="629C7543"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Qualitative; semi-structured interviews; thematic analysis</w:t>
            </w:r>
          </w:p>
        </w:tc>
        <w:tc>
          <w:tcPr>
            <w:tcW w:w="1600" w:type="dxa"/>
            <w:tcMar>
              <w:top w:w="60" w:type="dxa"/>
              <w:left w:w="90" w:type="dxa"/>
              <w:bottom w:w="60" w:type="dxa"/>
              <w:right w:w="90" w:type="dxa"/>
            </w:tcMar>
          </w:tcPr>
          <w:p w14:paraId="274B7451"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15 women, 12–18 months after surgery</w:t>
            </w:r>
          </w:p>
        </w:tc>
        <w:tc>
          <w:tcPr>
            <w:tcW w:w="2000" w:type="dxa"/>
            <w:tcMar>
              <w:top w:w="60" w:type="dxa"/>
              <w:left w:w="90" w:type="dxa"/>
              <w:bottom w:w="60" w:type="dxa"/>
              <w:right w:w="90" w:type="dxa"/>
            </w:tcMar>
          </w:tcPr>
          <w:p w14:paraId="14BA0D43"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Macmillan electronic Holistic Needs Assessment (eHNA)</w:t>
            </w:r>
          </w:p>
        </w:tc>
        <w:tc>
          <w:tcPr>
            <w:tcW w:w="2600" w:type="dxa"/>
            <w:tcMar>
              <w:top w:w="60" w:type="dxa"/>
              <w:left w:w="90" w:type="dxa"/>
              <w:bottom w:w="60" w:type="dxa"/>
              <w:right w:w="90" w:type="dxa"/>
            </w:tcMar>
          </w:tcPr>
          <w:p w14:paraId="409B81E8"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Psychological concerns persisted long after treatment; eHNA often seen as a hospital or research tool rather than part of care</w:t>
            </w:r>
          </w:p>
        </w:tc>
        <w:tc>
          <w:tcPr>
            <w:tcW w:w="1700" w:type="dxa"/>
            <w:tcMar>
              <w:top w:w="60" w:type="dxa"/>
              <w:left w:w="90" w:type="dxa"/>
              <w:bottom w:w="60" w:type="dxa"/>
              <w:right w:w="90" w:type="dxa"/>
            </w:tcMar>
          </w:tcPr>
          <w:p w14:paraId="28D36E76"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First-person depth; nationally mandated process; clear analytic framework</w:t>
            </w:r>
          </w:p>
        </w:tc>
        <w:tc>
          <w:tcPr>
            <w:tcW w:w="1658" w:type="dxa"/>
            <w:tcMar>
              <w:top w:w="60" w:type="dxa"/>
              <w:left w:w="90" w:type="dxa"/>
              <w:bottom w:w="60" w:type="dxa"/>
              <w:right w:w="90" w:type="dxa"/>
            </w:tcMar>
          </w:tcPr>
          <w:p w14:paraId="52415BCA"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Single centre; small purposive sample; limited transferability</w:t>
            </w:r>
          </w:p>
        </w:tc>
      </w:tr>
      <w:tr w:rsidR="00ED0498" w:rsidRPr="00FB68EA" w14:paraId="5A8E5D11" w14:textId="77777777">
        <w:tc>
          <w:tcPr>
            <w:tcW w:w="1300" w:type="dxa"/>
            <w:tcMar>
              <w:top w:w="60" w:type="dxa"/>
              <w:left w:w="90" w:type="dxa"/>
              <w:bottom w:w="60" w:type="dxa"/>
              <w:right w:w="90" w:type="dxa"/>
            </w:tcMar>
          </w:tcPr>
          <w:p w14:paraId="1BAAE8F1"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Carreira, Williams, Funston, Stanway and Bhaskaran</w:t>
            </w:r>
          </w:p>
        </w:tc>
        <w:tc>
          <w:tcPr>
            <w:tcW w:w="600" w:type="dxa"/>
            <w:tcMar>
              <w:top w:w="60" w:type="dxa"/>
              <w:left w:w="90" w:type="dxa"/>
              <w:bottom w:w="60" w:type="dxa"/>
              <w:right w:w="90" w:type="dxa"/>
            </w:tcMar>
          </w:tcPr>
          <w:p w14:paraId="06B71EA6"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2021</w:t>
            </w:r>
          </w:p>
        </w:tc>
        <w:tc>
          <w:tcPr>
            <w:tcW w:w="900" w:type="dxa"/>
            <w:tcMar>
              <w:top w:w="60" w:type="dxa"/>
              <w:left w:w="90" w:type="dxa"/>
              <w:bottom w:w="60" w:type="dxa"/>
              <w:right w:w="90" w:type="dxa"/>
            </w:tcMar>
          </w:tcPr>
          <w:p w14:paraId="3A1F8984"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United Kingdom</w:t>
            </w:r>
          </w:p>
        </w:tc>
        <w:tc>
          <w:tcPr>
            <w:tcW w:w="1600" w:type="dxa"/>
            <w:tcMar>
              <w:top w:w="60" w:type="dxa"/>
              <w:left w:w="90" w:type="dxa"/>
              <w:bottom w:w="60" w:type="dxa"/>
              <w:right w:w="90" w:type="dxa"/>
            </w:tcMar>
          </w:tcPr>
          <w:p w14:paraId="66EB642B"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Matched population-based cohort using linked primary care records</w:t>
            </w:r>
          </w:p>
        </w:tc>
        <w:tc>
          <w:tcPr>
            <w:tcW w:w="1600" w:type="dxa"/>
            <w:tcMar>
              <w:top w:w="60" w:type="dxa"/>
              <w:left w:w="90" w:type="dxa"/>
              <w:bottom w:w="60" w:type="dxa"/>
              <w:right w:w="90" w:type="dxa"/>
            </w:tcMar>
          </w:tcPr>
          <w:p w14:paraId="6F6EAFF1"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Breast cancer history matched to cancer-free comparators (n &gt; 57,000)</w:t>
            </w:r>
          </w:p>
        </w:tc>
        <w:tc>
          <w:tcPr>
            <w:tcW w:w="2000" w:type="dxa"/>
            <w:tcMar>
              <w:top w:w="60" w:type="dxa"/>
              <w:left w:w="90" w:type="dxa"/>
              <w:bottom w:w="60" w:type="dxa"/>
              <w:right w:w="90" w:type="dxa"/>
            </w:tcMar>
          </w:tcPr>
          <w:p w14:paraId="0460A717"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No intervention; adverse mental health outcomes</w:t>
            </w:r>
          </w:p>
        </w:tc>
        <w:tc>
          <w:tcPr>
            <w:tcW w:w="2600" w:type="dxa"/>
            <w:tcMar>
              <w:top w:w="60" w:type="dxa"/>
              <w:left w:w="90" w:type="dxa"/>
              <w:bottom w:w="60" w:type="dxa"/>
              <w:right w:w="90" w:type="dxa"/>
            </w:tcMar>
          </w:tcPr>
          <w:p w14:paraId="0AF6DE9F"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Raised adjusted hazards: anxiety 1.33, depression 1.35, sleep disorder 1.68, sexual dysfunction 1.27; none for cognitive dysfunction</w:t>
            </w:r>
          </w:p>
        </w:tc>
        <w:tc>
          <w:tcPr>
            <w:tcW w:w="1700" w:type="dxa"/>
            <w:tcMar>
              <w:top w:w="60" w:type="dxa"/>
              <w:left w:w="90" w:type="dxa"/>
              <w:bottom w:w="60" w:type="dxa"/>
              <w:right w:w="90" w:type="dxa"/>
            </w:tcMar>
          </w:tcPr>
          <w:p w14:paraId="3BC73541"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Large, nationally representative; matched design; long follow-up</w:t>
            </w:r>
          </w:p>
        </w:tc>
        <w:tc>
          <w:tcPr>
            <w:tcW w:w="1658" w:type="dxa"/>
            <w:tcMar>
              <w:top w:w="60" w:type="dxa"/>
              <w:left w:w="90" w:type="dxa"/>
              <w:bottom w:w="60" w:type="dxa"/>
              <w:right w:w="90" w:type="dxa"/>
            </w:tcMar>
          </w:tcPr>
          <w:p w14:paraId="6452E0FE"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Clinician coding misses untreated distress; residual confounding possible</w:t>
            </w:r>
          </w:p>
        </w:tc>
      </w:tr>
      <w:tr w:rsidR="00ED0498" w:rsidRPr="00FB68EA" w14:paraId="11E8CEB2" w14:textId="77777777">
        <w:tc>
          <w:tcPr>
            <w:tcW w:w="1300" w:type="dxa"/>
            <w:tcMar>
              <w:top w:w="60" w:type="dxa"/>
              <w:left w:w="90" w:type="dxa"/>
              <w:bottom w:w="60" w:type="dxa"/>
              <w:right w:w="90" w:type="dxa"/>
            </w:tcMar>
          </w:tcPr>
          <w:p w14:paraId="22954B7D"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Sinclair, Gillanders, Rooney et al.</w:t>
            </w:r>
          </w:p>
        </w:tc>
        <w:tc>
          <w:tcPr>
            <w:tcW w:w="600" w:type="dxa"/>
            <w:tcMar>
              <w:top w:w="60" w:type="dxa"/>
              <w:left w:w="90" w:type="dxa"/>
              <w:bottom w:w="60" w:type="dxa"/>
              <w:right w:w="90" w:type="dxa"/>
            </w:tcMar>
          </w:tcPr>
          <w:p w14:paraId="547DCCFB"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2023</w:t>
            </w:r>
          </w:p>
        </w:tc>
        <w:tc>
          <w:tcPr>
            <w:tcW w:w="900" w:type="dxa"/>
            <w:tcMar>
              <w:top w:w="60" w:type="dxa"/>
              <w:left w:w="90" w:type="dxa"/>
              <w:bottom w:w="60" w:type="dxa"/>
              <w:right w:w="90" w:type="dxa"/>
            </w:tcMar>
          </w:tcPr>
          <w:p w14:paraId="792D9977"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Scotland (UK)</w:t>
            </w:r>
          </w:p>
        </w:tc>
        <w:tc>
          <w:tcPr>
            <w:tcW w:w="1600" w:type="dxa"/>
            <w:tcMar>
              <w:top w:w="60" w:type="dxa"/>
              <w:left w:w="90" w:type="dxa"/>
              <w:bottom w:w="60" w:type="dxa"/>
              <w:right w:w="90" w:type="dxa"/>
            </w:tcMar>
          </w:tcPr>
          <w:p w14:paraId="656553BA"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Real-world service evaluation; one-group post-test</w:t>
            </w:r>
          </w:p>
        </w:tc>
        <w:tc>
          <w:tcPr>
            <w:tcW w:w="1600" w:type="dxa"/>
            <w:tcMar>
              <w:top w:w="60" w:type="dxa"/>
              <w:left w:w="90" w:type="dxa"/>
              <w:bottom w:w="60" w:type="dxa"/>
              <w:right w:w="90" w:type="dxa"/>
            </w:tcMar>
          </w:tcPr>
          <w:p w14:paraId="7B49FD2E"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97 women after curative treatment, 21 groups</w:t>
            </w:r>
          </w:p>
        </w:tc>
        <w:tc>
          <w:tcPr>
            <w:tcW w:w="2000" w:type="dxa"/>
            <w:tcMar>
              <w:top w:w="60" w:type="dxa"/>
              <w:left w:w="90" w:type="dxa"/>
              <w:bottom w:w="60" w:type="dxa"/>
              <w:right w:w="90" w:type="dxa"/>
            </w:tcMar>
          </w:tcPr>
          <w:p w14:paraId="6082BC27"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Six-week acceptance and commitment therapy (ACT) group led by NHS clinicians</w:t>
            </w:r>
          </w:p>
        </w:tc>
        <w:tc>
          <w:tcPr>
            <w:tcW w:w="2600" w:type="dxa"/>
            <w:tcMar>
              <w:top w:w="60" w:type="dxa"/>
              <w:left w:w="90" w:type="dxa"/>
              <w:bottom w:w="60" w:type="dxa"/>
              <w:right w:w="90" w:type="dxa"/>
            </w:tcMar>
          </w:tcPr>
          <w:p w14:paraId="12791A7C"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Improved fear of recurrence and psychological flexibility; 89% completed at least four of six sessions</w:t>
            </w:r>
          </w:p>
        </w:tc>
        <w:tc>
          <w:tcPr>
            <w:tcW w:w="1700" w:type="dxa"/>
            <w:tcMar>
              <w:top w:w="60" w:type="dxa"/>
              <w:left w:w="90" w:type="dxa"/>
              <w:bottom w:w="60" w:type="dxa"/>
              <w:right w:w="90" w:type="dxa"/>
            </w:tcMar>
          </w:tcPr>
          <w:p w14:paraId="4AF9B341"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Routine service conditions; high ecological validity; multi-site</w:t>
            </w:r>
          </w:p>
        </w:tc>
        <w:tc>
          <w:tcPr>
            <w:tcW w:w="1658" w:type="dxa"/>
            <w:tcMar>
              <w:top w:w="60" w:type="dxa"/>
              <w:left w:w="90" w:type="dxa"/>
              <w:bottom w:w="60" w:type="dxa"/>
              <w:right w:w="90" w:type="dxa"/>
            </w:tcMar>
          </w:tcPr>
          <w:p w14:paraId="685EA4E5"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No control group; self-selected sample; possible regression to the mean; no long-term follow-up</w:t>
            </w:r>
          </w:p>
        </w:tc>
      </w:tr>
      <w:tr w:rsidR="00ED0498" w:rsidRPr="00FB68EA" w14:paraId="432EA78E" w14:textId="77777777">
        <w:tc>
          <w:tcPr>
            <w:tcW w:w="1300" w:type="dxa"/>
            <w:tcMar>
              <w:top w:w="60" w:type="dxa"/>
              <w:left w:w="90" w:type="dxa"/>
              <w:bottom w:w="60" w:type="dxa"/>
              <w:right w:w="90" w:type="dxa"/>
            </w:tcMar>
          </w:tcPr>
          <w:p w14:paraId="2B4E2C8D"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McHale, Cruickshank, Brown et al.</w:t>
            </w:r>
          </w:p>
        </w:tc>
        <w:tc>
          <w:tcPr>
            <w:tcW w:w="600" w:type="dxa"/>
            <w:tcMar>
              <w:top w:w="60" w:type="dxa"/>
              <w:left w:w="90" w:type="dxa"/>
              <w:bottom w:w="60" w:type="dxa"/>
              <w:right w:w="90" w:type="dxa"/>
            </w:tcMar>
          </w:tcPr>
          <w:p w14:paraId="710FE54D"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2024</w:t>
            </w:r>
          </w:p>
        </w:tc>
        <w:tc>
          <w:tcPr>
            <w:tcW w:w="900" w:type="dxa"/>
            <w:tcMar>
              <w:top w:w="60" w:type="dxa"/>
              <w:left w:w="90" w:type="dxa"/>
              <w:bottom w:w="60" w:type="dxa"/>
              <w:right w:w="90" w:type="dxa"/>
            </w:tcMar>
          </w:tcPr>
          <w:p w14:paraId="09DCB123"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Scotland (UK)</w:t>
            </w:r>
          </w:p>
        </w:tc>
        <w:tc>
          <w:tcPr>
            <w:tcW w:w="1600" w:type="dxa"/>
            <w:tcMar>
              <w:top w:w="60" w:type="dxa"/>
              <w:left w:w="90" w:type="dxa"/>
              <w:bottom w:w="60" w:type="dxa"/>
              <w:right w:w="90" w:type="dxa"/>
            </w:tcMar>
          </w:tcPr>
          <w:p w14:paraId="7284506C"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Non-randomised cluster-controlled pilot trial with interviews</w:t>
            </w:r>
          </w:p>
        </w:tc>
        <w:tc>
          <w:tcPr>
            <w:tcW w:w="1600" w:type="dxa"/>
            <w:tcMar>
              <w:top w:w="60" w:type="dxa"/>
              <w:left w:w="90" w:type="dxa"/>
              <w:bottom w:w="60" w:type="dxa"/>
              <w:right w:w="90" w:type="dxa"/>
            </w:tcMar>
          </w:tcPr>
          <w:p w14:paraId="590E2EBA"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92 screened, 45 eligible (17 intervention, 28 control); 34 at three months</w:t>
            </w:r>
          </w:p>
        </w:tc>
        <w:tc>
          <w:tcPr>
            <w:tcW w:w="2000" w:type="dxa"/>
            <w:tcMar>
              <w:top w:w="60" w:type="dxa"/>
              <w:left w:w="90" w:type="dxa"/>
              <w:bottom w:w="60" w:type="dxa"/>
              <w:right w:w="90" w:type="dxa"/>
            </w:tcMar>
          </w:tcPr>
          <w:p w14:paraId="10237A34"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Mini-AFTERc: single 30-minute nurse-led telephone discussion on fear of recurrence</w:t>
            </w:r>
          </w:p>
        </w:tc>
        <w:tc>
          <w:tcPr>
            <w:tcW w:w="2600" w:type="dxa"/>
            <w:tcMar>
              <w:top w:w="60" w:type="dxa"/>
              <w:left w:w="90" w:type="dxa"/>
              <w:bottom w:w="60" w:type="dxa"/>
              <w:right w:w="90" w:type="dxa"/>
            </w:tcMar>
          </w:tcPr>
          <w:p w14:paraId="3C13CE32"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Acceptable to women and nurses; retention high; nurses doubted delivery at scale</w:t>
            </w:r>
          </w:p>
        </w:tc>
        <w:tc>
          <w:tcPr>
            <w:tcW w:w="1700" w:type="dxa"/>
            <w:tcMar>
              <w:top w:w="60" w:type="dxa"/>
              <w:left w:w="90" w:type="dxa"/>
              <w:bottom w:w="60" w:type="dxa"/>
              <w:right w:w="90" w:type="dxa"/>
            </w:tcMar>
          </w:tcPr>
          <w:p w14:paraId="5EDA1B92"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Controlled design; four NHS centres; Normalisation Process Theory</w:t>
            </w:r>
          </w:p>
        </w:tc>
        <w:tc>
          <w:tcPr>
            <w:tcW w:w="1658" w:type="dxa"/>
            <w:tcMar>
              <w:top w:w="60" w:type="dxa"/>
              <w:left w:w="90" w:type="dxa"/>
              <w:bottom w:w="60" w:type="dxa"/>
              <w:right w:w="90" w:type="dxa"/>
            </w:tcMar>
          </w:tcPr>
          <w:p w14:paraId="70608DD9"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Not randomised; small sample; COVID-19 disruption; powered for feasibility only</w:t>
            </w:r>
          </w:p>
        </w:tc>
      </w:tr>
      <w:tr w:rsidR="00ED0498" w:rsidRPr="00FB68EA" w14:paraId="5758A002" w14:textId="77777777">
        <w:tc>
          <w:tcPr>
            <w:tcW w:w="1300" w:type="dxa"/>
            <w:tcMar>
              <w:top w:w="60" w:type="dxa"/>
              <w:left w:w="90" w:type="dxa"/>
              <w:bottom w:w="60" w:type="dxa"/>
              <w:right w:w="90" w:type="dxa"/>
            </w:tcMar>
          </w:tcPr>
          <w:p w14:paraId="6FDED7D0"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Isaac, Santin, Irwin et al.</w:t>
            </w:r>
          </w:p>
        </w:tc>
        <w:tc>
          <w:tcPr>
            <w:tcW w:w="600" w:type="dxa"/>
            <w:tcMar>
              <w:top w:w="60" w:type="dxa"/>
              <w:left w:w="90" w:type="dxa"/>
              <w:bottom w:w="60" w:type="dxa"/>
              <w:right w:w="90" w:type="dxa"/>
            </w:tcMar>
          </w:tcPr>
          <w:p w14:paraId="530A2F9C"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2026</w:t>
            </w:r>
          </w:p>
        </w:tc>
        <w:tc>
          <w:tcPr>
            <w:tcW w:w="900" w:type="dxa"/>
            <w:tcMar>
              <w:top w:w="60" w:type="dxa"/>
              <w:left w:w="90" w:type="dxa"/>
              <w:bottom w:w="60" w:type="dxa"/>
              <w:right w:w="90" w:type="dxa"/>
            </w:tcMar>
          </w:tcPr>
          <w:p w14:paraId="48D166FC"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Northern Ireland (UK)</w:t>
            </w:r>
          </w:p>
        </w:tc>
        <w:tc>
          <w:tcPr>
            <w:tcW w:w="1600" w:type="dxa"/>
            <w:tcMar>
              <w:top w:w="60" w:type="dxa"/>
              <w:left w:w="90" w:type="dxa"/>
              <w:bottom w:w="60" w:type="dxa"/>
              <w:right w:w="90" w:type="dxa"/>
            </w:tcMar>
          </w:tcPr>
          <w:p w14:paraId="2468C04B"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Scoping review of international literature</w:t>
            </w:r>
          </w:p>
        </w:tc>
        <w:tc>
          <w:tcPr>
            <w:tcW w:w="1600" w:type="dxa"/>
            <w:tcMar>
              <w:top w:w="60" w:type="dxa"/>
              <w:left w:w="90" w:type="dxa"/>
              <w:bottom w:w="60" w:type="dxa"/>
              <w:right w:w="90" w:type="dxa"/>
            </w:tcMar>
          </w:tcPr>
          <w:p w14:paraId="61A5C28E"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Studies of self-directed aftercare after breast cancer surgery</w:t>
            </w:r>
          </w:p>
        </w:tc>
        <w:tc>
          <w:tcPr>
            <w:tcW w:w="2000" w:type="dxa"/>
            <w:tcMar>
              <w:top w:w="60" w:type="dxa"/>
              <w:left w:w="90" w:type="dxa"/>
              <w:bottom w:w="60" w:type="dxa"/>
              <w:right w:w="90" w:type="dxa"/>
            </w:tcMar>
          </w:tcPr>
          <w:p w14:paraId="2F259C1A"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Self-directed aftercare and its psychological consequences</w:t>
            </w:r>
          </w:p>
        </w:tc>
        <w:tc>
          <w:tcPr>
            <w:tcW w:w="2600" w:type="dxa"/>
            <w:tcMar>
              <w:top w:w="60" w:type="dxa"/>
              <w:left w:w="90" w:type="dxa"/>
              <w:bottom w:w="60" w:type="dxa"/>
              <w:right w:w="90" w:type="dxa"/>
            </w:tcMar>
          </w:tcPr>
          <w:p w14:paraId="50E2551B"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Literature sparse and variable; attendance reduced but experience varied, with unmet psychological and information needs</w:t>
            </w:r>
          </w:p>
        </w:tc>
        <w:tc>
          <w:tcPr>
            <w:tcW w:w="1700" w:type="dxa"/>
            <w:tcMar>
              <w:top w:w="60" w:type="dxa"/>
              <w:left w:w="90" w:type="dxa"/>
              <w:bottom w:w="60" w:type="dxa"/>
              <w:right w:w="90" w:type="dxa"/>
            </w:tcMar>
          </w:tcPr>
          <w:p w14:paraId="15E7C77A"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Recent; explicit iterative search; relevant to UK service redesign</w:t>
            </w:r>
          </w:p>
        </w:tc>
        <w:tc>
          <w:tcPr>
            <w:tcW w:w="1658" w:type="dxa"/>
            <w:tcMar>
              <w:top w:w="60" w:type="dxa"/>
              <w:left w:w="90" w:type="dxa"/>
              <w:bottom w:w="60" w:type="dxa"/>
              <w:right w:w="90" w:type="dxa"/>
            </w:tcMar>
          </w:tcPr>
          <w:p w14:paraId="77DC3E8D" w14:textId="77777777" w:rsidR="00ED0498" w:rsidRPr="00FB68EA" w:rsidRDefault="00000000">
            <w:pPr>
              <w:spacing w:line="240" w:lineRule="auto"/>
              <w:rPr>
                <w:rFonts w:ascii="Arial" w:hAnsi="Arial" w:cs="Arial"/>
                <w:sz w:val="22"/>
                <w:szCs w:val="22"/>
              </w:rPr>
            </w:pPr>
            <w:r w:rsidRPr="00FB68EA">
              <w:rPr>
                <w:rFonts w:ascii="Arial" w:hAnsi="Arial" w:cs="Arial"/>
                <w:sz w:val="14"/>
                <w:szCs w:val="14"/>
              </w:rPr>
              <w:t>Inherits limitations of primary studies; no quality appraisal; limited UK data</w:t>
            </w:r>
          </w:p>
        </w:tc>
      </w:tr>
    </w:tbl>
    <w:p w14:paraId="7DFF3F12" w14:textId="77777777" w:rsidR="00ED0498" w:rsidRPr="00FB68EA" w:rsidRDefault="00ED0498">
      <w:pPr>
        <w:rPr>
          <w:rFonts w:ascii="Arial" w:hAnsi="Arial" w:cs="Arial"/>
          <w:sz w:val="22"/>
          <w:szCs w:val="22"/>
        </w:rPr>
        <w:sectPr w:rsidR="00ED0498" w:rsidRPr="00FB68EA">
          <w:footerReference w:type="default" r:id="rId10"/>
          <w:pgSz w:w="16838" w:h="11906" w:orient="landscape"/>
          <w:pgMar w:top="1440" w:right="1440" w:bottom="1440" w:left="1440" w:header="708" w:footer="708" w:gutter="0"/>
          <w:cols w:space="720"/>
          <w:docGrid w:linePitch="360"/>
        </w:sectPr>
      </w:pPr>
    </w:p>
    <w:p w14:paraId="44238748" w14:textId="77777777" w:rsidR="00ED0498" w:rsidRPr="00FB68EA" w:rsidRDefault="00000000">
      <w:pPr>
        <w:pStyle w:val="Heading2"/>
        <w:spacing w:before="240" w:after="160"/>
        <w:rPr>
          <w:rFonts w:ascii="Arial" w:hAnsi="Arial" w:cs="Arial"/>
          <w:sz w:val="24"/>
          <w:szCs w:val="24"/>
        </w:rPr>
      </w:pPr>
      <w:bookmarkStart w:id="13" w:name="_Toc237439100"/>
      <w:r w:rsidRPr="00FB68EA">
        <w:rPr>
          <w:rFonts w:ascii="Arial" w:hAnsi="Arial" w:cs="Arial"/>
          <w:b/>
          <w:bCs/>
          <w:color w:val="000000"/>
          <w:sz w:val="24"/>
          <w:szCs w:val="24"/>
        </w:rPr>
        <w:lastRenderedPageBreak/>
        <w:t>4.3 Thematic analysis</w:t>
      </w:r>
      <w:bookmarkEnd w:id="13"/>
    </w:p>
    <w:p w14:paraId="2209A4CF" w14:textId="77777777" w:rsidR="00ED0498" w:rsidRPr="00FB68EA" w:rsidRDefault="00000000">
      <w:pPr>
        <w:pStyle w:val="Heading2"/>
        <w:spacing w:before="240" w:after="160"/>
        <w:rPr>
          <w:rFonts w:ascii="Arial" w:hAnsi="Arial" w:cs="Arial"/>
          <w:sz w:val="24"/>
          <w:szCs w:val="24"/>
        </w:rPr>
      </w:pPr>
      <w:bookmarkStart w:id="14" w:name="_Toc237439101"/>
      <w:r w:rsidRPr="00FB68EA">
        <w:rPr>
          <w:rFonts w:ascii="Arial" w:hAnsi="Arial" w:cs="Arial"/>
          <w:b/>
          <w:bCs/>
          <w:color w:val="000000"/>
          <w:sz w:val="24"/>
          <w:szCs w:val="24"/>
        </w:rPr>
        <w:t>Theme 1: Psychological morbidity is persistent, patterned and under-recognised</w:t>
      </w:r>
      <w:bookmarkEnd w:id="14"/>
    </w:p>
    <w:p w14:paraId="67044FE5"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Psychological distress is neither temporary nor limited to active treatment. Briggs et al. (2020) found that women interviewed twelve to eighteen months after surgery still described fear, loss of confidence and preoccupation with recurrence when clinical contact had largely ceased, while Carreira et al. (2021) showed elevated hazards of anxiety, depression and sleep disorder extending years beyond diagnosis. Sinclair et al. (2023) recruited only women who had completed curative treatment, and demand for their programme indicates distress persists within an ostensibly disease-free population. Morbidity therefore appears under-recognised because it becomes most salient precisely when surveillance is least intensive.</w:t>
      </w:r>
    </w:p>
    <w:p w14:paraId="2B79F4F6" w14:textId="77777777" w:rsidR="00ED0498" w:rsidRPr="00FB68EA" w:rsidRDefault="00000000">
      <w:pPr>
        <w:pStyle w:val="Heading2"/>
        <w:spacing w:before="240" w:after="160"/>
        <w:rPr>
          <w:rFonts w:ascii="Arial" w:hAnsi="Arial" w:cs="Arial"/>
          <w:sz w:val="24"/>
          <w:szCs w:val="24"/>
        </w:rPr>
      </w:pPr>
      <w:bookmarkStart w:id="15" w:name="_Toc237439102"/>
      <w:r w:rsidRPr="00FB68EA">
        <w:rPr>
          <w:rFonts w:ascii="Arial" w:hAnsi="Arial" w:cs="Arial"/>
          <w:b/>
          <w:bCs/>
          <w:color w:val="000000"/>
          <w:sz w:val="24"/>
          <w:szCs w:val="24"/>
        </w:rPr>
        <w:t>Theme 2: Support is stratified in principle but unevenly delivered in practice</w:t>
      </w:r>
      <w:bookmarkEnd w:id="15"/>
    </w:p>
    <w:p w14:paraId="00B74302"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The interventions described do not evenly cover the tiers of the NICE (2004) model. McHale et al. (2024) assessed a level two intervention, a single thirty-minute structured telephone conversation with a specialist nurse; Sinclair et al. (2023) evaluated level three provision, a six-week acceptance and commitment therapy group led by NHS clinicians; and Briggs et al. (2020) examined the electronic HNA, the instrument designed to route women into these tiers. No study examined level four therapy, integration with NHS Talking Therapies, or provision for women with secondary breast cancer, suggesting the evidence has developed around the more easily evaluated parts of the pathway.</w:t>
      </w:r>
    </w:p>
    <w:p w14:paraId="11925BB3" w14:textId="77777777" w:rsidR="00ED0498" w:rsidRPr="00FB68EA" w:rsidRDefault="00000000">
      <w:pPr>
        <w:pStyle w:val="Heading2"/>
        <w:spacing w:before="240" w:after="160"/>
        <w:rPr>
          <w:rFonts w:ascii="Arial" w:hAnsi="Arial" w:cs="Arial"/>
          <w:sz w:val="24"/>
          <w:szCs w:val="24"/>
        </w:rPr>
      </w:pPr>
      <w:bookmarkStart w:id="16" w:name="_Toc237439103"/>
      <w:r w:rsidRPr="00FB68EA">
        <w:rPr>
          <w:rFonts w:ascii="Arial" w:hAnsi="Arial" w:cs="Arial"/>
          <w:b/>
          <w:bCs/>
          <w:color w:val="000000"/>
          <w:sz w:val="24"/>
          <w:szCs w:val="24"/>
        </w:rPr>
        <w:t>Theme 3: Identification of need outpaces onward provision</w:t>
      </w:r>
      <w:bookmarkEnd w:id="16"/>
    </w:p>
    <w:p w14:paraId="36D4AFCE" w14:textId="77777777" w:rsidR="00ED0498" w:rsidRDefault="00000000">
      <w:pPr>
        <w:spacing w:after="200"/>
        <w:jc w:val="both"/>
        <w:rPr>
          <w:rFonts w:ascii="Arial" w:hAnsi="Arial" w:cs="Arial"/>
          <w:sz w:val="22"/>
          <w:szCs w:val="22"/>
        </w:rPr>
      </w:pPr>
      <w:r w:rsidRPr="00FB68EA">
        <w:rPr>
          <w:rFonts w:ascii="Arial" w:hAnsi="Arial" w:cs="Arial"/>
          <w:sz w:val="22"/>
          <w:szCs w:val="22"/>
        </w:rPr>
        <w:t>One recurrent and uncomfortable finding is that mechanisms for identifying distress outperform the pathways they are meant to activate. Briggs et al. (2020) report that several women did not believe completing the eHNA would benefit them, viewing it as a hospital administrative activity rather than part of their care. Isaac et al. (2026) found that self-directed aftercare decreased clinic attendance but was linked to unmet psychological needs and confusion about how to re-enter the system. McHale et al. (2024) locate the constraint on the workforce side: nurses saw the intervention as a natural extension of conversations they already have, but doubted delivery at scale was achievable given competing demands.</w:t>
      </w:r>
    </w:p>
    <w:p w14:paraId="09476C0F" w14:textId="77777777" w:rsidR="00FB68EA" w:rsidRDefault="00FB68EA">
      <w:pPr>
        <w:spacing w:after="200"/>
        <w:jc w:val="both"/>
        <w:rPr>
          <w:rFonts w:ascii="Arial" w:hAnsi="Arial" w:cs="Arial"/>
          <w:sz w:val="22"/>
          <w:szCs w:val="22"/>
        </w:rPr>
      </w:pPr>
    </w:p>
    <w:p w14:paraId="3861E3BA" w14:textId="77777777" w:rsidR="00FB68EA" w:rsidRPr="00FB68EA" w:rsidRDefault="00FB68EA">
      <w:pPr>
        <w:spacing w:after="200"/>
        <w:jc w:val="both"/>
        <w:rPr>
          <w:rFonts w:ascii="Arial" w:hAnsi="Arial" w:cs="Arial"/>
          <w:sz w:val="22"/>
          <w:szCs w:val="22"/>
        </w:rPr>
      </w:pPr>
    </w:p>
    <w:p w14:paraId="186945A5" w14:textId="77777777" w:rsidR="00ED0498" w:rsidRPr="00FB68EA" w:rsidRDefault="00000000">
      <w:pPr>
        <w:pStyle w:val="Heading2"/>
        <w:spacing w:before="240" w:after="160"/>
        <w:rPr>
          <w:rFonts w:ascii="Arial" w:hAnsi="Arial" w:cs="Arial"/>
          <w:sz w:val="24"/>
          <w:szCs w:val="24"/>
        </w:rPr>
      </w:pPr>
      <w:bookmarkStart w:id="17" w:name="_Toc237439104"/>
      <w:r w:rsidRPr="00FB68EA">
        <w:rPr>
          <w:rFonts w:ascii="Arial" w:hAnsi="Arial" w:cs="Arial"/>
          <w:b/>
          <w:bCs/>
          <w:color w:val="000000"/>
          <w:sz w:val="24"/>
          <w:szCs w:val="24"/>
        </w:rPr>
        <w:lastRenderedPageBreak/>
        <w:t>Theme 4: Reported benefits are encouraging but evidentially fragile</w:t>
      </w:r>
      <w:bookmarkEnd w:id="17"/>
    </w:p>
    <w:p w14:paraId="19A197F8"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Both intervention studies reported favourable outcomes. Sinclair et al. (2023) documented improvements in fear of recurrence and psychological flexibility, with 89% completing at least four of six sessions, while McHale et al. (2024) found high acceptability and retention. Neither design supports a causal claim: the former was a single-group post-test evaluation without a comparator, the latter a non-randomised pilot that recruited 45 of 92 screened women and was powered for feasibility rather than efficacy. Quality of life was rarely examined as a formal endpoint, and no study tracked participants beyond a year.</w:t>
      </w:r>
    </w:p>
    <w:p w14:paraId="674FD471" w14:textId="77777777" w:rsidR="00ED0498" w:rsidRPr="00FB68EA" w:rsidRDefault="00000000">
      <w:pPr>
        <w:pStyle w:val="Heading2"/>
        <w:spacing w:before="240" w:after="160"/>
        <w:rPr>
          <w:rFonts w:ascii="Arial" w:hAnsi="Arial" w:cs="Arial"/>
          <w:sz w:val="24"/>
          <w:szCs w:val="24"/>
        </w:rPr>
      </w:pPr>
      <w:bookmarkStart w:id="18" w:name="_Toc237439105"/>
      <w:r w:rsidRPr="00FB68EA">
        <w:rPr>
          <w:rFonts w:ascii="Arial" w:hAnsi="Arial" w:cs="Arial"/>
          <w:b/>
          <w:bCs/>
          <w:color w:val="000000"/>
          <w:sz w:val="24"/>
          <w:szCs w:val="24"/>
        </w:rPr>
        <w:t>Theme 5: Structural gaps in equity, workforce and the drift towards self-management</w:t>
      </w:r>
      <w:bookmarkEnd w:id="18"/>
    </w:p>
    <w:p w14:paraId="7C95DA99"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The final theme concerns the system rather than the intervention. Provision depends heavily on a small number of specialist nurses and on charitably funded settings, an arrangement that is efficient but fragile (Sinclair et al., 2023; McHale et al., 2024). Service redesign is meanwhile moving towards self-directed follow-up, which Isaac et al. (2026) show rests on sparse evidence and assumes a level of confidence, health literacy and social resource that is unequally distributed. No included study reported outcomes by ethnicity or socioeconomic position, so the equity implications remain unexamined.</w:t>
      </w:r>
    </w:p>
    <w:p w14:paraId="1BF020D6" w14:textId="77777777" w:rsidR="00ED0498" w:rsidRPr="00FB68EA" w:rsidRDefault="00000000">
      <w:pPr>
        <w:pStyle w:val="Heading1"/>
        <w:spacing w:before="360" w:after="200"/>
        <w:rPr>
          <w:rFonts w:ascii="Arial" w:hAnsi="Arial" w:cs="Arial"/>
          <w:sz w:val="30"/>
          <w:szCs w:val="30"/>
        </w:rPr>
      </w:pPr>
      <w:bookmarkStart w:id="19" w:name="_Toc237439106"/>
      <w:r w:rsidRPr="00FB68EA">
        <w:rPr>
          <w:rFonts w:ascii="Arial" w:hAnsi="Arial" w:cs="Arial"/>
          <w:b/>
          <w:bCs/>
          <w:color w:val="000000"/>
          <w:sz w:val="30"/>
          <w:szCs w:val="30"/>
        </w:rPr>
        <w:t>5. Discussion</w:t>
      </w:r>
      <w:bookmarkEnd w:id="19"/>
    </w:p>
    <w:p w14:paraId="662871F4"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Considered collectively, the evidence points to a field certain about the issue but hesitant about the solution. The strongest agreement relates to prevalence and persistence: a routine-data cohort of tens of thousands (Carreira et al., 2021), a small interview study (Briggs et al., 2020) and a service evaluation of a self-selected group (Sinclair et al., 2023) reach the same conclusion through completely different methods — that psychological difficulty frequently outlasts treatment. Convergence among approaches with non-overlapping biases is a significant form of corroboration, and probably the most reliable conclusion this review can offer.</w:t>
      </w:r>
    </w:p>
    <w:p w14:paraId="38A89108"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The differences in how the studies conceptualise distress make the disagreements more revealing. Carreira et al. (2021) operationalise psychological morbidity through coded diagnoses and prescriptions, capturing treated illness but saying nothing about women who never present and unable to distinguish clinical depression from a reasonable adjustment reaction. Sinclair et al. (2023) and McHale et al. (2024) instead target fear of recurrence, a concern that is frequently sub-threshold, infrequently coded and therefore unseen in the very data source that yields the most reliable national figures. The evidence base thus contains a </w:t>
      </w:r>
      <w:r w:rsidRPr="00FB68EA">
        <w:rPr>
          <w:rFonts w:ascii="Arial" w:hAnsi="Arial" w:cs="Arial"/>
          <w:sz w:val="22"/>
          <w:szCs w:val="22"/>
        </w:rPr>
        <w:lastRenderedPageBreak/>
        <w:t>blind spot: epidemiology detects what services treat, while the intervention literature addresses what services largely do not.</w:t>
      </w:r>
    </w:p>
    <w:p w14:paraId="35D0AF42"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Evidence quality varies and should be weighed accordingly. Carreira et al. (2021) is methodologically the strongest study included, deriving power and generalisability from a matched design applied to a nationally representative dataset, though residual confounding and reliance on clinician coding remain limitations. Briggs et al. (2020) offers explanatory depth no quantitative design could supply, but fifteen participants from a single centre limit transferability. Sinclair et al. (2023) has ecological validity, since the programme ran under ordinary NHS conditions, yet without a control group improvement cannot be separated from natural recovery or self-selection. McHale et al. (2024) is the more rigorous of the two intervention studies because of its controlled design, but enrolled fewer than half of those screened and was interrupted by COVID-19, so its contribution is proof of feasibility rather than effect.</w:t>
      </w:r>
    </w:p>
    <w:p w14:paraId="21E0382B"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The pattern is instructive when compared with NICE recommendations. The four-tier model (NICE, 2004) presupposes a working escalation route, yet the included studies show activity at levels two and three and essentially nothing at level four. The eHNA exists to operationalise NICE’s (2018) requirement that women be given information and access to support; Briggs et al. (2020), however, suggest assessment can be carried out compliantly with little benefit to the women completing it. This distinction between therapeutic benefit and process compliance reflects the emotional support gap documented nationally (NHS England, 2024). Geography adds a caveat: two of the three UK intervention studies were conducted in Scotland, within a devolved system that organises cancer follow-up differently from England, so applicability across the four nations should not be assumed.</w:t>
      </w:r>
    </w:p>
    <w:p w14:paraId="31D77E26"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For healthcare professionals, the implications are practical. Brief, structured interventions delivered by specialist nurses appear acceptable and congruent with nursing practice (McHale et al., 2024), supporting investment in level two training and supervision rather than exclusive reliance on scarce psychological therapists. Women value being asked about emotional concerns provided that asking leads somewhere. The central message for policy is that identification without commissioned onward provision leads to disappointment rather than benefit, and that the transition to self-directed aftercare is happening ahead of the evidence, despite being justified on capacity grounds (Isaac et al., 2026). Similar questions are being investigated internationally: guided online interventions for fear of recurrence have been tested in European primary care with modest results (Luigjes-Huizer et al., 2023), and personalised follow-up mapped elsewhere in Europe (de Ligt et al., 2019). Given the distinctive structure of NHS and charitable provision, neither replaces UK evaluation.</w:t>
      </w:r>
    </w:p>
    <w:p w14:paraId="330F37F2" w14:textId="7C1A7323" w:rsidR="00ED0498" w:rsidRPr="00FB68EA" w:rsidRDefault="00000000">
      <w:pPr>
        <w:spacing w:after="200"/>
        <w:jc w:val="both"/>
        <w:rPr>
          <w:rFonts w:ascii="Arial" w:hAnsi="Arial" w:cs="Arial"/>
          <w:sz w:val="22"/>
          <w:szCs w:val="22"/>
        </w:rPr>
      </w:pPr>
      <w:r w:rsidRPr="00FB68EA">
        <w:rPr>
          <w:rFonts w:ascii="Arial" w:hAnsi="Arial" w:cs="Arial"/>
          <w:sz w:val="22"/>
          <w:szCs w:val="22"/>
        </w:rPr>
        <w:lastRenderedPageBreak/>
        <w:t xml:space="preserve">Several gaps follow. There is no sufficiently powered UK </w:t>
      </w:r>
      <w:r w:rsidR="00710397">
        <w:rPr>
          <w:rFonts w:ascii="Arial" w:hAnsi="Arial" w:cs="Arial"/>
          <w:sz w:val="22"/>
          <w:szCs w:val="22"/>
        </w:rPr>
        <w:t xml:space="preserve">haphazard </w:t>
      </w:r>
      <w:r w:rsidRPr="00FB68EA">
        <w:rPr>
          <w:rFonts w:ascii="Arial" w:hAnsi="Arial" w:cs="Arial"/>
          <w:sz w:val="22"/>
          <w:szCs w:val="22"/>
        </w:rPr>
        <w:t>controlled trial of a psychological inter</w:t>
      </w:r>
      <w:r w:rsidR="00710397">
        <w:rPr>
          <w:rFonts w:ascii="Arial" w:hAnsi="Arial" w:cs="Arial"/>
          <w:sz w:val="22"/>
          <w:szCs w:val="22"/>
        </w:rPr>
        <w:t>cessi</w:t>
      </w:r>
      <w:r w:rsidRPr="00FB68EA">
        <w:rPr>
          <w:rFonts w:ascii="Arial" w:hAnsi="Arial" w:cs="Arial"/>
          <w:sz w:val="22"/>
          <w:szCs w:val="22"/>
        </w:rPr>
        <w:t>on using quality of life as the main outcome, and economic evaluation is virtually non-existent despite its role in NHS commissioning. Women with secondary breast cancer are underrepresented, despite their psychological needs arguably being the greatest, and the field cannot determine whether current provision reduces or widens inequality because no included study reported results by ethnicity or deprivation.</w:t>
      </w:r>
    </w:p>
    <w:p w14:paraId="69E204F8" w14:textId="77777777" w:rsidR="00ED0498" w:rsidRPr="00FB68EA" w:rsidRDefault="00000000">
      <w:pPr>
        <w:pStyle w:val="Heading1"/>
        <w:spacing w:before="360" w:after="200"/>
        <w:rPr>
          <w:rFonts w:ascii="Arial" w:hAnsi="Arial" w:cs="Arial"/>
          <w:sz w:val="30"/>
          <w:szCs w:val="30"/>
        </w:rPr>
      </w:pPr>
      <w:bookmarkStart w:id="20" w:name="_Toc237439107"/>
      <w:r w:rsidRPr="00FB68EA">
        <w:rPr>
          <w:rFonts w:ascii="Arial" w:hAnsi="Arial" w:cs="Arial"/>
          <w:b/>
          <w:bCs/>
          <w:color w:val="000000"/>
          <w:sz w:val="30"/>
          <w:szCs w:val="30"/>
        </w:rPr>
        <w:t>6. Limitations</w:t>
      </w:r>
      <w:bookmarkEnd w:id="20"/>
    </w:p>
    <w:p w14:paraId="1EE597EE" w14:textId="096081D3"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Several limitations qualify these conclusions. Only five studies were included, a deliberate choice consistent with the scope of the review but one that makes the resulting map indicative rather than exhaustive. Restricting inclusion to English-language publications introduces language bias, although this is mitigated by the UK focus. The review is also vulnerable to publication bias: interventions that fail are less likely to be published, and both included intervention studies report favourable findings. Searching four databases excluded grey literature, locally held service evaluations and theses. One reviewer conducted the screening and charting, whereas duplicate screening is advised to reduce selection error. Lastly, scoping methodology does not include formal critical appraisal (Peters et al., 2020), so the </w:t>
      </w:r>
      <w:r w:rsidR="00710397">
        <w:rPr>
          <w:rFonts w:ascii="Arial" w:hAnsi="Arial" w:cs="Arial"/>
          <w:sz w:val="22"/>
          <w:szCs w:val="22"/>
        </w:rPr>
        <w:t xml:space="preserve">integration </w:t>
      </w:r>
      <w:r w:rsidRPr="00FB68EA">
        <w:rPr>
          <w:rFonts w:ascii="Arial" w:hAnsi="Arial" w:cs="Arial"/>
          <w:sz w:val="22"/>
          <w:szCs w:val="22"/>
        </w:rPr>
        <w:t xml:space="preserve">describes the </w:t>
      </w:r>
      <w:r w:rsidR="00710397">
        <w:rPr>
          <w:rFonts w:ascii="Arial" w:hAnsi="Arial" w:cs="Arial"/>
          <w:sz w:val="22"/>
          <w:szCs w:val="22"/>
        </w:rPr>
        <w:t>documentation</w:t>
      </w:r>
      <w:r w:rsidRPr="00FB68EA">
        <w:rPr>
          <w:rFonts w:ascii="Arial" w:hAnsi="Arial" w:cs="Arial"/>
          <w:sz w:val="22"/>
          <w:szCs w:val="22"/>
        </w:rPr>
        <w:t xml:space="preserve"> rather than demonstrating effectiveness, and the concentration of studies in Scotland restricts generalisability.</w:t>
      </w:r>
    </w:p>
    <w:p w14:paraId="69024646" w14:textId="77777777" w:rsidR="00ED0498" w:rsidRPr="00FB68EA" w:rsidRDefault="00000000">
      <w:pPr>
        <w:pStyle w:val="Heading1"/>
        <w:spacing w:before="360" w:after="200"/>
        <w:rPr>
          <w:rFonts w:ascii="Arial" w:hAnsi="Arial" w:cs="Arial"/>
          <w:sz w:val="30"/>
          <w:szCs w:val="30"/>
        </w:rPr>
      </w:pPr>
      <w:bookmarkStart w:id="21" w:name="_Toc237439108"/>
      <w:r w:rsidRPr="00FB68EA">
        <w:rPr>
          <w:rFonts w:ascii="Arial" w:hAnsi="Arial" w:cs="Arial"/>
          <w:b/>
          <w:bCs/>
          <w:color w:val="000000"/>
          <w:sz w:val="30"/>
          <w:szCs w:val="30"/>
        </w:rPr>
        <w:t>7. Conclusion</w:t>
      </w:r>
      <w:bookmarkEnd w:id="21"/>
    </w:p>
    <w:p w14:paraId="174EC9D8" w14:textId="77777777" w:rsidR="00ED0498" w:rsidRDefault="00000000">
      <w:pPr>
        <w:spacing w:after="200"/>
        <w:jc w:val="both"/>
        <w:rPr>
          <w:rFonts w:ascii="Arial" w:hAnsi="Arial" w:cs="Arial"/>
          <w:sz w:val="22"/>
          <w:szCs w:val="22"/>
        </w:rPr>
      </w:pPr>
      <w:r w:rsidRPr="00FB68EA">
        <w:rPr>
          <w:rFonts w:ascii="Arial" w:hAnsi="Arial" w:cs="Arial"/>
          <w:sz w:val="22"/>
          <w:szCs w:val="22"/>
        </w:rPr>
        <w:t>An imbalance between description and evaluation characterises the evidence on psychological support for women with breast cancer in the United Kingdom. Psychological morbidity after diagnosis is well quantified, reliably reported using different approaches, and clearly persists after therapy ends. The evidence about what is done to address it is by contrast sparse, regionally focused, methodologically limited and concentrated at the lower levels of the recommended model of care. The interventions evaluated are acceptable and feasible within NHS settings, but their designs cannot establish effectiveness and rarely measure quality of life directly. The review’s most consistent conclusion is that psychological need is identified more reliably by UK services than it is met, and that this gap, rather than any shortage of assessment tools, is where both the literature and the service response are weakest.</w:t>
      </w:r>
    </w:p>
    <w:p w14:paraId="314A1A63" w14:textId="77777777" w:rsidR="00FB68EA" w:rsidRPr="00FB68EA" w:rsidRDefault="00FB68EA">
      <w:pPr>
        <w:spacing w:after="200"/>
        <w:jc w:val="both"/>
        <w:rPr>
          <w:rFonts w:ascii="Arial" w:hAnsi="Arial" w:cs="Arial"/>
          <w:sz w:val="22"/>
          <w:szCs w:val="22"/>
        </w:rPr>
      </w:pPr>
    </w:p>
    <w:p w14:paraId="44A211D9" w14:textId="77777777" w:rsidR="00ED0498" w:rsidRPr="00FB68EA" w:rsidRDefault="00000000">
      <w:pPr>
        <w:pStyle w:val="Heading1"/>
        <w:spacing w:before="360" w:after="200"/>
        <w:rPr>
          <w:rFonts w:ascii="Arial" w:hAnsi="Arial" w:cs="Arial"/>
          <w:sz w:val="30"/>
          <w:szCs w:val="30"/>
        </w:rPr>
      </w:pPr>
      <w:bookmarkStart w:id="22" w:name="_Toc237439109"/>
      <w:r w:rsidRPr="00FB68EA">
        <w:rPr>
          <w:rFonts w:ascii="Arial" w:hAnsi="Arial" w:cs="Arial"/>
          <w:b/>
          <w:bCs/>
          <w:color w:val="000000"/>
          <w:sz w:val="30"/>
          <w:szCs w:val="30"/>
        </w:rPr>
        <w:lastRenderedPageBreak/>
        <w:t>8. Recommendations</w:t>
      </w:r>
      <w:bookmarkEnd w:id="22"/>
    </w:p>
    <w:p w14:paraId="18939C62" w14:textId="77777777" w:rsidR="00ED0498" w:rsidRPr="00FB68EA" w:rsidRDefault="00000000">
      <w:pPr>
        <w:pStyle w:val="Heading2"/>
        <w:spacing w:before="240" w:after="160"/>
        <w:rPr>
          <w:rFonts w:ascii="Arial" w:hAnsi="Arial" w:cs="Arial"/>
          <w:sz w:val="24"/>
          <w:szCs w:val="24"/>
        </w:rPr>
      </w:pPr>
      <w:bookmarkStart w:id="23" w:name="_Toc237439110"/>
      <w:r w:rsidRPr="00FB68EA">
        <w:rPr>
          <w:rFonts w:ascii="Arial" w:hAnsi="Arial" w:cs="Arial"/>
          <w:b/>
          <w:bCs/>
          <w:color w:val="000000"/>
          <w:sz w:val="24"/>
          <w:szCs w:val="24"/>
        </w:rPr>
        <w:t>8.1 Future research</w:t>
      </w:r>
      <w:bookmarkEnd w:id="23"/>
    </w:p>
    <w:p w14:paraId="71E31A50"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The clearest priority is a multi-centre randomised controlled trial of a brief psychological intervention, conducted across more than one UK nation and using validated quality of life measures as the primary endpoint. It should include follow-up beyond a year, an embedded economic evaluation and pre-specified analysis by ethnicity and deprivation. Research is also needed with women living with secondary breast cancer, whose needs remain largely unmapped.</w:t>
      </w:r>
    </w:p>
    <w:p w14:paraId="3075708A" w14:textId="77777777" w:rsidR="00ED0498" w:rsidRPr="00FB68EA" w:rsidRDefault="00000000">
      <w:pPr>
        <w:pStyle w:val="Heading2"/>
        <w:spacing w:before="240" w:after="160"/>
        <w:rPr>
          <w:rFonts w:ascii="Arial" w:hAnsi="Arial" w:cs="Arial"/>
          <w:sz w:val="24"/>
          <w:szCs w:val="24"/>
        </w:rPr>
      </w:pPr>
      <w:bookmarkStart w:id="24" w:name="_Toc237439111"/>
      <w:r w:rsidRPr="00FB68EA">
        <w:rPr>
          <w:rFonts w:ascii="Arial" w:hAnsi="Arial" w:cs="Arial"/>
          <w:b/>
          <w:bCs/>
          <w:color w:val="000000"/>
          <w:sz w:val="24"/>
          <w:szCs w:val="24"/>
        </w:rPr>
        <w:t>8.2 Clinical practice</w:t>
      </w:r>
      <w:bookmarkEnd w:id="24"/>
    </w:p>
    <w:p w14:paraId="246B332E"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Rather than a form-filling exercise, holistic needs assessment should be conducted as a structured dialogue, with the results documented, explained and connected to a named next step. It should be repeated at the end of active treatment, when the reviewed evidence indicates distress is most likely to surface and contact most likely to lapse.</w:t>
      </w:r>
    </w:p>
    <w:p w14:paraId="3F972568" w14:textId="77777777" w:rsidR="00ED0498" w:rsidRPr="00FB68EA" w:rsidRDefault="00000000">
      <w:pPr>
        <w:pStyle w:val="Heading2"/>
        <w:spacing w:before="240" w:after="160"/>
        <w:rPr>
          <w:rFonts w:ascii="Arial" w:hAnsi="Arial" w:cs="Arial"/>
          <w:sz w:val="24"/>
          <w:szCs w:val="24"/>
        </w:rPr>
      </w:pPr>
      <w:bookmarkStart w:id="25" w:name="_Toc237439112"/>
      <w:r w:rsidRPr="00FB68EA">
        <w:rPr>
          <w:rFonts w:ascii="Arial" w:hAnsi="Arial" w:cs="Arial"/>
          <w:b/>
          <w:bCs/>
          <w:color w:val="000000"/>
          <w:sz w:val="24"/>
          <w:szCs w:val="24"/>
        </w:rPr>
        <w:t>8.3 UK health policy</w:t>
      </w:r>
      <w:bookmarkEnd w:id="25"/>
    </w:p>
    <w:p w14:paraId="2482DB61"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To prevent local discretion from determining availability, commissioners should stipulate minimum psychological provision in cancer service contracts, including defined access to level three and four support. Further expansion of self-directed follow-up should be accompanied by mandated evaluation of psychological outcomes and monitoring for disproportionate effects on disadvantaged groups.</w:t>
      </w:r>
    </w:p>
    <w:p w14:paraId="4B26CE7C" w14:textId="77777777" w:rsidR="00ED0498" w:rsidRPr="00FB68EA" w:rsidRDefault="00000000">
      <w:pPr>
        <w:pStyle w:val="Heading2"/>
        <w:spacing w:before="240" w:after="160"/>
        <w:rPr>
          <w:rFonts w:ascii="Arial" w:hAnsi="Arial" w:cs="Arial"/>
          <w:sz w:val="24"/>
          <w:szCs w:val="24"/>
        </w:rPr>
      </w:pPr>
      <w:bookmarkStart w:id="26" w:name="_Toc237439113"/>
      <w:r w:rsidRPr="00FB68EA">
        <w:rPr>
          <w:rFonts w:ascii="Arial" w:hAnsi="Arial" w:cs="Arial"/>
          <w:b/>
          <w:bCs/>
          <w:color w:val="000000"/>
          <w:sz w:val="24"/>
          <w:szCs w:val="24"/>
        </w:rPr>
        <w:t>8.4 NHS services</w:t>
      </w:r>
      <w:bookmarkEnd w:id="26"/>
    </w:p>
    <w:p w14:paraId="2ACC585E" w14:textId="77777777" w:rsidR="00ED0498" w:rsidRPr="00FB68EA" w:rsidRDefault="00000000">
      <w:pPr>
        <w:spacing w:after="200"/>
        <w:jc w:val="both"/>
        <w:rPr>
          <w:rFonts w:ascii="Arial" w:hAnsi="Arial" w:cs="Arial"/>
          <w:sz w:val="22"/>
          <w:szCs w:val="22"/>
        </w:rPr>
      </w:pPr>
      <w:r w:rsidRPr="00FB68EA">
        <w:rPr>
          <w:rFonts w:ascii="Arial" w:hAnsi="Arial" w:cs="Arial"/>
          <w:sz w:val="22"/>
          <w:szCs w:val="22"/>
        </w:rPr>
        <w:t>Services should establish clear referral routes between breast cancer teams, NHS Talking Therapies and specialist psycho-oncology, together with re-entry arrangements for women on self-directed pathways. Formal partnership agreements with Macmillan Cancer Support, Breast Cancer Now and Maggie’s centres would ensure charitably provided support is planned as part of the pathway rather than relied upon informally.</w:t>
      </w:r>
    </w:p>
    <w:p w14:paraId="7C66E882" w14:textId="77777777" w:rsidR="00ED0498" w:rsidRPr="00FB68EA" w:rsidRDefault="00000000">
      <w:pPr>
        <w:pStyle w:val="Heading2"/>
        <w:spacing w:before="240" w:after="160"/>
        <w:rPr>
          <w:rFonts w:ascii="Arial" w:hAnsi="Arial" w:cs="Arial"/>
          <w:sz w:val="24"/>
          <w:szCs w:val="24"/>
        </w:rPr>
      </w:pPr>
      <w:bookmarkStart w:id="27" w:name="_Toc237439114"/>
      <w:r w:rsidRPr="00FB68EA">
        <w:rPr>
          <w:rFonts w:ascii="Arial" w:hAnsi="Arial" w:cs="Arial"/>
          <w:b/>
          <w:bCs/>
          <w:color w:val="000000"/>
          <w:sz w:val="24"/>
          <w:szCs w:val="24"/>
        </w:rPr>
        <w:t>8.5 Professional education</w:t>
      </w:r>
      <w:bookmarkEnd w:id="27"/>
    </w:p>
    <w:p w14:paraId="12F2C5AE" w14:textId="694800AC" w:rsidR="00ED0498" w:rsidRPr="00FB68EA" w:rsidRDefault="00000000">
      <w:pPr>
        <w:spacing w:after="200"/>
        <w:jc w:val="both"/>
        <w:rPr>
          <w:rFonts w:ascii="Arial" w:hAnsi="Arial" w:cs="Arial"/>
          <w:sz w:val="22"/>
          <w:szCs w:val="22"/>
        </w:rPr>
      </w:pPr>
      <w:r w:rsidRPr="00FB68EA">
        <w:rPr>
          <w:rFonts w:ascii="Arial" w:hAnsi="Arial" w:cs="Arial"/>
          <w:sz w:val="22"/>
          <w:szCs w:val="22"/>
        </w:rPr>
        <w:t xml:space="preserve">Pre-registration and </w:t>
      </w:r>
      <w:r w:rsidR="00710397">
        <w:rPr>
          <w:rFonts w:ascii="Arial" w:hAnsi="Arial" w:cs="Arial"/>
          <w:sz w:val="22"/>
          <w:szCs w:val="22"/>
        </w:rPr>
        <w:t xml:space="preserve">ongoing </w:t>
      </w:r>
      <w:r w:rsidRPr="00FB68EA">
        <w:rPr>
          <w:rFonts w:ascii="Arial" w:hAnsi="Arial" w:cs="Arial"/>
          <w:sz w:val="22"/>
          <w:szCs w:val="22"/>
        </w:rPr>
        <w:t>professional development curricula for nursing and a</w:t>
      </w:r>
      <w:r w:rsidR="00710397">
        <w:rPr>
          <w:rFonts w:ascii="Arial" w:hAnsi="Arial" w:cs="Arial"/>
          <w:sz w:val="22"/>
          <w:szCs w:val="22"/>
        </w:rPr>
        <w:t>ssociated</w:t>
      </w:r>
      <w:r w:rsidRPr="00FB68EA">
        <w:rPr>
          <w:rFonts w:ascii="Arial" w:hAnsi="Arial" w:cs="Arial"/>
          <w:sz w:val="22"/>
          <w:szCs w:val="22"/>
        </w:rPr>
        <w:t xml:space="preserve"> health professions should include level two psychological skills, distress screening and structured techniques for addressing fear of recurrence, supported by protected time and clinical supervision. Without this, brief interventions of the type evaluated here cannot be delivered at scale.</w:t>
      </w:r>
    </w:p>
    <w:p w14:paraId="069660D5" w14:textId="77777777" w:rsidR="00ED0498" w:rsidRPr="00FB68EA" w:rsidRDefault="00000000">
      <w:pPr>
        <w:pStyle w:val="Heading1"/>
        <w:spacing w:before="360" w:after="200"/>
        <w:rPr>
          <w:rFonts w:ascii="Arial" w:hAnsi="Arial" w:cs="Arial"/>
          <w:sz w:val="30"/>
          <w:szCs w:val="30"/>
        </w:rPr>
      </w:pPr>
      <w:bookmarkStart w:id="28" w:name="_Toc237439115"/>
      <w:r w:rsidRPr="00FB68EA">
        <w:rPr>
          <w:rFonts w:ascii="Arial" w:hAnsi="Arial" w:cs="Arial"/>
          <w:b/>
          <w:bCs/>
          <w:color w:val="000000"/>
          <w:sz w:val="30"/>
          <w:szCs w:val="30"/>
        </w:rPr>
        <w:lastRenderedPageBreak/>
        <w:t>References</w:t>
      </w:r>
      <w:bookmarkEnd w:id="28"/>
    </w:p>
    <w:p w14:paraId="520D7CD5"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Arksey, H. and O’Malley, L. (2005) ‘Scoping studies: towards a methodological framework’, International Journal of Social Research Methodology, 8(1), pp. 19–32. doi: 10.1080/1364557032000119616.</w:t>
      </w:r>
    </w:p>
    <w:p w14:paraId="6A7ACCB8"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Braun, V. and Clarke, V. (2006) ‘Using thematic analysis in psychology’, Qualitative Research in Psychology, 3(2), pp. 77–101. doi: 10.1191/1478088706qp063oa.</w:t>
      </w:r>
    </w:p>
    <w:p w14:paraId="040CAAC7"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Breast Cancer Now (2025) Breast cancer in the UK 2025. London: Breast Cancer Now. Available at: https://breastcancernow.org/about-us/our-impact/breast-cancer-facts-and-statistics/breast-cancer-in-the-uk-2025 (Accessed: 20 July 2026).</w:t>
      </w:r>
    </w:p>
    <w:p w14:paraId="75005866"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Briggs, L., Cooper, J., Cox, K. and Blake, H. (2020) ‘Concerns, coping and the electronic Holistic Needs Assessment: experiences of UK breast cancer survivors’, Journal of Research in Nursing, 25(2), pp. 97–110. doi: 10.1177/1744987119829801.</w:t>
      </w:r>
    </w:p>
    <w:p w14:paraId="294C4588"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Cancer Research UK (2025) Breast cancer statistics. Available at: https://www.cancerresearchuk.org/health-professional/cancer-statistics/statistics-by-cancer-type/breast-cancer (Accessed: 18 July 2026).</w:t>
      </w:r>
    </w:p>
    <w:p w14:paraId="6E142B46"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Carreira, H., Williams, R., Dempsey, H., Stanway, S., Smeeth, L. and Bhaskaran, K. (2020) ‘Quality of life and mental health in breast cancer survivors compared with non-cancer controls: a study of patient-reported outcomes in the United Kingdom’, Journal of Cancer Survivorship, 15(4), pp. 564–575. doi: 10.1007/s11764-020-00950-3.</w:t>
      </w:r>
    </w:p>
    <w:p w14:paraId="16CD1777"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Carreira, H., Williams, R., Funston, G., Stanway, S. and Bhaskaran, K. (2021) ‘Associations between breast cancer survivorship and adverse mental health outcomes: a matched population-based cohort study in the United Kingdom’, PLOS Medicine, 18(1), e1003504. doi: 10.1371/journal.pmed.1003504.</w:t>
      </w:r>
    </w:p>
    <w:p w14:paraId="5509ED99"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de Ligt, K.M., Heins, M.J., Verloop, J., Siesling, S. and Vrijhoef, H.J.M. (2019) ‘Opportunities for personalised follow-up care among patients with breast cancer: a scoping review to identify preference-sensitive decisions’, European Journal of Cancer Care, 28(3), e13092. doi: 10.1111/ecc.13092.</w:t>
      </w:r>
    </w:p>
    <w:p w14:paraId="78ECD75A"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Fortin, J., Leblanc, M., Elgbeili, G., Cordova, M.J., Marin, M.-F. and Brunet, A. (2021) ‘The mental health impacts of receiving a breast cancer diagnosis: a meta-analysis’, British Journal of Cancer, 125(11), pp. 1582–1592. doi: 10.1038/s41416-021-01542-3.</w:t>
      </w:r>
    </w:p>
    <w:p w14:paraId="310E908E"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lastRenderedPageBreak/>
        <w:t>Isaac, A.T., Santin, O., Irwin, G.W., Mankelow, K., Cousins, L.V. and McIntosh, S.A. (2026) ‘The impact of self-directed aftercare following breast cancer surgery: a scoping review’, Psycho-Oncology, 35(1), e70368. doi: 10.1002/pon.70368.</w:t>
      </w:r>
    </w:p>
    <w:p w14:paraId="16CC70FA"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Levac, D., Colquhoun, H. and O’Brien, K.K. (2010) ‘Scoping studies: advancing the methodology’, Implementation Science, 5, 69. doi: 10.1186/1748-5908-5-69.</w:t>
      </w:r>
    </w:p>
    <w:p w14:paraId="3C16F50C"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Luigjes-Huizer, Y.L., Van der Lee, M.L., Richel, C., Masselink, R.A., De Wit, N.J. and Helsper, C.W. (2023) ‘Effectiveness of a guided online primary care intervention for fear of cancer recurrence: a randomised controlled trial’, Psycho-Oncology, 32(6), pp. 962–972. doi: 10.1002/pon.6231.</w:t>
      </w:r>
    </w:p>
    <w:p w14:paraId="57C3991C"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Macmillan Cancer Support (2025) Holistic Needs Assessment. Available at: https://www.macmillan.org.uk/healthcare-professionals/innovation-in-cancer-care/holistic-needs-assessment (Accessed: 20 July 2026).</w:t>
      </w:r>
    </w:p>
    <w:p w14:paraId="05D5B984"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McHale, C., Cruickshank, S., Brown, T., Torrens, C., Armes, J., Fenlon, D., Banks, E., Kelsey, T. and Humphris, G. (2024) ‘Mini-AFTERc: a controlled pilot trial of a nurse-led psychological intervention for fear of breast cancer recurrence’, Pilot and Feasibility Studies, 10(1), 3. doi: 10.1186/s40814-023-01431-x.</w:t>
      </w:r>
    </w:p>
    <w:p w14:paraId="733AB778"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Munn, Z., Peters, M.D.J., Stern, C., Tufanaru, C., McArthur, A. and Aromataris, E. (2018) ‘Systematic review or scoping review? Guidance for authors when choosing between a systematic or scoping review approach’, BMC Medical Research Methodology, 18, 143. doi: 10.1186/s12874-018-0611-x.</w:t>
      </w:r>
    </w:p>
    <w:p w14:paraId="2E9D717A"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National Institute for Health and Care Excellence (2004) Improving supportive and palliative care for adults with cancer (CSG4). London: NICE. Available at: https://www.nice.org.uk/guidance/csg4 (Accessed: 18 July 2026).</w:t>
      </w:r>
    </w:p>
    <w:p w14:paraId="69172AF6"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National Institute for Health and Care Excellence (2009) Depression in adults with a chronic physical health problem: recognition and management (CG91). London: NICE. Available at: https://www.nice.org.uk/guidance/cg91 (Accessed: 18 July 2026).</w:t>
      </w:r>
    </w:p>
    <w:p w14:paraId="38D810CF"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National Institute for Health and Care Excellence (2018) Early and locally advanced breast cancer: diagnosis and management (NG101). London: NICE. Available at: https://www.nice.org.uk/guidance/ng101 (Accessed: 18 July 2026).</w:t>
      </w:r>
    </w:p>
    <w:p w14:paraId="5409AF30"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NHS England (2019) The NHS Long Term Plan. London: NHS England. Available at: https://www.longtermplan.nhs.uk (Accessed: 19 July 2026).</w:t>
      </w:r>
    </w:p>
    <w:p w14:paraId="1292A40D"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lastRenderedPageBreak/>
        <w:t>NHS England (2024) National Cancer Patient Experience Survey. Available at: https://www.england.nhs.uk/statistics/statistical-work-areas/cancer-patient-experience-survey/ (Accessed: 19 July 2026).</w:t>
      </w:r>
    </w:p>
    <w:p w14:paraId="1EAC3182"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Peters, M.D.J., Godfrey, C., McInerney, P., Munn, Z., Tricco, A.C. and Khalil, H. (2020) ‘Chapter 11: Scoping reviews’, in Aromataris, E. and Munn, Z. (eds.) JBI manual for evidence synthesis. Adelaide: Joanna Briggs Institute. doi: 10.46658/JBIMES-20-12.</w:t>
      </w:r>
    </w:p>
    <w:p w14:paraId="4EF41733"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Sinclair, F., Gillanders, D., Rooney, N., Bonathan, C., Hendry, K., McLoone, P. and Hewitt, C. (2023) ‘Real-world evaluation of an acceptance and commitment therapy-based group programme for breast cancer survivors with fear of cancer recurrence’, Supportive Care in Cancer, 31(12), 700. doi: 10.1007/s00520-023-08179-3.</w:t>
      </w:r>
    </w:p>
    <w:p w14:paraId="052AEA9B" w14:textId="77777777" w:rsidR="00ED0498" w:rsidRPr="00FB68EA" w:rsidRDefault="00000000">
      <w:pPr>
        <w:spacing w:after="200"/>
        <w:ind w:left="720" w:hanging="720"/>
        <w:rPr>
          <w:rFonts w:ascii="Arial" w:hAnsi="Arial" w:cs="Arial"/>
          <w:sz w:val="22"/>
          <w:szCs w:val="22"/>
        </w:rPr>
      </w:pPr>
      <w:r w:rsidRPr="00FB68EA">
        <w:rPr>
          <w:rFonts w:ascii="Arial" w:hAnsi="Arial" w:cs="Arial"/>
          <w:sz w:val="22"/>
          <w:szCs w:val="22"/>
        </w:rPr>
        <w:t>Tricco, A.C., Lillie, E., Zarin, W., O’Brien, K.K., Colquhoun, H., Levac, D., Moher, D., Peters, M.D.J., Horsley, T., Weeks, L., Hempel, S. et al. (2018) ‘PRISMA extension for scoping reviews (PRISMA-ScR): checklist and explanation’, Annals of Internal Medicine, 169(7), pp. 467–473. doi: 10.7326/M18-0850.</w:t>
      </w:r>
    </w:p>
    <w:sectPr w:rsidR="00ED0498" w:rsidRPr="00FB68EA">
      <w:footerReference w:type="default" r:id="rId1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D506F" w14:textId="77777777" w:rsidR="00607AE2" w:rsidRDefault="00607AE2">
      <w:pPr>
        <w:spacing w:line="240" w:lineRule="auto"/>
      </w:pPr>
      <w:r>
        <w:separator/>
      </w:r>
    </w:p>
  </w:endnote>
  <w:endnote w:type="continuationSeparator" w:id="0">
    <w:p w14:paraId="3B79226D" w14:textId="77777777" w:rsidR="00607AE2" w:rsidRDefault="00607A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AED93" w14:textId="77777777" w:rsidR="00ED0498" w:rsidRDefault="00000000">
    <w:pPr>
      <w:jc w:val="center"/>
    </w:pPr>
    <w:r>
      <w:rPr>
        <w:sz w:val="20"/>
        <w:szCs w:val="20"/>
      </w:rPr>
      <w:fldChar w:fldCharType="begin"/>
    </w:r>
    <w:r>
      <w:rPr>
        <w:sz w:val="20"/>
        <w:szCs w:val="20"/>
      </w:rPr>
      <w:instrText>PAGE</w:instrText>
    </w:r>
    <w:r>
      <w:rPr>
        <w:sz w:val="20"/>
        <w:szCs w:val="20"/>
      </w:rPr>
      <w:fldChar w:fldCharType="separate"/>
    </w:r>
    <w:r w:rsidR="006A6EC3">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736BB" w14:textId="0C30E580" w:rsidR="00ED0498" w:rsidRDefault="00000000">
    <w:pPr>
      <w:jc w:val="center"/>
    </w:pPr>
    <w:r>
      <w:rPr>
        <w:sz w:val="20"/>
        <w:szCs w:val="20"/>
      </w:rPr>
      <w:fldChar w:fldCharType="begin"/>
    </w:r>
    <w:r>
      <w:rPr>
        <w:sz w:val="20"/>
        <w:szCs w:val="20"/>
      </w:rPr>
      <w:instrText>PAGE</w:instrText>
    </w:r>
    <w:r>
      <w:rPr>
        <w:sz w:val="20"/>
        <w:szCs w:val="20"/>
      </w:rPr>
      <w:fldChar w:fldCharType="separate"/>
    </w:r>
    <w:r w:rsidR="006A6EC3">
      <w:rPr>
        <w:noProof/>
        <w:sz w:val="20"/>
        <w:szCs w:val="20"/>
      </w:rPr>
      <w:t>9</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7E16F" w14:textId="4AE12362" w:rsidR="00ED0498" w:rsidRDefault="00000000">
    <w:pPr>
      <w:jc w:val="center"/>
    </w:pPr>
    <w:r>
      <w:rPr>
        <w:sz w:val="20"/>
        <w:szCs w:val="20"/>
      </w:rPr>
      <w:fldChar w:fldCharType="begin"/>
    </w:r>
    <w:r>
      <w:rPr>
        <w:sz w:val="20"/>
        <w:szCs w:val="20"/>
      </w:rPr>
      <w:instrText>PAGE</w:instrText>
    </w:r>
    <w:r>
      <w:rPr>
        <w:sz w:val="20"/>
        <w:szCs w:val="20"/>
      </w:rPr>
      <w:fldChar w:fldCharType="separate"/>
    </w:r>
    <w:r w:rsidR="006A6EC3">
      <w:rPr>
        <w:noProof/>
        <w:sz w:val="20"/>
        <w:szCs w:val="20"/>
      </w:rPr>
      <w:t>10</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8897E" w14:textId="77777777" w:rsidR="00607AE2" w:rsidRDefault="00607AE2">
      <w:pPr>
        <w:spacing w:line="240" w:lineRule="auto"/>
      </w:pPr>
      <w:r>
        <w:separator/>
      </w:r>
    </w:p>
  </w:footnote>
  <w:footnote w:type="continuationSeparator" w:id="0">
    <w:p w14:paraId="63630F8A" w14:textId="77777777" w:rsidR="00607AE2" w:rsidRDefault="00607A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C74A91"/>
    <w:multiLevelType w:val="hybridMultilevel"/>
    <w:tmpl w:val="DA80F490"/>
    <w:lvl w:ilvl="0" w:tplc="010A30FC">
      <w:start w:val="1"/>
      <w:numFmt w:val="bullet"/>
      <w:lvlText w:val="●"/>
      <w:lvlJc w:val="left"/>
      <w:pPr>
        <w:ind w:left="720" w:hanging="360"/>
      </w:pPr>
    </w:lvl>
    <w:lvl w:ilvl="1" w:tplc="B2B8B926">
      <w:start w:val="1"/>
      <w:numFmt w:val="bullet"/>
      <w:lvlText w:val="○"/>
      <w:lvlJc w:val="left"/>
      <w:pPr>
        <w:ind w:left="1440" w:hanging="360"/>
      </w:pPr>
    </w:lvl>
    <w:lvl w:ilvl="2" w:tplc="8D9E83C2">
      <w:start w:val="1"/>
      <w:numFmt w:val="bullet"/>
      <w:lvlText w:val="■"/>
      <w:lvlJc w:val="left"/>
      <w:pPr>
        <w:ind w:left="2160" w:hanging="360"/>
      </w:pPr>
    </w:lvl>
    <w:lvl w:ilvl="3" w:tplc="3DFA2358">
      <w:start w:val="1"/>
      <w:numFmt w:val="bullet"/>
      <w:lvlText w:val="●"/>
      <w:lvlJc w:val="left"/>
      <w:pPr>
        <w:ind w:left="2880" w:hanging="360"/>
      </w:pPr>
    </w:lvl>
    <w:lvl w:ilvl="4" w:tplc="33B02F7C">
      <w:start w:val="1"/>
      <w:numFmt w:val="bullet"/>
      <w:lvlText w:val="○"/>
      <w:lvlJc w:val="left"/>
      <w:pPr>
        <w:ind w:left="3600" w:hanging="360"/>
      </w:pPr>
    </w:lvl>
    <w:lvl w:ilvl="5" w:tplc="1CC88B00">
      <w:start w:val="1"/>
      <w:numFmt w:val="bullet"/>
      <w:lvlText w:val="■"/>
      <w:lvlJc w:val="left"/>
      <w:pPr>
        <w:ind w:left="4320" w:hanging="360"/>
      </w:pPr>
    </w:lvl>
    <w:lvl w:ilvl="6" w:tplc="1C869E4E">
      <w:start w:val="1"/>
      <w:numFmt w:val="bullet"/>
      <w:lvlText w:val="●"/>
      <w:lvlJc w:val="left"/>
      <w:pPr>
        <w:ind w:left="5040" w:hanging="360"/>
      </w:pPr>
    </w:lvl>
    <w:lvl w:ilvl="7" w:tplc="8F623C2A">
      <w:start w:val="1"/>
      <w:numFmt w:val="bullet"/>
      <w:lvlText w:val="●"/>
      <w:lvlJc w:val="left"/>
      <w:pPr>
        <w:ind w:left="5760" w:hanging="360"/>
      </w:pPr>
    </w:lvl>
    <w:lvl w:ilvl="8" w:tplc="95F8D446">
      <w:start w:val="1"/>
      <w:numFmt w:val="bullet"/>
      <w:lvlText w:val="●"/>
      <w:lvlJc w:val="left"/>
      <w:pPr>
        <w:ind w:left="6480" w:hanging="360"/>
      </w:pPr>
    </w:lvl>
  </w:abstractNum>
  <w:num w:numId="1" w16cid:durableId="149444935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0498"/>
    <w:rsid w:val="001E4F76"/>
    <w:rsid w:val="003B7F9C"/>
    <w:rsid w:val="00414B7B"/>
    <w:rsid w:val="00525CC9"/>
    <w:rsid w:val="00607AE2"/>
    <w:rsid w:val="006A6EC3"/>
    <w:rsid w:val="00710397"/>
    <w:rsid w:val="00726CED"/>
    <w:rsid w:val="00A276DE"/>
    <w:rsid w:val="00A8600F"/>
    <w:rsid w:val="00AE45F1"/>
    <w:rsid w:val="00BE6EE4"/>
    <w:rsid w:val="00C312B6"/>
    <w:rsid w:val="00CC7B5B"/>
    <w:rsid w:val="00E360D4"/>
    <w:rsid w:val="00ED0498"/>
    <w:rsid w:val="00F05390"/>
    <w:rsid w:val="00FB6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3E1F9"/>
  <w15:docId w15:val="{AE74884D-E2C5-49E1-8FE9-EFAB8B2E2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6A6EC3"/>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6A6EC3"/>
    <w:pPr>
      <w:tabs>
        <w:tab w:val="right" w:leader="dot" w:pos="9016"/>
      </w:tabs>
      <w:spacing w:after="100" w:line="240" w:lineRule="auto"/>
    </w:pPr>
  </w:style>
  <w:style w:type="paragraph" w:styleId="TOC2">
    <w:name w:val="toc 2"/>
    <w:basedOn w:val="Normal"/>
    <w:next w:val="Normal"/>
    <w:autoRedefine/>
    <w:uiPriority w:val="39"/>
    <w:unhideWhenUsed/>
    <w:rsid w:val="006A6EC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7E3F5-1294-459F-96C2-13AEA12DE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5452</Words>
  <Characters>31082</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Psychological Support for Women Diagnosed with Breast Cancer in the UK: A Scoping Review</vt:lpstr>
    </vt:vector>
  </TitlesOfParts>
  <Company/>
  <LinksUpToDate>false</LinksUpToDate>
  <CharactersWithSpaces>36462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Support for Women Diagnosed with Breast Cancer in the UK: A Scoping Review</dc:title>
  <dc:creator>Busra Akter Rusi</dc:creator>
  <cp:lastModifiedBy>Busra Akter Rusi</cp:lastModifiedBy>
  <cp:revision>5</cp:revision>
  <dcterms:created xsi:type="dcterms:W3CDTF">2026-08-12T13:52:00Z</dcterms:created>
  <dcterms:modified xsi:type="dcterms:W3CDTF">2026-08-12T23:56:00Z</dcterms:modified>
</cp:coreProperties>
</file>