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9FD" w:rsidRPr="00D731F3" w:rsidRDefault="00E54FA6" w:rsidP="00C7053F">
      <w:pPr>
        <w:spacing w:line="480" w:lineRule="auto"/>
        <w:rPr>
          <w:u w:val="single"/>
        </w:rPr>
      </w:pPr>
      <w:r w:rsidRPr="00D731F3">
        <w:rPr>
          <w:u w:val="single"/>
        </w:rPr>
        <w:t>Character Journal for Harpalos and Leonnatus</w:t>
      </w:r>
      <w:r w:rsidR="00551987" w:rsidRPr="00D731F3">
        <w:rPr>
          <w:u w:val="single"/>
        </w:rPr>
        <w:t>.</w:t>
      </w:r>
    </w:p>
    <w:p w:rsidR="00551987" w:rsidRDefault="00551987" w:rsidP="00C7053F">
      <w:pPr>
        <w:spacing w:line="480" w:lineRule="auto"/>
      </w:pPr>
    </w:p>
    <w:p w:rsidR="00551987" w:rsidRDefault="00E67D28" w:rsidP="00C7053F">
      <w:pPr>
        <w:spacing w:line="480" w:lineRule="auto"/>
        <w:rPr>
          <w:u w:val="single"/>
        </w:rPr>
      </w:pPr>
      <w:r w:rsidRPr="00E54FA6">
        <w:rPr>
          <w:u w:val="single"/>
        </w:rPr>
        <w:t>July 323BCE- July 322BCE</w:t>
      </w:r>
      <w:r w:rsidR="00551987" w:rsidRPr="00E54FA6">
        <w:rPr>
          <w:u w:val="single"/>
        </w:rPr>
        <w:t xml:space="preserve"> </w:t>
      </w:r>
    </w:p>
    <w:p w:rsidR="0021399B" w:rsidRPr="00E54FA6" w:rsidRDefault="0021399B" w:rsidP="00C7053F">
      <w:pPr>
        <w:spacing w:line="480" w:lineRule="auto"/>
        <w:rPr>
          <w:u w:val="single"/>
        </w:rPr>
      </w:pPr>
      <w:r>
        <w:rPr>
          <w:u w:val="single"/>
        </w:rPr>
        <w:t>Plan</w:t>
      </w:r>
    </w:p>
    <w:p w:rsidR="0021399B" w:rsidRDefault="00551987" w:rsidP="00C7053F">
      <w:pPr>
        <w:spacing w:line="480" w:lineRule="auto"/>
      </w:pPr>
      <w:r>
        <w:t>In this session as previously discussed, Harpalos will be refused entry into Athens with his mercenary soldiers and his stolen wealth.</w:t>
      </w:r>
      <w:r w:rsidR="009A7D2D">
        <w:rPr>
          <w:rStyle w:val="FootnoteReference"/>
        </w:rPr>
        <w:footnoteReference w:id="1"/>
      </w:r>
      <w:r w:rsidR="009A7D2D">
        <w:t xml:space="preserve"> However, fearing for his security, and seeing an opportunity, instead of obliging the Athenian demands, Harpalos will march towards Aeto</w:t>
      </w:r>
      <w:r w:rsidR="00CA2338">
        <w:t>lia to recruit more mercenaries. T</w:t>
      </w:r>
      <w:r w:rsidR="009A7D2D">
        <w:t xml:space="preserve">hen </w:t>
      </w:r>
      <w:r w:rsidR="00CA2338">
        <w:t xml:space="preserve">he will </w:t>
      </w:r>
      <w:r w:rsidR="009A7D2D">
        <w:t xml:space="preserve">assault and capture the treasury of </w:t>
      </w:r>
      <w:r w:rsidR="00B96284">
        <w:t>D</w:t>
      </w:r>
      <w:r w:rsidR="009A7D2D">
        <w:t>elphi, expelling the Macedonian</w:t>
      </w:r>
      <w:r w:rsidR="003C7A57">
        <w:t>s</w:t>
      </w:r>
      <w:r w:rsidR="009A7D2D">
        <w:t xml:space="preserve"> there.</w:t>
      </w:r>
      <w:r w:rsidR="009A7D2D">
        <w:rPr>
          <w:rStyle w:val="FootnoteReference"/>
        </w:rPr>
        <w:footnoteReference w:id="2"/>
      </w:r>
      <w:r w:rsidR="002103F6">
        <w:t xml:space="preserve"> The treasury of Delphi holds a significant amount of wealth, which when easily captured by Phocis made them extremely powerful.</w:t>
      </w:r>
      <w:r w:rsidR="002103F6">
        <w:rPr>
          <w:rStyle w:val="FootnoteReference"/>
        </w:rPr>
        <w:footnoteReference w:id="3"/>
      </w:r>
      <w:r w:rsidR="002103F6">
        <w:t xml:space="preserve"> This is why Harpalos will attempt to capture it due to his greedy nature.</w:t>
      </w:r>
      <w:r w:rsidR="002103F6">
        <w:rPr>
          <w:rStyle w:val="FootnoteReference"/>
        </w:rPr>
        <w:footnoteReference w:id="4"/>
      </w:r>
      <w:r w:rsidR="00E213D2">
        <w:t xml:space="preserve"> </w:t>
      </w:r>
    </w:p>
    <w:p w:rsidR="00E213D2" w:rsidRDefault="00E213D2" w:rsidP="00C7053F">
      <w:pPr>
        <w:spacing w:line="480" w:lineRule="auto"/>
      </w:pPr>
      <w:r>
        <w:t>Harpalos will claim this is to protect the oracle, and to expel the sacrilegious Macedonians, having seen the atrocious way in which Alexander has adopted the Egyptian and Persian cultures.</w:t>
      </w:r>
      <w:r>
        <w:rPr>
          <w:rStyle w:val="FootnoteReference"/>
        </w:rPr>
        <w:footnoteReference w:id="5"/>
      </w:r>
      <w:r w:rsidR="00DF52BC">
        <w:t xml:space="preserve"> Harpalos will attempt to stop this creating a Fifth Sacred War by sending a message to every Greek polis asking for help and assistance against the sacrilegious drunken and mad Macedonian army too far away to be feared by the mighty Greeks.</w:t>
      </w:r>
      <w:r w:rsidR="00DF52BC">
        <w:rPr>
          <w:rStyle w:val="FootnoteReference"/>
        </w:rPr>
        <w:footnoteReference w:id="6"/>
      </w:r>
      <w:r w:rsidR="00DF52BC">
        <w:t xml:space="preserve"> Harpalos hopes to unite the Greek states against Macedon and make them independent under his reign once more, whil</w:t>
      </w:r>
      <w:r w:rsidR="00706A10">
        <w:t>e</w:t>
      </w:r>
      <w:r w:rsidR="00DF52BC">
        <w:t xml:space="preserve"> sneaking a little money for wine and women on the side, as befits his character, but may prove unwise and over-ambitious.</w:t>
      </w:r>
      <w:r w:rsidR="00DF52BC">
        <w:rPr>
          <w:rStyle w:val="FootnoteReference"/>
        </w:rPr>
        <w:footnoteReference w:id="7"/>
      </w:r>
    </w:p>
    <w:p w:rsidR="0021399B" w:rsidRDefault="0021399B" w:rsidP="00C7053F">
      <w:pPr>
        <w:spacing w:line="480" w:lineRule="auto"/>
        <w:rPr>
          <w:u w:val="single"/>
        </w:rPr>
      </w:pPr>
      <w:r w:rsidRPr="0021399B">
        <w:rPr>
          <w:u w:val="single"/>
        </w:rPr>
        <w:t>Outcome</w:t>
      </w:r>
    </w:p>
    <w:p w:rsidR="0021399B" w:rsidRPr="0021399B" w:rsidRDefault="0021399B" w:rsidP="00C7053F">
      <w:pPr>
        <w:spacing w:line="480" w:lineRule="auto"/>
      </w:pPr>
      <w:r>
        <w:t>All plans went according to plan.</w:t>
      </w:r>
    </w:p>
    <w:p w:rsidR="00E67D28" w:rsidRDefault="00E67D28" w:rsidP="00C7053F">
      <w:pPr>
        <w:spacing w:line="480" w:lineRule="auto"/>
      </w:pPr>
    </w:p>
    <w:p w:rsidR="00E67D28" w:rsidRDefault="00E67D28" w:rsidP="00C7053F">
      <w:pPr>
        <w:spacing w:line="480" w:lineRule="auto"/>
        <w:rPr>
          <w:u w:val="single"/>
        </w:rPr>
      </w:pPr>
      <w:r w:rsidRPr="00E54FA6">
        <w:rPr>
          <w:u w:val="single"/>
        </w:rPr>
        <w:t>July 322BCE- July 321BCE</w:t>
      </w:r>
    </w:p>
    <w:p w:rsidR="0021399B" w:rsidRPr="0021399B" w:rsidRDefault="0021399B" w:rsidP="00C7053F">
      <w:pPr>
        <w:spacing w:line="480" w:lineRule="auto"/>
        <w:rPr>
          <w:u w:val="single"/>
        </w:rPr>
      </w:pPr>
      <w:r>
        <w:rPr>
          <w:u w:val="single"/>
        </w:rPr>
        <w:t>Plan</w:t>
      </w:r>
    </w:p>
    <w:p w:rsidR="00D209F9" w:rsidRDefault="00D209F9" w:rsidP="00C7053F">
      <w:pPr>
        <w:spacing w:line="480" w:lineRule="auto"/>
      </w:pPr>
      <w:r>
        <w:t xml:space="preserve">Harpalos and the Greek states </w:t>
      </w:r>
      <w:r w:rsidR="006D4188">
        <w:t xml:space="preserve">plan to </w:t>
      </w:r>
      <w:r w:rsidR="003576E4">
        <w:t>unite with Macedon, as Harpalos fearing for vengeance upon his actions anticipates the Macedonians coming from the East will need to cross the Hellespont to reach Europe.</w:t>
      </w:r>
      <w:r w:rsidR="00AD79E8">
        <w:rPr>
          <w:rStyle w:val="FootnoteReference"/>
        </w:rPr>
        <w:footnoteReference w:id="8"/>
      </w:r>
      <w:r w:rsidR="003576E4">
        <w:t xml:space="preserve"> In order to stop this, Harpalos</w:t>
      </w:r>
      <w:r w:rsidR="006D4188">
        <w:t xml:space="preserve"> will</w:t>
      </w:r>
      <w:r w:rsidR="003576E4">
        <w:t xml:space="preserve"> convince Krateros and Antipater to take part in a combined invasion of Thrace to secure and fortify it, asking for only Byzantium for himself. Byzantium is an important Greek polis that Philip expended many resources in taking, but capturing it would allow for Harpalos to control th</w:t>
      </w:r>
      <w:r w:rsidR="00AD79E8">
        <w:t>e</w:t>
      </w:r>
      <w:r w:rsidR="003576E4">
        <w:t xml:space="preserve"> incredibly lucrative grain</w:t>
      </w:r>
      <w:r w:rsidR="00AD79E8">
        <w:t xml:space="preserve"> trade</w:t>
      </w:r>
      <w:r w:rsidR="003576E4">
        <w:t xml:space="preserve"> from the Black sea.</w:t>
      </w:r>
      <w:r w:rsidR="00AD79E8">
        <w:rPr>
          <w:rStyle w:val="FootnoteReference"/>
        </w:rPr>
        <w:footnoteReference w:id="9"/>
      </w:r>
      <w:r w:rsidR="003576E4">
        <w:t xml:space="preserve"> </w:t>
      </w:r>
    </w:p>
    <w:p w:rsidR="0021399B" w:rsidRPr="0021399B" w:rsidRDefault="0021399B" w:rsidP="00C7053F">
      <w:pPr>
        <w:spacing w:line="480" w:lineRule="auto"/>
        <w:rPr>
          <w:u w:val="single"/>
        </w:rPr>
      </w:pPr>
      <w:r w:rsidRPr="0021399B">
        <w:rPr>
          <w:u w:val="single"/>
        </w:rPr>
        <w:t>Outcome</w:t>
      </w:r>
    </w:p>
    <w:p w:rsidR="006D4188" w:rsidRDefault="006D4188" w:rsidP="00C7053F">
      <w:pPr>
        <w:spacing w:line="480" w:lineRule="auto"/>
      </w:pPr>
      <w:r>
        <w:t>While Antigonos is busy subduing the peoples in Asia Minor, Harpalos, and the coalition of Greek and Macedonian</w:t>
      </w:r>
      <w:r w:rsidR="00CA2338">
        <w:t xml:space="preserve"> forces</w:t>
      </w:r>
      <w:r>
        <w:t xml:space="preserve"> secure Thrace, and Harpalos secures Byzantium successfully, appealing to </w:t>
      </w:r>
      <w:proofErr w:type="spellStart"/>
      <w:r>
        <w:t>Panhellenistic</w:t>
      </w:r>
      <w:proofErr w:type="spellEnd"/>
      <w:r>
        <w:t xml:space="preserve"> sentiments to keep the populace happy. Harpalos increased the tax on the trade in the Black sea and doubles the garrison to defend from the expected invasion.</w:t>
      </w:r>
      <w:r w:rsidR="00CA2338">
        <w:rPr>
          <w:rStyle w:val="FootnoteReference"/>
        </w:rPr>
        <w:footnoteReference w:id="10"/>
      </w:r>
      <w:r>
        <w:t xml:space="preserve"> </w:t>
      </w:r>
      <w:proofErr w:type="spellStart"/>
      <w:r w:rsidR="003C7A57">
        <w:t>Perdiccas</w:t>
      </w:r>
      <w:proofErr w:type="spellEnd"/>
      <w:r w:rsidR="003C7A57">
        <w:t xml:space="preserve"> returns from Babylon </w:t>
      </w:r>
      <w:r w:rsidR="005E6830">
        <w:t xml:space="preserve">and settles in his ancestral home of </w:t>
      </w:r>
      <w:proofErr w:type="spellStart"/>
      <w:r w:rsidR="005E6830">
        <w:t>Orestis</w:t>
      </w:r>
      <w:proofErr w:type="spellEnd"/>
      <w:r w:rsidR="005E6830">
        <w:t xml:space="preserve"> in Macedon with the approval of Harpalos.</w:t>
      </w:r>
      <w:r w:rsidR="005E6830">
        <w:rPr>
          <w:rStyle w:val="FootnoteReference"/>
        </w:rPr>
        <w:footnoteReference w:id="11"/>
      </w:r>
    </w:p>
    <w:p w:rsidR="006E602F" w:rsidRDefault="006E602F" w:rsidP="00C7053F">
      <w:pPr>
        <w:spacing w:line="480" w:lineRule="auto"/>
      </w:pPr>
    </w:p>
    <w:p w:rsidR="00E67D28" w:rsidRDefault="00E67D28" w:rsidP="00C7053F">
      <w:pPr>
        <w:spacing w:line="480" w:lineRule="auto"/>
        <w:rPr>
          <w:u w:val="single"/>
        </w:rPr>
      </w:pPr>
      <w:r w:rsidRPr="00E54FA6">
        <w:rPr>
          <w:u w:val="single"/>
        </w:rPr>
        <w:t>July 321BCE- July 320BCE</w:t>
      </w:r>
    </w:p>
    <w:p w:rsidR="0021399B" w:rsidRPr="00E54FA6" w:rsidRDefault="0021399B" w:rsidP="00C7053F">
      <w:pPr>
        <w:spacing w:line="480" w:lineRule="auto"/>
        <w:rPr>
          <w:u w:val="single"/>
        </w:rPr>
      </w:pPr>
      <w:r>
        <w:rPr>
          <w:u w:val="single"/>
        </w:rPr>
        <w:t>Plan</w:t>
      </w:r>
    </w:p>
    <w:p w:rsidR="0012144B" w:rsidRDefault="00C0713C" w:rsidP="00C7053F">
      <w:pPr>
        <w:spacing w:line="480" w:lineRule="auto"/>
      </w:pPr>
      <w:r>
        <w:lastRenderedPageBreak/>
        <w:t>Harpalos dies</w:t>
      </w:r>
      <w:r w:rsidR="00AD79E8">
        <w:t xml:space="preserve"> on a diplomatic mission to Meleagros for his </w:t>
      </w:r>
      <w:r w:rsidR="00C75841">
        <w:t>crimes and desertion</w:t>
      </w:r>
      <w:r>
        <w:t>.</w:t>
      </w:r>
      <w:r w:rsidR="00C75841">
        <w:rPr>
          <w:rStyle w:val="FootnoteReference"/>
        </w:rPr>
        <w:footnoteReference w:id="12"/>
      </w:r>
      <w:r>
        <w:t xml:space="preserve"> Leonnatus</w:t>
      </w:r>
      <w:r w:rsidR="00244B59">
        <w:t>, a bodyguard of Alexander,</w:t>
      </w:r>
      <w:r w:rsidR="00B96284">
        <w:rPr>
          <w:rStyle w:val="FootnoteReference"/>
        </w:rPr>
        <w:footnoteReference w:id="13"/>
      </w:r>
      <w:r>
        <w:t xml:space="preserve"> receives the satrapies of Persis, Carmania, Elymais and Gedrosia</w:t>
      </w:r>
      <w:r w:rsidR="00B96284">
        <w:t>, placing him in a significant position of power</w:t>
      </w:r>
      <w:r>
        <w:t>.</w:t>
      </w:r>
      <w:r w:rsidR="00B96284">
        <w:rPr>
          <w:rStyle w:val="FootnoteReference"/>
        </w:rPr>
        <w:footnoteReference w:id="14"/>
      </w:r>
      <w:r>
        <w:t xml:space="preserve"> Leonnatus supports the decision of Meleagros to declare himself co-king</w:t>
      </w:r>
      <w:r w:rsidR="007119DC">
        <w:t xml:space="preserve">, </w:t>
      </w:r>
      <w:r w:rsidR="00B96284">
        <w:t>to marry</w:t>
      </w:r>
      <w:r w:rsidR="007119DC">
        <w:t xml:space="preserve"> Roxane and </w:t>
      </w:r>
      <w:r w:rsidR="00B96284">
        <w:t xml:space="preserve">to </w:t>
      </w:r>
      <w:r w:rsidR="007119DC">
        <w:t>adopt Alexander IV</w:t>
      </w:r>
      <w:r w:rsidR="0012144B">
        <w:t>, the son of Alexander the Great</w:t>
      </w:r>
      <w:r>
        <w:t>.</w:t>
      </w:r>
      <w:r w:rsidR="007119DC">
        <w:rPr>
          <w:rStyle w:val="FootnoteReference"/>
        </w:rPr>
        <w:footnoteReference w:id="15"/>
      </w:r>
      <w:r>
        <w:t xml:space="preserve"> </w:t>
      </w:r>
      <w:r w:rsidR="00FF34A5">
        <w:t>Leonnatus marries a Macedonian noblewoman</w:t>
      </w:r>
      <w:r w:rsidR="003C7A57">
        <w:t xml:space="preserve"> to gain the support of the Macedonians settled in his regions</w:t>
      </w:r>
      <w:r w:rsidR="00FF34A5">
        <w:t>.</w:t>
      </w:r>
      <w:r w:rsidR="002A5495">
        <w:rPr>
          <w:rStyle w:val="FootnoteReference"/>
        </w:rPr>
        <w:footnoteReference w:id="16"/>
      </w:r>
    </w:p>
    <w:p w:rsidR="0021399B" w:rsidRPr="0021399B" w:rsidRDefault="0021399B" w:rsidP="00C7053F">
      <w:pPr>
        <w:spacing w:line="480" w:lineRule="auto"/>
        <w:rPr>
          <w:u w:val="single"/>
        </w:rPr>
      </w:pPr>
      <w:r w:rsidRPr="0021399B">
        <w:rPr>
          <w:u w:val="single"/>
        </w:rPr>
        <w:t>Outcome</w:t>
      </w:r>
    </w:p>
    <w:p w:rsidR="0012144B" w:rsidRDefault="00FF34A5" w:rsidP="00C7053F">
      <w:pPr>
        <w:spacing w:line="480" w:lineRule="auto"/>
      </w:pPr>
      <w:r>
        <w:t xml:space="preserve"> </w:t>
      </w:r>
      <w:r w:rsidR="0012144B">
        <w:t>Upon seeing the state of Persis, he r</w:t>
      </w:r>
      <w:r>
        <w:t>estores the palace of Persepolis</w:t>
      </w:r>
      <w:r w:rsidR="0012144B">
        <w:t>, and the damage done by the Macedonians.</w:t>
      </w:r>
      <w:r w:rsidR="0012144B">
        <w:rPr>
          <w:rStyle w:val="FootnoteReference"/>
        </w:rPr>
        <w:footnoteReference w:id="17"/>
      </w:r>
      <w:r w:rsidR="0012144B">
        <w:t xml:space="preserve"> To assess the amount of damage in Persepolis at this time, it is prudent to take into account Alexander’s later mimicry of Persian kings.</w:t>
      </w:r>
      <w:r w:rsidR="00E5510B">
        <w:rPr>
          <w:rStyle w:val="FootnoteReference"/>
        </w:rPr>
        <w:footnoteReference w:id="18"/>
      </w:r>
      <w:r>
        <w:t xml:space="preserve"> </w:t>
      </w:r>
      <w:r w:rsidR="00E5510B">
        <w:t>Taking this into account, Plutarch’s account that only the palace was burned is the most likely, as Arrian</w:t>
      </w:r>
      <w:r w:rsidR="00CA2338">
        <w:t>’s</w:t>
      </w:r>
      <w:r w:rsidR="00E5510B">
        <w:t xml:space="preserve"> supports this, and Diodorus’ account of a mass sacking seems inconsistent with Alexander’s later decisions.</w:t>
      </w:r>
      <w:r w:rsidR="00E5510B">
        <w:rPr>
          <w:rStyle w:val="FootnoteReference"/>
        </w:rPr>
        <w:footnoteReference w:id="19"/>
      </w:r>
      <w:r w:rsidR="00E5510B">
        <w:t xml:space="preserve"> </w:t>
      </w:r>
      <w:r w:rsidR="00C9310E">
        <w:t>This concludes that the main damage in Persepolis was the palace</w:t>
      </w:r>
      <w:r w:rsidR="00D72F92">
        <w:t>, which Leonnatus used elephants to remove the debris from the area</w:t>
      </w:r>
      <w:r w:rsidR="00C9310E">
        <w:t>.</w:t>
      </w:r>
      <w:r w:rsidR="00C9310E">
        <w:rPr>
          <w:rStyle w:val="FootnoteReference"/>
        </w:rPr>
        <w:footnoteReference w:id="20"/>
      </w:r>
      <w:r w:rsidR="00C9310E">
        <w:t xml:space="preserve"> </w:t>
      </w:r>
      <w:r w:rsidR="0012144B">
        <w:t>To improve cohesion, Leonnatus</w:t>
      </w:r>
      <w:r>
        <w:t xml:space="preserve"> builds temples across his territories</w:t>
      </w:r>
      <w:r w:rsidR="0012144B">
        <w:t xml:space="preserve">, to the combined construction costs of 2000 </w:t>
      </w:r>
      <w:r w:rsidR="0007288F">
        <w:t xml:space="preserve">Babylonian </w:t>
      </w:r>
      <w:r w:rsidR="0012144B">
        <w:t>talent</w:t>
      </w:r>
      <w:r w:rsidR="0007288F">
        <w:t>s, which is 60,600kg of silver</w:t>
      </w:r>
      <w:r>
        <w:t>.</w:t>
      </w:r>
      <w:r w:rsidR="0007288F">
        <w:rPr>
          <w:rStyle w:val="FootnoteReference"/>
        </w:rPr>
        <w:footnoteReference w:id="21"/>
      </w:r>
      <w:r w:rsidR="0012144B">
        <w:t xml:space="preserve"> Upon learning the traditions of the Persians, Leonnatus builds not only a temple to Apollo</w:t>
      </w:r>
      <w:r w:rsidR="0007288F">
        <w:t xml:space="preserve"> in Persepolis and Pasargadae</w:t>
      </w:r>
      <w:r w:rsidR="0012144B">
        <w:t>, but also one to Artemis, as Persians are all taught to hunt and train with a bow</w:t>
      </w:r>
      <w:r w:rsidR="00C9310E">
        <w:t xml:space="preserve"> from a young age.</w:t>
      </w:r>
      <w:r w:rsidR="00C9310E">
        <w:rPr>
          <w:rStyle w:val="FootnoteReference"/>
        </w:rPr>
        <w:footnoteReference w:id="22"/>
      </w:r>
    </w:p>
    <w:p w:rsidR="00FF34A5" w:rsidRDefault="00FF34A5" w:rsidP="00C7053F">
      <w:pPr>
        <w:spacing w:line="480" w:lineRule="auto"/>
      </w:pPr>
      <w:r>
        <w:lastRenderedPageBreak/>
        <w:t xml:space="preserve">Revolts across the empire besides from Leonnatus’ territory are quickly put down with the help of a Persian army, </w:t>
      </w:r>
      <w:r w:rsidR="00C9310E">
        <w:t>sieging</w:t>
      </w:r>
      <w:r>
        <w:t xml:space="preserve"> the rebels in Ecbatana</w:t>
      </w:r>
      <w:r w:rsidR="00C9310E">
        <w:t>, a large city in Peithon’s control in Media</w:t>
      </w:r>
      <w:r>
        <w:t>.</w:t>
      </w:r>
      <w:r w:rsidR="0007288F">
        <w:rPr>
          <w:rStyle w:val="FootnoteReference"/>
        </w:rPr>
        <w:footnoteReference w:id="23"/>
      </w:r>
      <w:r w:rsidR="00C0713C">
        <w:t xml:space="preserve"> Leonnatus improves the </w:t>
      </w:r>
      <w:r w:rsidR="00720C75">
        <w:t xml:space="preserve">gold, silver, copper, minium, arsenic, and salt </w:t>
      </w:r>
      <w:r w:rsidR="00C0713C">
        <w:t>mines of Carmania and Persis, and improves the irrigation in Persis, Carmania, and Elymais.</w:t>
      </w:r>
      <w:r w:rsidR="00720C75">
        <w:rPr>
          <w:rStyle w:val="FootnoteReference"/>
        </w:rPr>
        <w:footnoteReference w:id="24"/>
      </w:r>
      <w:r w:rsidR="00C0713C">
        <w:t xml:space="preserve"> </w:t>
      </w:r>
      <w:r w:rsidR="00CE6CDF">
        <w:t xml:space="preserve">Qanats are utilised in certain areas of Carmania, as the mountainous </w:t>
      </w:r>
      <w:r w:rsidR="00720C75">
        <w:t xml:space="preserve">arid </w:t>
      </w:r>
      <w:r w:rsidR="00CE6CDF">
        <w:t xml:space="preserve">terrain is </w:t>
      </w:r>
      <w:r w:rsidR="0021399B">
        <w:t>ara</w:t>
      </w:r>
      <w:r w:rsidR="00CE6CDF">
        <w:t>ble via this method.</w:t>
      </w:r>
      <w:r w:rsidR="00720C75">
        <w:rPr>
          <w:rStyle w:val="FootnoteReference"/>
        </w:rPr>
        <w:footnoteReference w:id="25"/>
      </w:r>
      <w:r w:rsidR="006E602F">
        <w:t xml:space="preserve"> Leonnatus gives 50 talents to a tribe in the Persian mountains, who are renowned for their fighting.</w:t>
      </w:r>
      <w:r w:rsidR="00E86539">
        <w:rPr>
          <w:rStyle w:val="FootnoteReference"/>
        </w:rPr>
        <w:footnoteReference w:id="26"/>
      </w:r>
      <w:r w:rsidR="006E602F">
        <w:t xml:space="preserve"> After enriching their poor lands, Leonnatus took 300 of the best fighting men to make his personal bodyguard.</w:t>
      </w:r>
      <w:r w:rsidR="00531BB3">
        <w:rPr>
          <w:rStyle w:val="FootnoteReference"/>
        </w:rPr>
        <w:footnoteReference w:id="27"/>
      </w:r>
      <w:r w:rsidR="006E602F">
        <w:t xml:space="preserve"> Realising the deep cultural pressures of Persia, Leonnatus endeavoured to learn the language from these people. He also tried to create a strong bond with these men, calling them his companions and introducing the idea of a Macedonian symposia to them, to increase loyalty and the safety of his family.</w:t>
      </w:r>
      <w:r w:rsidR="00531BB3">
        <w:rPr>
          <w:rStyle w:val="FootnoteReference"/>
        </w:rPr>
        <w:footnoteReference w:id="28"/>
      </w:r>
      <w:r w:rsidR="006E602F">
        <w:t xml:space="preserve"> </w:t>
      </w:r>
    </w:p>
    <w:p w:rsidR="006E602F" w:rsidRDefault="006E602F" w:rsidP="00C7053F">
      <w:pPr>
        <w:spacing w:line="480" w:lineRule="auto"/>
      </w:pPr>
    </w:p>
    <w:p w:rsidR="00E67D28" w:rsidRDefault="00E67D28" w:rsidP="00C7053F">
      <w:pPr>
        <w:spacing w:line="480" w:lineRule="auto"/>
        <w:rPr>
          <w:u w:val="single"/>
        </w:rPr>
      </w:pPr>
      <w:r w:rsidRPr="00E54FA6">
        <w:rPr>
          <w:u w:val="single"/>
        </w:rPr>
        <w:t xml:space="preserve">July 320BCE- </w:t>
      </w:r>
      <w:r w:rsidR="00FF34A5" w:rsidRPr="00E54FA6">
        <w:rPr>
          <w:u w:val="single"/>
        </w:rPr>
        <w:t>J</w:t>
      </w:r>
      <w:r w:rsidRPr="00E54FA6">
        <w:rPr>
          <w:u w:val="single"/>
        </w:rPr>
        <w:t>uly 319BCE</w:t>
      </w:r>
    </w:p>
    <w:p w:rsidR="0021399B" w:rsidRPr="00E54FA6" w:rsidRDefault="0021399B" w:rsidP="00C7053F">
      <w:pPr>
        <w:spacing w:line="480" w:lineRule="auto"/>
        <w:rPr>
          <w:u w:val="single"/>
        </w:rPr>
      </w:pPr>
      <w:r>
        <w:rPr>
          <w:u w:val="single"/>
        </w:rPr>
        <w:t>Plan</w:t>
      </w:r>
    </w:p>
    <w:p w:rsidR="003576E4" w:rsidRDefault="00EB7097" w:rsidP="00C7053F">
      <w:pPr>
        <w:spacing w:line="480" w:lineRule="auto"/>
      </w:pPr>
      <w:r>
        <w:t>Meleagros and Leonnatus p</w:t>
      </w:r>
      <w:r w:rsidR="00C0713C">
        <w:t xml:space="preserve">lan to invade Colchis but </w:t>
      </w:r>
      <w:r w:rsidR="00656372">
        <w:t>there are several logistical troubles</w:t>
      </w:r>
      <w:r w:rsidR="00C0713C">
        <w:t>.</w:t>
      </w:r>
      <w:r w:rsidR="003576E4">
        <w:t xml:space="preserve"> </w:t>
      </w:r>
      <w:r w:rsidR="001A0F9F">
        <w:t>Armenia has a military alliance with the empire, but running supply lines through the mountainous passes filled by hostile tribes will prove extremely difficul</w:t>
      </w:r>
      <w:r w:rsidR="00B96284">
        <w:t>t, and the land of Armenia does no</w:t>
      </w:r>
      <w:r w:rsidR="001A0F9F">
        <w:t>t have a lot of food to supply an army with either.</w:t>
      </w:r>
      <w:r w:rsidR="00656372">
        <w:rPr>
          <w:rStyle w:val="FootnoteReference"/>
        </w:rPr>
        <w:footnoteReference w:id="29"/>
      </w:r>
      <w:r w:rsidR="001A0F9F">
        <w:t xml:space="preserve"> Leonnatus</w:t>
      </w:r>
      <w:r w:rsidR="00FD785F">
        <w:t>,</w:t>
      </w:r>
      <w:r w:rsidR="001A0F9F">
        <w:t xml:space="preserve"> while he does not believe this invasion is wise, has accepted the King’s </w:t>
      </w:r>
      <w:r w:rsidR="00C17A6C">
        <w:t>request</w:t>
      </w:r>
      <w:r w:rsidR="001A0F9F">
        <w:t xml:space="preserve"> for him to lead the campaign. </w:t>
      </w:r>
    </w:p>
    <w:p w:rsidR="0021399B" w:rsidRPr="0021399B" w:rsidRDefault="0021399B" w:rsidP="00C7053F">
      <w:pPr>
        <w:spacing w:line="480" w:lineRule="auto"/>
        <w:rPr>
          <w:u w:val="single"/>
        </w:rPr>
      </w:pPr>
      <w:r w:rsidRPr="0021399B">
        <w:rPr>
          <w:u w:val="single"/>
        </w:rPr>
        <w:t>Outcome</w:t>
      </w:r>
    </w:p>
    <w:p w:rsidR="00C0713C" w:rsidRDefault="003576E4" w:rsidP="00C7053F">
      <w:pPr>
        <w:spacing w:line="480" w:lineRule="auto"/>
      </w:pPr>
      <w:r>
        <w:lastRenderedPageBreak/>
        <w:t>Upon discussing the plans to invade Colchis, it becomes clear that the empire needs to first secure its borders before it endeavours on such a monumentally difficult task of dealing with Armenia and Colchis. S</w:t>
      </w:r>
      <w:r w:rsidR="00B96284">
        <w:t>eeing that in Meleagros’ court Lysimachus impeded the political systems effectiveness</w:t>
      </w:r>
      <w:r>
        <w:t>, borrowed excessive amounts of money with no way to repay, and questioned the king’s loyalty, Leonnatus suggests to Meleagros during the next war council to have his elite Persian bodyguard to arrest and execute him, counterfeiting evidence to suggest that Lysimachus was behind the revolts last year.</w:t>
      </w:r>
      <w:r w:rsidR="00B96284">
        <w:rPr>
          <w:rStyle w:val="FootnoteReference"/>
        </w:rPr>
        <w:footnoteReference w:id="30"/>
      </w:r>
      <w:r>
        <w:t xml:space="preserve"> </w:t>
      </w:r>
      <w:r w:rsidR="00C17A6C">
        <w:t>Forging documents like this was also done by Alexander to persuade his companions.</w:t>
      </w:r>
      <w:r w:rsidR="00C17A6C">
        <w:rPr>
          <w:rStyle w:val="FootnoteReference"/>
        </w:rPr>
        <w:footnoteReference w:id="31"/>
      </w:r>
      <w:r w:rsidR="00C17A6C">
        <w:t xml:space="preserve"> </w:t>
      </w:r>
      <w:r w:rsidR="00B96284">
        <w:t>Leonnatus executes Lysimachus by order of the king, allowing him to gain more power in the court.</w:t>
      </w:r>
      <w:r w:rsidR="00B96284">
        <w:rPr>
          <w:rStyle w:val="FootnoteReference"/>
        </w:rPr>
        <w:footnoteReference w:id="32"/>
      </w:r>
      <w:r w:rsidR="00B96284">
        <w:t xml:space="preserve"> </w:t>
      </w:r>
      <w:r>
        <w:t>To stimulate better integration with the Persians, Leonnatus m</w:t>
      </w:r>
      <w:r w:rsidR="00C0713C">
        <w:t xml:space="preserve">arries a Persian </w:t>
      </w:r>
      <w:r>
        <w:t>noble</w:t>
      </w:r>
      <w:r w:rsidR="00F47703">
        <w:t xml:space="preserve">woman and holds the </w:t>
      </w:r>
      <w:proofErr w:type="spellStart"/>
      <w:r w:rsidR="00F47703">
        <w:t>Avesta</w:t>
      </w:r>
      <w:proofErr w:type="spellEnd"/>
      <w:r w:rsidR="00F47703">
        <w:t>, a</w:t>
      </w:r>
      <w:r w:rsidR="00C0713C">
        <w:t xml:space="preserve"> Persian festival.</w:t>
      </w:r>
      <w:r w:rsidR="00197F9F">
        <w:rPr>
          <w:rStyle w:val="FootnoteReference"/>
        </w:rPr>
        <w:footnoteReference w:id="33"/>
      </w:r>
      <w:r w:rsidR="00C0713C">
        <w:t xml:space="preserve"> </w:t>
      </w:r>
      <w:r>
        <w:t xml:space="preserve">From this marriage Leonnatus has a child and names him </w:t>
      </w:r>
      <w:proofErr w:type="spellStart"/>
      <w:r>
        <w:t>Philippos</w:t>
      </w:r>
      <w:proofErr w:type="spellEnd"/>
      <w:r>
        <w:t>, after Philip II, whom Leonnatus admires for his military reforms and siege-craft ingenuity.</w:t>
      </w:r>
      <w:r w:rsidR="00C17A6C">
        <w:rPr>
          <w:rStyle w:val="FootnoteReference"/>
        </w:rPr>
        <w:footnoteReference w:id="34"/>
      </w:r>
      <w:r w:rsidR="00393086">
        <w:t xml:space="preserve"> Under the orders of Basileus Meleagros, Leonnatus constructs a </w:t>
      </w:r>
      <w:r w:rsidR="00B96284">
        <w:t>mint</w:t>
      </w:r>
      <w:r w:rsidR="00393086">
        <w:t xml:space="preserve"> in Susa, as Persis and Carmania do not often use coinage</w:t>
      </w:r>
      <w:r w:rsidR="0014479B">
        <w:t>, so it would stimulate</w:t>
      </w:r>
      <w:r w:rsidR="00393086">
        <w:t xml:space="preserve"> trade.</w:t>
      </w:r>
      <w:r w:rsidR="00393086">
        <w:rPr>
          <w:rStyle w:val="FootnoteReference"/>
        </w:rPr>
        <w:footnoteReference w:id="35"/>
      </w:r>
      <w:r>
        <w:t xml:space="preserve"> </w:t>
      </w:r>
      <w:r w:rsidR="0014479B">
        <w:t>Making coins of not only Meleagros, but also coins for his own satrapies with Apollo and Leonnatus depicted, Leonnatus established himself in this important city that had been improved magnificently by Darius.</w:t>
      </w:r>
      <w:r w:rsidR="0014479B">
        <w:rPr>
          <w:rStyle w:val="FootnoteReference"/>
        </w:rPr>
        <w:footnoteReference w:id="36"/>
      </w:r>
    </w:p>
    <w:p w:rsidR="006E602F" w:rsidRDefault="006E602F" w:rsidP="00C7053F">
      <w:pPr>
        <w:spacing w:line="480" w:lineRule="auto"/>
      </w:pPr>
    </w:p>
    <w:p w:rsidR="00E67D28" w:rsidRDefault="00E67D28" w:rsidP="00C7053F">
      <w:pPr>
        <w:spacing w:line="480" w:lineRule="auto"/>
        <w:rPr>
          <w:u w:val="single"/>
        </w:rPr>
      </w:pPr>
      <w:r w:rsidRPr="00E54FA6">
        <w:rPr>
          <w:u w:val="single"/>
        </w:rPr>
        <w:t>July 319BCE- July 318BCE</w:t>
      </w:r>
    </w:p>
    <w:p w:rsidR="0021399B" w:rsidRPr="00E54FA6" w:rsidRDefault="0021399B" w:rsidP="00C7053F">
      <w:pPr>
        <w:spacing w:line="480" w:lineRule="auto"/>
        <w:rPr>
          <w:u w:val="single"/>
        </w:rPr>
      </w:pPr>
      <w:r>
        <w:rPr>
          <w:u w:val="single"/>
        </w:rPr>
        <w:t>Plan</w:t>
      </w:r>
    </w:p>
    <w:p w:rsidR="00E67D28" w:rsidRDefault="00E67D28" w:rsidP="00C7053F">
      <w:pPr>
        <w:spacing w:line="480" w:lineRule="auto"/>
      </w:pPr>
      <w:r>
        <w:t xml:space="preserve">After the death of Antigonos in Asia Minor, which dissolves the peace between the three main powers, Meleagros and Ptolemy both wrote a new treaty, in which they seize territory in Asia Minor and Europe respectively. Being the strategos for the empire under the basileus’ rule, Leonnatus will </w:t>
      </w:r>
      <w:r>
        <w:lastRenderedPageBreak/>
        <w:t>be chosen to lead the empire’s forces into Cilicia, siege</w:t>
      </w:r>
      <w:r w:rsidR="00DD7351">
        <w:t xml:space="preserve"> Tarsus—the largest city—</w:t>
      </w:r>
      <w:r>
        <w:t xml:space="preserve">and capture the Cilician gates to prevent reinforcements from </w:t>
      </w:r>
      <w:r w:rsidR="00DD7351">
        <w:t xml:space="preserve">the west </w:t>
      </w:r>
      <w:r>
        <w:t>assisting the siege.</w:t>
      </w:r>
      <w:r w:rsidR="00DD7351">
        <w:rPr>
          <w:rStyle w:val="FootnoteReference"/>
        </w:rPr>
        <w:footnoteReference w:id="37"/>
      </w:r>
      <w:r>
        <w:t xml:space="preserve"> </w:t>
      </w:r>
    </w:p>
    <w:p w:rsidR="0021399B" w:rsidRPr="0021399B" w:rsidRDefault="0021399B" w:rsidP="00C7053F">
      <w:pPr>
        <w:spacing w:line="480" w:lineRule="auto"/>
        <w:rPr>
          <w:u w:val="single"/>
        </w:rPr>
      </w:pPr>
      <w:r w:rsidRPr="0021399B">
        <w:rPr>
          <w:u w:val="single"/>
        </w:rPr>
        <w:t>Outcome</w:t>
      </w:r>
    </w:p>
    <w:p w:rsidR="00E67D28" w:rsidRDefault="00E67D28" w:rsidP="00C7053F">
      <w:pPr>
        <w:spacing w:line="480" w:lineRule="auto"/>
      </w:pPr>
      <w:r>
        <w:t xml:space="preserve">Raising 12,000 archers, Leonnatus marched to Constantinople on the Issus </w:t>
      </w:r>
      <w:proofErr w:type="gramStart"/>
      <w:r>
        <w:t>river</w:t>
      </w:r>
      <w:proofErr w:type="gramEnd"/>
      <w:r>
        <w:t xml:space="preserve">, and took command of the other forces raised there. After gifting 200 talents to the officers and making efforts to secure the loyalty of the troops, Leonnatus then marched to </w:t>
      </w:r>
      <w:r w:rsidR="00DD7351">
        <w:t>Mopsuestia</w:t>
      </w:r>
      <w:r>
        <w:t>, a small ford blocking entry to the rest of the Cilician plain.</w:t>
      </w:r>
      <w:r w:rsidR="00DD7351">
        <w:rPr>
          <w:rStyle w:val="FootnoteReference"/>
        </w:rPr>
        <w:footnoteReference w:id="38"/>
      </w:r>
      <w:r>
        <w:t xml:space="preserve"> The resistance faced was extreme and even when reinforced with 36,000 troops from Egypt, the siege took 8 months. Leonnatus however swiftly moved south to take Aegeae, and then to Adana, capturing both with his forces before </w:t>
      </w:r>
      <w:r w:rsidR="008519D0">
        <w:rPr>
          <w:rFonts w:ascii="Arial" w:hAnsi="Arial" w:cs="Arial"/>
          <w:color w:val="222222"/>
          <w:sz w:val="21"/>
          <w:szCs w:val="21"/>
          <w:shd w:val="clear" w:color="auto" w:fill="FFFFFF"/>
        </w:rPr>
        <w:t>Mopsuestia</w:t>
      </w:r>
      <w:r>
        <w:t xml:space="preserve"> finally fell.</w:t>
      </w:r>
      <w:r w:rsidR="008519D0">
        <w:rPr>
          <w:rStyle w:val="FootnoteReference"/>
        </w:rPr>
        <w:footnoteReference w:id="39"/>
      </w:r>
      <w:r>
        <w:t xml:space="preserve"> Failing to bribe or intimidate Tarsus, Leonnatus marched on the city. However, Demetrios, who the city was loyal to, decided to cede Tarsus and Pamphylia to the </w:t>
      </w:r>
      <w:proofErr w:type="spellStart"/>
      <w:r>
        <w:t>Meleagrean</w:t>
      </w:r>
      <w:proofErr w:type="spellEnd"/>
      <w:r>
        <w:t xml:space="preserve"> empire, allowing Leonnatus’ army to rest. </w:t>
      </w:r>
      <w:r w:rsidR="008519D0">
        <w:t>These lands contain many fertile plains and cities, being also a useful foothold on the southern coast of Asia Minor.</w:t>
      </w:r>
      <w:r w:rsidR="008519D0">
        <w:rPr>
          <w:rStyle w:val="FootnoteReference"/>
        </w:rPr>
        <w:footnoteReference w:id="40"/>
      </w:r>
      <w:r w:rsidR="008519D0">
        <w:t xml:space="preserve"> </w:t>
      </w:r>
      <w:r>
        <w:t>Upon receiving reports that a Macedonian army numbering around 40,000 were marching towards Tarsus through Asia Minor</w:t>
      </w:r>
      <w:r w:rsidR="008519D0">
        <w:t>, an outbreak of disease occurred in Tarsus, as such a large number of soldiers were situated nearby</w:t>
      </w:r>
      <w:r>
        <w:t>. Seeing that the</w:t>
      </w:r>
      <w:r w:rsidR="00453179">
        <w:t xml:space="preserve"> Macedonians</w:t>
      </w:r>
      <w:r>
        <w:t xml:space="preserve"> </w:t>
      </w:r>
      <w:r w:rsidR="008519D0">
        <w:t>were t</w:t>
      </w:r>
      <w:r>
        <w:t>aking attrition and have no supply lines, Leonnatus decided to defeat them in battle and take the honour and glory of doing so. Marching to the foot of the hills before the Cilician gates, Leonnatus prepared a flat battlefield to allow for his superior numbers of phalangites, elephants, and cavalry to be deployed appropriately</w:t>
      </w:r>
      <w:r w:rsidR="00453179">
        <w:t>, as Darius had done when leading a larger force at Arbela</w:t>
      </w:r>
      <w:r>
        <w:t>.</w:t>
      </w:r>
      <w:r w:rsidR="00453179">
        <w:rPr>
          <w:rStyle w:val="FootnoteReference"/>
        </w:rPr>
        <w:footnoteReference w:id="41"/>
      </w:r>
      <w:r>
        <w:t xml:space="preserve"> During the battle, Leonnatus used the elephants and cavalry on his flanks to beat and destroy the weaker enemy flanks, and then engaged the main bulk of the Macedonians with his phalanx.</w:t>
      </w:r>
      <w:r w:rsidR="004A62BD">
        <w:rPr>
          <w:rStyle w:val="FootnoteReference"/>
        </w:rPr>
        <w:footnoteReference w:id="42"/>
      </w:r>
      <w:r>
        <w:t xml:space="preserve"> The victory was decided when Krateros fled the field and Leonnatus sublimely charged into the rear of the </w:t>
      </w:r>
      <w:r>
        <w:lastRenderedPageBreak/>
        <w:t>Macedonian centre</w:t>
      </w:r>
      <w:r w:rsidR="00E75F3B">
        <w:t>, similar to Alexander’s tactics of leading with his cavalry</w:t>
      </w:r>
      <w:r>
        <w:t>.</w:t>
      </w:r>
      <w:r w:rsidR="00E75F3B">
        <w:rPr>
          <w:rStyle w:val="FootnoteReference"/>
        </w:rPr>
        <w:footnoteReference w:id="43"/>
      </w:r>
      <w:r>
        <w:t xml:space="preserve"> Upon victory Leonnatus sent men to collect the silver shields that had been lost from the Macedonian army, and collected for Meleagros to use for his phalanx core.</w:t>
      </w:r>
      <w:r w:rsidR="00E75F3B">
        <w:rPr>
          <w:rStyle w:val="FootnoteReference"/>
        </w:rPr>
        <w:footnoteReference w:id="44"/>
      </w:r>
      <w:r>
        <w:t xml:space="preserve"> Leonnatus has learned from the battle that while </w:t>
      </w:r>
      <w:r w:rsidR="00E75F3B">
        <w:t xml:space="preserve">heavy </w:t>
      </w:r>
      <w:r>
        <w:t>cavalry, elephants, and phalangites are extremely valuable, archers, light infantry, and light cavalry are significantly less useful</w:t>
      </w:r>
      <w:r w:rsidR="00E75F3B">
        <w:t xml:space="preserve"> in this period</w:t>
      </w:r>
      <w:r>
        <w:t>.</w:t>
      </w:r>
      <w:r w:rsidR="004A62BD">
        <w:rPr>
          <w:rStyle w:val="FootnoteReference"/>
        </w:rPr>
        <w:footnoteReference w:id="45"/>
      </w:r>
    </w:p>
    <w:p w:rsidR="00E67D28" w:rsidRPr="00E54FA6" w:rsidRDefault="00E67D28" w:rsidP="00C7053F">
      <w:pPr>
        <w:spacing w:line="480" w:lineRule="auto"/>
        <w:rPr>
          <w:u w:val="single"/>
        </w:rPr>
      </w:pPr>
    </w:p>
    <w:p w:rsidR="00E67D28" w:rsidRDefault="00E67D28" w:rsidP="00C7053F">
      <w:pPr>
        <w:spacing w:line="480" w:lineRule="auto"/>
        <w:rPr>
          <w:u w:val="single"/>
        </w:rPr>
      </w:pPr>
      <w:r w:rsidRPr="00E54FA6">
        <w:rPr>
          <w:u w:val="single"/>
        </w:rPr>
        <w:t>July 318BCE- July 317BCE</w:t>
      </w:r>
    </w:p>
    <w:p w:rsidR="0021399B" w:rsidRPr="00E54FA6" w:rsidRDefault="0021399B" w:rsidP="00C7053F">
      <w:pPr>
        <w:spacing w:line="480" w:lineRule="auto"/>
        <w:rPr>
          <w:u w:val="single"/>
        </w:rPr>
      </w:pPr>
      <w:r>
        <w:rPr>
          <w:u w:val="single"/>
        </w:rPr>
        <w:t>Plan</w:t>
      </w:r>
    </w:p>
    <w:p w:rsidR="00E67D28" w:rsidRDefault="00E67D28" w:rsidP="00C7053F">
      <w:pPr>
        <w:spacing w:line="480" w:lineRule="auto"/>
      </w:pPr>
      <w:r>
        <w:t xml:space="preserve">Leonnatus’ plans are to persuade the Basileus Meleagros to allow him to return back to his satrapies, and for Leonnatus to continue to investigate the raiding that occurred in Carmania during his campaigns, which spies have reported were the work of Peukestas, the Satrap of Baktria. Leonnatus believes that upon having victory, he should organise a feast and procession of celebration. </w:t>
      </w:r>
    </w:p>
    <w:p w:rsidR="0021399B" w:rsidRPr="0021399B" w:rsidRDefault="0021399B" w:rsidP="00C7053F">
      <w:pPr>
        <w:spacing w:line="480" w:lineRule="auto"/>
        <w:rPr>
          <w:u w:val="single"/>
        </w:rPr>
      </w:pPr>
      <w:r w:rsidRPr="0021399B">
        <w:rPr>
          <w:u w:val="single"/>
        </w:rPr>
        <w:t>Outcome</w:t>
      </w:r>
    </w:p>
    <w:p w:rsidR="00E67D28" w:rsidRDefault="00C1775C" w:rsidP="00C7053F">
      <w:pPr>
        <w:spacing w:line="480" w:lineRule="auto"/>
      </w:pPr>
      <w:r>
        <w:t>Immediately with his Persian soldiers, Leonnatus shared wine and sacrifices, as Alexander did to gain their favour.</w:t>
      </w:r>
      <w:r>
        <w:rPr>
          <w:rStyle w:val="FootnoteReference"/>
        </w:rPr>
        <w:footnoteReference w:id="46"/>
      </w:r>
      <w:r>
        <w:t xml:space="preserve"> </w:t>
      </w:r>
      <w:r w:rsidR="00E67D28">
        <w:t xml:space="preserve">Leonnatus however, found that during his absence, the tribesmen in Persis had taken the capital and had a small army of 16,000 soldiers raiding the lands. Peithon and Meleagros defeated several contingents of the rebels, and Leonnatus returned home. A peace envoy from Demetrios was sent bearing a gift of </w:t>
      </w:r>
      <w:r w:rsidR="001A0F9F">
        <w:t xml:space="preserve">100 </w:t>
      </w:r>
      <w:r w:rsidR="00E67D28">
        <w:t>ducks</w:t>
      </w:r>
      <w:r w:rsidR="001A0F9F">
        <w:t>. T</w:t>
      </w:r>
      <w:r w:rsidR="00E67D28">
        <w:t xml:space="preserve">hese ducks </w:t>
      </w:r>
      <w:r w:rsidR="001A0F9F">
        <w:t>turned out to be poisonous, and were intended to kill Leonnatus, however, Leonnatus had suspected such and avoided eating them, although a bodyguard was killed</w:t>
      </w:r>
      <w:r w:rsidR="00E67D28">
        <w:t>.</w:t>
      </w:r>
      <w:r w:rsidR="00706A10">
        <w:rPr>
          <w:rStyle w:val="FootnoteReference"/>
        </w:rPr>
        <w:footnoteReference w:id="47"/>
      </w:r>
      <w:r w:rsidR="00E67D28">
        <w:t xml:space="preserve"> After this assassination attempt, Leonnatus has increased the </w:t>
      </w:r>
      <w:r w:rsidR="00E67D28">
        <w:lastRenderedPageBreak/>
        <w:t>security of his palaces</w:t>
      </w:r>
      <w:r w:rsidR="00A968D1">
        <w:t xml:space="preserve"> in Susa, Persepolis, and Pasargadae, the three mayor administrative palaces in his domain.</w:t>
      </w:r>
      <w:r w:rsidR="00A968D1">
        <w:rPr>
          <w:rStyle w:val="FootnoteReference"/>
        </w:rPr>
        <w:footnoteReference w:id="48"/>
      </w:r>
      <w:r w:rsidR="00A968D1">
        <w:t xml:space="preserve"> He also</w:t>
      </w:r>
      <w:r w:rsidR="00E67D28">
        <w:t xml:space="preserve"> hired food tasters, and increased his bodyguard from 300 to 450.</w:t>
      </w:r>
      <w:r w:rsidR="0059427B">
        <w:rPr>
          <w:rStyle w:val="FootnoteReference"/>
        </w:rPr>
        <w:footnoteReference w:id="49"/>
      </w:r>
      <w:r w:rsidR="00E67D28">
        <w:t xml:space="preserve">   </w:t>
      </w:r>
    </w:p>
    <w:p w:rsidR="00E67D28" w:rsidRDefault="00E67D28" w:rsidP="00C7053F">
      <w:pPr>
        <w:spacing w:line="480" w:lineRule="auto"/>
      </w:pPr>
    </w:p>
    <w:p w:rsidR="00E67D28" w:rsidRDefault="00E67D28" w:rsidP="00C7053F">
      <w:pPr>
        <w:spacing w:line="480" w:lineRule="auto"/>
        <w:rPr>
          <w:u w:val="single"/>
        </w:rPr>
      </w:pPr>
      <w:r w:rsidRPr="00E54FA6">
        <w:rPr>
          <w:u w:val="single"/>
        </w:rPr>
        <w:t>July 317BCE- July 316BCE</w:t>
      </w:r>
    </w:p>
    <w:p w:rsidR="0021399B" w:rsidRPr="00E54FA6" w:rsidRDefault="0021399B" w:rsidP="00C7053F">
      <w:pPr>
        <w:spacing w:line="480" w:lineRule="auto"/>
        <w:rPr>
          <w:u w:val="single"/>
        </w:rPr>
      </w:pPr>
      <w:r>
        <w:rPr>
          <w:u w:val="single"/>
        </w:rPr>
        <w:t>Plan</w:t>
      </w:r>
    </w:p>
    <w:p w:rsidR="00E67D28" w:rsidRDefault="00E67D28" w:rsidP="00C7053F">
      <w:pPr>
        <w:spacing w:line="480" w:lineRule="auto"/>
      </w:pPr>
      <w:r>
        <w:t xml:space="preserve">During this year Leonnatus hopes to siege and recapture the capital of his power in Persis, and defeat the rebels. Leonnatus hopes to restore the loyalty of his people by executing the officials and leaders of the rebellion, and throw </w:t>
      </w:r>
      <w:r w:rsidR="00D24641">
        <w:t xml:space="preserve">a high festival to </w:t>
      </w:r>
      <w:r>
        <w:t>celebrate his victory to content the masses.</w:t>
      </w:r>
      <w:r w:rsidR="00D24641">
        <w:rPr>
          <w:rStyle w:val="FootnoteReference"/>
        </w:rPr>
        <w:footnoteReference w:id="50"/>
      </w:r>
      <w:r>
        <w:t xml:space="preserve"> Leonnatus also hopes to settle phalangites in the region of Carmania from the campaign in Cilicia to allow for a stronger army to be raised more quickly should any future rebellion take place</w:t>
      </w:r>
      <w:r w:rsidR="00D24641">
        <w:t>, while also protecting the mines</w:t>
      </w:r>
      <w:r>
        <w:t>.</w:t>
      </w:r>
      <w:r w:rsidR="00D24641">
        <w:rPr>
          <w:rStyle w:val="FootnoteReference"/>
        </w:rPr>
        <w:footnoteReference w:id="51"/>
      </w:r>
      <w:r>
        <w:t xml:space="preserve"> </w:t>
      </w:r>
    </w:p>
    <w:p w:rsidR="0021399B" w:rsidRPr="0021399B" w:rsidRDefault="0021399B" w:rsidP="00C7053F">
      <w:pPr>
        <w:spacing w:line="480" w:lineRule="auto"/>
        <w:rPr>
          <w:u w:val="single"/>
        </w:rPr>
      </w:pPr>
      <w:r w:rsidRPr="0021399B">
        <w:rPr>
          <w:u w:val="single"/>
        </w:rPr>
        <w:t>Outcome</w:t>
      </w:r>
    </w:p>
    <w:p w:rsidR="00E67D28" w:rsidRDefault="00E67D28" w:rsidP="00C7053F">
      <w:pPr>
        <w:spacing w:line="480" w:lineRule="auto"/>
      </w:pPr>
      <w:r>
        <w:t>During the beginning of the year, a great plague of locusts rose from up the Nile, which proceeded to destroy and swarm in Egypt, Asia Minor, and Mesopotamia.</w:t>
      </w:r>
      <w:r w:rsidR="00197F9F">
        <w:rPr>
          <w:rStyle w:val="FootnoteReference"/>
        </w:rPr>
        <w:footnoteReference w:id="52"/>
      </w:r>
      <w:r>
        <w:t xml:space="preserve"> </w:t>
      </w:r>
      <w:r w:rsidR="00813436">
        <w:t>Fortunately,</w:t>
      </w:r>
      <w:r>
        <w:t xml:space="preserve"> Leonnatus’ lands were spared, </w:t>
      </w:r>
      <w:r w:rsidR="00197F9F">
        <w:t>and</w:t>
      </w:r>
      <w:r>
        <w:t xml:space="preserve"> using a combined force from Meleagros, himself, and Peithon</w:t>
      </w:r>
      <w:r w:rsidR="00197F9F">
        <w:t xml:space="preserve"> the siege of the rebels in Persepolis took only five months. Having previous siege experience, Leonnatus was able to breach a weak point the walls, and relieve his garrison in the highly-fortified, triple-walled citadel.</w:t>
      </w:r>
      <w:r w:rsidR="00197F9F">
        <w:rPr>
          <w:rStyle w:val="FootnoteReference"/>
        </w:rPr>
        <w:footnoteReference w:id="53"/>
      </w:r>
      <w:r w:rsidR="00197F9F">
        <w:t xml:space="preserve"> </w:t>
      </w:r>
      <w:r>
        <w:t xml:space="preserve">Chandragupta invaded </w:t>
      </w:r>
      <w:proofErr w:type="spellStart"/>
      <w:r>
        <w:t>Arachosia</w:t>
      </w:r>
      <w:proofErr w:type="spellEnd"/>
      <w:r>
        <w:t xml:space="preserve"> and Baktria, and Peukestas sided with the Indians</w:t>
      </w:r>
      <w:r w:rsidR="00197F9F">
        <w:t>, who were formidable at this period</w:t>
      </w:r>
      <w:r>
        <w:t>.</w:t>
      </w:r>
      <w:r w:rsidR="00197F9F">
        <w:rPr>
          <w:rStyle w:val="FootnoteReference"/>
        </w:rPr>
        <w:footnoteReference w:id="54"/>
      </w:r>
      <w:r>
        <w:t xml:space="preserve"> In anticipation of a larger war, but with little funding </w:t>
      </w:r>
      <w:r w:rsidR="0021399B">
        <w:t>for one, Leonnatus settled the p</w:t>
      </w:r>
      <w:r>
        <w:t xml:space="preserve">halangites in Carmania, and ensured that they could be quickly called into service </w:t>
      </w:r>
      <w:r>
        <w:lastRenderedPageBreak/>
        <w:t>should the need arise.</w:t>
      </w:r>
      <w:r w:rsidR="00197F9F">
        <w:rPr>
          <w:rStyle w:val="FootnoteReference"/>
        </w:rPr>
        <w:footnoteReference w:id="55"/>
      </w:r>
      <w:r>
        <w:t xml:space="preserve"> Envoys from Meleagros failed to secure peace with Chandragupta, and the forces from Baktria prepared to invade. Leonnatus prepared several contingents of light cavalry to deal with the elephants should they march West.  The centres of population in Mesopotamia became afflicted with riots and an outbreak of cholera</w:t>
      </w:r>
      <w:r w:rsidR="006B7D96">
        <w:t>.</w:t>
      </w:r>
      <w:r w:rsidR="00FA4FFE">
        <w:rPr>
          <w:rStyle w:val="FootnoteReference"/>
        </w:rPr>
        <w:footnoteReference w:id="56"/>
      </w:r>
      <w:r w:rsidR="006B7D96">
        <w:t xml:space="preserve"> Although the population was treated with mint and vinegar,</w:t>
      </w:r>
      <w:r>
        <w:t xml:space="preserve"> a great number of the population</w:t>
      </w:r>
      <w:r w:rsidR="006B7D96">
        <w:t xml:space="preserve"> was killed</w:t>
      </w:r>
      <w:r>
        <w:t>.</w:t>
      </w:r>
      <w:r w:rsidR="006B7D96">
        <w:rPr>
          <w:rStyle w:val="FootnoteReference"/>
        </w:rPr>
        <w:footnoteReference w:id="57"/>
      </w:r>
      <w:r>
        <w:t xml:space="preserve"> Leonnatus’ was forced to use much of his own grain to feed the remaining armies of Meleagros, and endeavours to try and prevent any outbreaks of Cholera in his satrapies by ensuring the rivers were safe to drink from.</w:t>
      </w:r>
      <w:r w:rsidR="0021399B">
        <w:rPr>
          <w:rStyle w:val="FootnoteReference"/>
        </w:rPr>
        <w:footnoteReference w:id="58"/>
      </w:r>
      <w:r>
        <w:t xml:space="preserve"> Meleagros towards </w:t>
      </w:r>
      <w:r w:rsidR="0021399B">
        <w:t xml:space="preserve">the end of the year agreed to </w:t>
      </w:r>
      <w:r>
        <w:t>cede the entire empire to Chandragupta, in an effort for him and his satraps to remain as governors. This plan displeases Leonnatus, who places a heavy trust in the phalanxes and heavy cavalry of both Media and Persis.</w:t>
      </w:r>
      <w:r w:rsidR="007B63D3">
        <w:rPr>
          <w:rStyle w:val="FootnoteReference"/>
        </w:rPr>
        <w:footnoteReference w:id="59"/>
      </w:r>
      <w:r w:rsidR="00FA4FFE">
        <w:t xml:space="preserve"> Leonnatus begins to </w:t>
      </w:r>
      <w:r w:rsidR="0021399B">
        <w:t>prominently</w:t>
      </w:r>
      <w:r w:rsidR="00FA4FFE">
        <w:t xml:space="preserve"> wear Persian dress and speaks Persian more often than Macedonian.</w:t>
      </w:r>
      <w:r w:rsidR="00FA4FFE">
        <w:rPr>
          <w:rStyle w:val="FootnoteReference"/>
        </w:rPr>
        <w:footnoteReference w:id="60"/>
      </w:r>
    </w:p>
    <w:p w:rsidR="00E67D28" w:rsidRDefault="00E67D28" w:rsidP="00C7053F">
      <w:pPr>
        <w:spacing w:line="480" w:lineRule="auto"/>
      </w:pPr>
    </w:p>
    <w:p w:rsidR="00E67D28" w:rsidRDefault="00E67D28" w:rsidP="00C7053F">
      <w:pPr>
        <w:spacing w:line="480" w:lineRule="auto"/>
        <w:rPr>
          <w:u w:val="single"/>
        </w:rPr>
      </w:pPr>
      <w:r w:rsidRPr="0021399B">
        <w:rPr>
          <w:u w:val="single"/>
        </w:rPr>
        <w:t>July 316BCE- July 315BCE</w:t>
      </w:r>
    </w:p>
    <w:p w:rsidR="0021399B" w:rsidRPr="0021399B" w:rsidRDefault="0021399B" w:rsidP="00C7053F">
      <w:pPr>
        <w:spacing w:line="480" w:lineRule="auto"/>
        <w:rPr>
          <w:u w:val="single"/>
        </w:rPr>
      </w:pPr>
      <w:r>
        <w:rPr>
          <w:u w:val="single"/>
        </w:rPr>
        <w:t>Plan</w:t>
      </w:r>
    </w:p>
    <w:p w:rsidR="00E67D28" w:rsidRDefault="00E67D28" w:rsidP="00C7053F">
      <w:pPr>
        <w:spacing w:line="480" w:lineRule="auto"/>
      </w:pPr>
      <w:r>
        <w:t xml:space="preserve">Speaking covertly with Peithon, Leonnatus has conspired to assassinate Meleagros, and make it look like Peukestas, the rebellious </w:t>
      </w:r>
      <w:proofErr w:type="spellStart"/>
      <w:r>
        <w:t>Baktrian</w:t>
      </w:r>
      <w:proofErr w:type="spellEnd"/>
      <w:r>
        <w:t xml:space="preserve"> satrap, committed the regicide. This plan will involve convincing Meleagros to use Leonnatus’ own personal guard to escort the basileus across Persis and Carmania, and upon the</w:t>
      </w:r>
      <w:r w:rsidR="004660DC">
        <w:t xml:space="preserve"> scarcely populated</w:t>
      </w:r>
      <w:r w:rsidR="007B63D3">
        <w:t xml:space="preserve"> desert</w:t>
      </w:r>
      <w:r>
        <w:t xml:space="preserve"> </w:t>
      </w:r>
      <w:r w:rsidR="004660DC">
        <w:t>coasts</w:t>
      </w:r>
      <w:r>
        <w:t xml:space="preserve"> of </w:t>
      </w:r>
      <w:r w:rsidR="007B63D3">
        <w:t>Gedrosia</w:t>
      </w:r>
      <w:r>
        <w:t>, assassinate him.</w:t>
      </w:r>
      <w:r w:rsidR="004660DC">
        <w:rPr>
          <w:rStyle w:val="FootnoteReference"/>
        </w:rPr>
        <w:footnoteReference w:id="61"/>
      </w:r>
      <w:r>
        <w:t xml:space="preserve"> Being left in control of Babylon anyway whilst Meleagros travels to India, it will be easy for Leonnatus to control the garrison and establish himself there to prevent riots</w:t>
      </w:r>
      <w:r w:rsidR="00B96284">
        <w:t xml:space="preserve"> and revolt</w:t>
      </w:r>
      <w:r>
        <w:t>.</w:t>
      </w:r>
      <w:r w:rsidR="00B96284">
        <w:rPr>
          <w:rStyle w:val="FootnoteReference"/>
        </w:rPr>
        <w:footnoteReference w:id="62"/>
      </w:r>
      <w:r>
        <w:t xml:space="preserve"> This assassination will allow </w:t>
      </w:r>
      <w:r>
        <w:lastRenderedPageBreak/>
        <w:t xml:space="preserve">Peithon and Leonnatus to make war with Baktria and rally the people to their cause, avoiding riots and uniting the people under a cause. </w:t>
      </w:r>
    </w:p>
    <w:p w:rsidR="0021399B" w:rsidRPr="0021399B" w:rsidRDefault="0021399B" w:rsidP="00C7053F">
      <w:pPr>
        <w:spacing w:line="480" w:lineRule="auto"/>
        <w:rPr>
          <w:u w:val="single"/>
        </w:rPr>
      </w:pPr>
      <w:r w:rsidRPr="0021399B">
        <w:rPr>
          <w:u w:val="single"/>
        </w:rPr>
        <w:t>Outcome</w:t>
      </w:r>
    </w:p>
    <w:p w:rsidR="006E602F" w:rsidRDefault="001A59AC" w:rsidP="00C7053F">
      <w:pPr>
        <w:spacing w:line="480" w:lineRule="auto"/>
      </w:pPr>
      <w:r>
        <w:t xml:space="preserve">Leonnatus and Peithon were given control of the treasury, and Leonnatus with Babylon. To ensure peace after the assassination, Leonnatus doubled the garrisons of all satrapies with Persian soldiers loyal to him. </w:t>
      </w:r>
      <w:r w:rsidR="006E602F">
        <w:t>After convincing Meleagros—who had now deified himself</w:t>
      </w:r>
      <w:r w:rsidR="004660DC">
        <w:t xml:space="preserve"> as a son of Zeus like Alexander</w:t>
      </w:r>
      <w:r w:rsidR="006E602F">
        <w:t>—to take Leonnatus’ personal bodyguard to a port in the south of Carmania to take a ship</w:t>
      </w:r>
      <w:r w:rsidR="004660DC">
        <w:t>—intended by Alexander to invade Arabia—</w:t>
      </w:r>
      <w:r w:rsidR="006E602F">
        <w:t>to India</w:t>
      </w:r>
      <w:r w:rsidR="004660DC">
        <w:t>.</w:t>
      </w:r>
      <w:r w:rsidR="004660DC">
        <w:rPr>
          <w:rStyle w:val="FootnoteReference"/>
        </w:rPr>
        <w:footnoteReference w:id="63"/>
      </w:r>
      <w:r w:rsidR="006E602F">
        <w:t xml:space="preserve"> </w:t>
      </w:r>
      <w:r w:rsidR="004660DC">
        <w:t>T</w:t>
      </w:r>
      <w:r w:rsidR="006E602F">
        <w:t>he war council met in person, where again Leonnatus used his bodyguard to execute a member of the court, Kassander, the satrap of Mesopotamia who declared for Baktria</w:t>
      </w:r>
      <w:r>
        <w:t xml:space="preserve"> and India, but came back to the court upon realising the dire state of the rebels. Leonnatus’ bodyguard then accompanied Meleagros, and when they were in the deserts near Gedrosia, they assassinated Mele</w:t>
      </w:r>
      <w:r w:rsidR="00B96284">
        <w:t xml:space="preserve">agros, and claimed a </w:t>
      </w:r>
      <w:proofErr w:type="spellStart"/>
      <w:r w:rsidR="00B96284">
        <w:t>Baktrian</w:t>
      </w:r>
      <w:proofErr w:type="spellEnd"/>
      <w:r w:rsidR="00B96284">
        <w:t xml:space="preserve"> assassin</w:t>
      </w:r>
      <w:r>
        <w:t xml:space="preserve"> had killed him in the night.</w:t>
      </w:r>
      <w:r w:rsidR="0001478D">
        <w:rPr>
          <w:rStyle w:val="FootnoteReference"/>
        </w:rPr>
        <w:footnoteReference w:id="64"/>
      </w:r>
      <w:r>
        <w:t xml:space="preserve"> Acting quickly and withholding this news from the public, Peithon and Leonnatus sent an envoy to Ptolemy, who refused to reinstate the alliance while Baktria and India were still a threat. When the public were informed, and a modified version of Meleagros’ will was given, naming Peithon as his heir, the public were indifferent and did not revolt, as Meleagros had become unpopular due to his own deification, his crucifixions, and his submission to Chandragupta.</w:t>
      </w:r>
      <w:r w:rsidR="004660DC">
        <w:t xml:space="preserve"> The modification of Meleagros’ will is reminiscent of the Macedonians largely ignoring the requests of Alexander the Great after his death.</w:t>
      </w:r>
      <w:r w:rsidR="004660DC">
        <w:rPr>
          <w:rStyle w:val="FootnoteReference"/>
        </w:rPr>
        <w:footnoteReference w:id="65"/>
      </w:r>
      <w:r>
        <w:t xml:space="preserve"> An envoy from Krateros in Macedon was sent, who gifted a donkey who ate figs and </w:t>
      </w:r>
      <w:r w:rsidR="003362A0">
        <w:t>wine</w:t>
      </w:r>
      <w:r>
        <w:t>.</w:t>
      </w:r>
      <w:r w:rsidR="003362A0">
        <w:rPr>
          <w:rStyle w:val="FootnoteReference"/>
        </w:rPr>
        <w:footnoteReference w:id="66"/>
      </w:r>
      <w:r>
        <w:t xml:space="preserve"> In a state of complete shock, Leonnatus inexplicably died of laughter. Upon his death, Ptolemy invaded, and Persis, Elymais, Carmania, and Babylon revolted.</w:t>
      </w:r>
      <w:r w:rsidR="004A62BD">
        <w:rPr>
          <w:rStyle w:val="FootnoteReference"/>
        </w:rPr>
        <w:footnoteReference w:id="67"/>
      </w:r>
      <w:r>
        <w:t xml:space="preserve"> </w:t>
      </w:r>
    </w:p>
    <w:p w:rsidR="00C7053F" w:rsidRDefault="00C7053F" w:rsidP="00C7053F">
      <w:pPr>
        <w:spacing w:line="480" w:lineRule="auto"/>
      </w:pPr>
    </w:p>
    <w:p w:rsidR="0021399B" w:rsidRPr="0021399B" w:rsidRDefault="0021399B" w:rsidP="00C7053F">
      <w:pPr>
        <w:spacing w:line="480" w:lineRule="auto"/>
        <w:rPr>
          <w:u w:val="single"/>
        </w:rPr>
      </w:pPr>
      <w:r w:rsidRPr="0021399B">
        <w:rPr>
          <w:u w:val="single"/>
        </w:rPr>
        <w:lastRenderedPageBreak/>
        <w:t>Bibliography</w:t>
      </w:r>
      <w:bookmarkStart w:id="0" w:name="_GoBack"/>
      <w:bookmarkEnd w:id="0"/>
    </w:p>
    <w:p w:rsidR="00813436" w:rsidRPr="0021399B" w:rsidRDefault="00813436" w:rsidP="00C7053F">
      <w:pPr>
        <w:spacing w:line="480" w:lineRule="auto"/>
        <w:rPr>
          <w:u w:val="single"/>
        </w:rPr>
      </w:pPr>
      <w:r w:rsidRPr="0021399B">
        <w:rPr>
          <w:u w:val="single"/>
        </w:rPr>
        <w:t>Ancient Sources:</w:t>
      </w:r>
    </w:p>
    <w:p w:rsidR="000E579E" w:rsidRPr="000E579E" w:rsidRDefault="000E579E" w:rsidP="00C7053F">
      <w:pPr>
        <w:spacing w:line="480" w:lineRule="auto"/>
      </w:pPr>
      <w:proofErr w:type="spellStart"/>
      <w:r>
        <w:t>Arrian</w:t>
      </w:r>
      <w:proofErr w:type="spellEnd"/>
      <w:r>
        <w:t xml:space="preserve">, </w:t>
      </w:r>
      <w:r>
        <w:rPr>
          <w:i/>
        </w:rPr>
        <w:t xml:space="preserve">Anabasis. </w:t>
      </w:r>
      <w:r>
        <w:t xml:space="preserve">E.J. </w:t>
      </w:r>
      <w:proofErr w:type="spellStart"/>
      <w:r>
        <w:t>Chinnock</w:t>
      </w:r>
      <w:proofErr w:type="spellEnd"/>
      <w:r>
        <w:t xml:space="preserve"> (</w:t>
      </w:r>
      <w:proofErr w:type="gramStart"/>
      <w:r>
        <w:t>trans</w:t>
      </w:r>
      <w:proofErr w:type="gramEnd"/>
      <w:r>
        <w:t>.). 1884. London: Butler and Tanner.</w:t>
      </w:r>
    </w:p>
    <w:p w:rsidR="00BF1326" w:rsidRDefault="00BF1326" w:rsidP="00C7053F">
      <w:pPr>
        <w:spacing w:line="480" w:lineRule="auto"/>
      </w:pPr>
      <w:proofErr w:type="spellStart"/>
      <w:r>
        <w:t>Diodorus</w:t>
      </w:r>
      <w:proofErr w:type="spellEnd"/>
      <w:r>
        <w:t xml:space="preserve"> </w:t>
      </w:r>
      <w:proofErr w:type="spellStart"/>
      <w:r>
        <w:t>Siculus</w:t>
      </w:r>
      <w:proofErr w:type="spellEnd"/>
      <w:r>
        <w:t xml:space="preserve">, </w:t>
      </w:r>
      <w:r>
        <w:rPr>
          <w:i/>
        </w:rPr>
        <w:t xml:space="preserve">Library. </w:t>
      </w:r>
      <w:r>
        <w:t xml:space="preserve">C.H </w:t>
      </w:r>
      <w:proofErr w:type="spellStart"/>
      <w:r>
        <w:t>Oldfather</w:t>
      </w:r>
      <w:proofErr w:type="spellEnd"/>
      <w:r>
        <w:t xml:space="preserve"> (</w:t>
      </w:r>
      <w:proofErr w:type="gramStart"/>
      <w:r>
        <w:t>trans</w:t>
      </w:r>
      <w:proofErr w:type="gramEnd"/>
      <w:r>
        <w:t xml:space="preserve">.). 1989. London: William Heinemann Ltd. </w:t>
      </w:r>
    </w:p>
    <w:p w:rsidR="000E579E" w:rsidRPr="000E579E" w:rsidRDefault="000E579E" w:rsidP="00C7053F">
      <w:pPr>
        <w:spacing w:line="480" w:lineRule="auto"/>
      </w:pPr>
      <w:r>
        <w:t xml:space="preserve">Diogenes </w:t>
      </w:r>
      <w:proofErr w:type="spellStart"/>
      <w:r>
        <w:t>Laertius</w:t>
      </w:r>
      <w:proofErr w:type="spellEnd"/>
      <w:r>
        <w:t xml:space="preserve">, </w:t>
      </w:r>
      <w:r>
        <w:rPr>
          <w:i/>
        </w:rPr>
        <w:t xml:space="preserve">Lives of the Eminent Philosophers. </w:t>
      </w:r>
      <w:r w:rsidR="004E4D91">
        <w:t>R.D. Hicks (</w:t>
      </w:r>
      <w:proofErr w:type="gramStart"/>
      <w:r w:rsidR="004E4D91">
        <w:t>trans</w:t>
      </w:r>
      <w:proofErr w:type="gramEnd"/>
      <w:r w:rsidR="004E4D91">
        <w:t>.). 1925. Cambridge: Harvard University Press.</w:t>
      </w:r>
    </w:p>
    <w:p w:rsidR="000E579E" w:rsidRDefault="000E579E" w:rsidP="00C7053F">
      <w:pPr>
        <w:spacing w:line="480" w:lineRule="auto"/>
      </w:pPr>
      <w:r>
        <w:t xml:space="preserve">Herodotus, </w:t>
      </w:r>
      <w:r w:rsidRPr="000E579E">
        <w:rPr>
          <w:i/>
        </w:rPr>
        <w:t>Histories</w:t>
      </w:r>
      <w:r>
        <w:t>. A.D. Godley (</w:t>
      </w:r>
      <w:proofErr w:type="gramStart"/>
      <w:r>
        <w:t>trans</w:t>
      </w:r>
      <w:proofErr w:type="gramEnd"/>
      <w:r>
        <w:t xml:space="preserve">.). 1920. Cambridge: Harvard University Press. </w:t>
      </w:r>
    </w:p>
    <w:p w:rsidR="004E4D91" w:rsidRPr="000E579E" w:rsidRDefault="004E4D91" w:rsidP="00C7053F">
      <w:pPr>
        <w:spacing w:line="480" w:lineRule="auto"/>
      </w:pPr>
      <w:proofErr w:type="spellStart"/>
      <w:r>
        <w:t>Justinius</w:t>
      </w:r>
      <w:proofErr w:type="spellEnd"/>
      <w:r>
        <w:t xml:space="preserve">, </w:t>
      </w:r>
      <w:r>
        <w:rPr>
          <w:i/>
        </w:rPr>
        <w:t xml:space="preserve">Epitome. </w:t>
      </w:r>
      <w:r>
        <w:t>J.S. Watson (</w:t>
      </w:r>
      <w:proofErr w:type="gramStart"/>
      <w:r>
        <w:t>trans</w:t>
      </w:r>
      <w:proofErr w:type="gramEnd"/>
      <w:r>
        <w:t xml:space="preserve">.). 1853. London: H.G. Bohn. </w:t>
      </w:r>
    </w:p>
    <w:p w:rsidR="000E579E" w:rsidRPr="000E579E" w:rsidRDefault="000E579E" w:rsidP="00C7053F">
      <w:pPr>
        <w:spacing w:line="480" w:lineRule="auto"/>
      </w:pPr>
      <w:r>
        <w:t xml:space="preserve">Pausanias, </w:t>
      </w:r>
      <w:r>
        <w:rPr>
          <w:i/>
        </w:rPr>
        <w:t xml:space="preserve">Description of Greece. </w:t>
      </w:r>
      <w:r>
        <w:t>W.H.S. Jones (</w:t>
      </w:r>
      <w:proofErr w:type="gramStart"/>
      <w:r>
        <w:t>trans</w:t>
      </w:r>
      <w:proofErr w:type="gramEnd"/>
      <w:r>
        <w:t xml:space="preserve">.). London: William Heinemann Ltd. </w:t>
      </w:r>
    </w:p>
    <w:p w:rsidR="000E579E" w:rsidRPr="000E579E" w:rsidRDefault="000E579E" w:rsidP="00C7053F">
      <w:pPr>
        <w:spacing w:line="480" w:lineRule="auto"/>
      </w:pPr>
      <w:r>
        <w:t xml:space="preserve">Pliny the Elder, </w:t>
      </w:r>
      <w:proofErr w:type="spellStart"/>
      <w:r>
        <w:rPr>
          <w:i/>
        </w:rPr>
        <w:t>Naturalis</w:t>
      </w:r>
      <w:proofErr w:type="spellEnd"/>
      <w:r>
        <w:rPr>
          <w:i/>
        </w:rPr>
        <w:t xml:space="preserve"> </w:t>
      </w:r>
      <w:proofErr w:type="spellStart"/>
      <w:r>
        <w:rPr>
          <w:i/>
        </w:rPr>
        <w:t>Historia</w:t>
      </w:r>
      <w:proofErr w:type="spellEnd"/>
      <w:r>
        <w:rPr>
          <w:i/>
        </w:rPr>
        <w:t xml:space="preserve">. </w:t>
      </w:r>
      <w:r>
        <w:t xml:space="preserve">J. </w:t>
      </w:r>
      <w:proofErr w:type="spellStart"/>
      <w:r>
        <w:t>Bostock</w:t>
      </w:r>
      <w:proofErr w:type="spellEnd"/>
      <w:r>
        <w:t xml:space="preserve"> (</w:t>
      </w:r>
      <w:proofErr w:type="gramStart"/>
      <w:r>
        <w:t>trans</w:t>
      </w:r>
      <w:proofErr w:type="gramEnd"/>
      <w:r>
        <w:t>.). 1855. London: Taylor and Francis.</w:t>
      </w:r>
    </w:p>
    <w:p w:rsidR="00BB3B3B" w:rsidRPr="00BF1326" w:rsidRDefault="00BB3B3B" w:rsidP="00C7053F">
      <w:pPr>
        <w:spacing w:line="480" w:lineRule="auto"/>
      </w:pPr>
      <w:r>
        <w:t xml:space="preserve">Plutarch, </w:t>
      </w:r>
      <w:r w:rsidRPr="00BB3B3B">
        <w:rPr>
          <w:i/>
        </w:rPr>
        <w:t>Alexander</w:t>
      </w:r>
      <w:r>
        <w:rPr>
          <w:i/>
        </w:rPr>
        <w:t>.</w:t>
      </w:r>
      <w:r>
        <w:t xml:space="preserve"> B. Perrin (</w:t>
      </w:r>
      <w:proofErr w:type="gramStart"/>
      <w:r>
        <w:t>trans</w:t>
      </w:r>
      <w:proofErr w:type="gramEnd"/>
      <w:r>
        <w:t>.). 1919. London: William Heinemann</w:t>
      </w:r>
      <w:r w:rsidR="006761B6">
        <w:t xml:space="preserve"> Ltd</w:t>
      </w:r>
      <w:r>
        <w:t xml:space="preserve">. </w:t>
      </w:r>
      <w:r w:rsidRPr="00BB3B3B">
        <w:rPr>
          <w:i/>
        </w:rPr>
        <w:t xml:space="preserve"> </w:t>
      </w:r>
    </w:p>
    <w:p w:rsidR="00BF1326" w:rsidRPr="00BF1326" w:rsidRDefault="00BF1326" w:rsidP="00C7053F">
      <w:pPr>
        <w:spacing w:line="480" w:lineRule="auto"/>
      </w:pPr>
      <w:r>
        <w:t xml:space="preserve">Plutarch, </w:t>
      </w:r>
      <w:proofErr w:type="spellStart"/>
      <w:r w:rsidRPr="00BF1326">
        <w:rPr>
          <w:i/>
        </w:rPr>
        <w:t>Phocion</w:t>
      </w:r>
      <w:proofErr w:type="spellEnd"/>
      <w:r>
        <w:t>. B. Perrin (</w:t>
      </w:r>
      <w:proofErr w:type="gramStart"/>
      <w:r>
        <w:t>trans</w:t>
      </w:r>
      <w:proofErr w:type="gramEnd"/>
      <w:r>
        <w:t xml:space="preserve">.). 1919. London William Heinemann Ltd. </w:t>
      </w:r>
    </w:p>
    <w:p w:rsidR="00BF1326" w:rsidRPr="00BF1326" w:rsidRDefault="00BF1326" w:rsidP="00C7053F">
      <w:pPr>
        <w:spacing w:line="480" w:lineRule="auto"/>
      </w:pPr>
      <w:r>
        <w:t xml:space="preserve">Strabo, </w:t>
      </w:r>
      <w:r>
        <w:rPr>
          <w:i/>
        </w:rPr>
        <w:t xml:space="preserve">Geography. </w:t>
      </w:r>
      <w:r>
        <w:t>H.C. Hamilton and W. Falconer (</w:t>
      </w:r>
      <w:proofErr w:type="gramStart"/>
      <w:r>
        <w:t>trans</w:t>
      </w:r>
      <w:proofErr w:type="gramEnd"/>
      <w:r>
        <w:t>.). 1903. London: George Bell &amp; Sons.</w:t>
      </w:r>
    </w:p>
    <w:p w:rsidR="00240E39" w:rsidRDefault="00240E39" w:rsidP="00C7053F">
      <w:pPr>
        <w:spacing w:line="480" w:lineRule="auto"/>
      </w:pPr>
      <w:r>
        <w:t xml:space="preserve">Van der </w:t>
      </w:r>
      <w:proofErr w:type="spellStart"/>
      <w:r>
        <w:t>Spek</w:t>
      </w:r>
      <w:proofErr w:type="spellEnd"/>
      <w:r>
        <w:t>, B</w:t>
      </w:r>
      <w:r w:rsidR="001F666D">
        <w:t xml:space="preserve"> (</w:t>
      </w:r>
      <w:proofErr w:type="gramStart"/>
      <w:r w:rsidR="001F666D">
        <w:t>trans</w:t>
      </w:r>
      <w:proofErr w:type="gramEnd"/>
      <w:r w:rsidR="001F666D">
        <w:t>.).</w:t>
      </w:r>
      <w:r>
        <w:t xml:space="preserve"> BCHP 6. </w:t>
      </w:r>
      <w:hyperlink r:id="rId7" w:history="1">
        <w:r w:rsidR="00B96284" w:rsidRPr="00D05F3D">
          <w:rPr>
            <w:rStyle w:val="Hyperlink"/>
          </w:rPr>
          <w:t>http://www.livius.org/cg-cm/chronicles/bchp-ruin_esagila/ruin_esagila_01.html</w:t>
        </w:r>
      </w:hyperlink>
      <w:r w:rsidR="00B96284">
        <w:t>. [Accessed: 12</w:t>
      </w:r>
      <w:r w:rsidR="00B96284" w:rsidRPr="00B96284">
        <w:rPr>
          <w:vertAlign w:val="superscript"/>
        </w:rPr>
        <w:t>th</w:t>
      </w:r>
      <w:r w:rsidR="00B96284">
        <w:t xml:space="preserve"> November </w:t>
      </w:r>
      <w:r w:rsidR="001F666D">
        <w:t>2</w:t>
      </w:r>
      <w:r w:rsidR="00B96284">
        <w:t>018]</w:t>
      </w:r>
    </w:p>
    <w:p w:rsidR="001F666D" w:rsidRDefault="001F666D" w:rsidP="00C7053F">
      <w:pPr>
        <w:spacing w:line="480" w:lineRule="auto"/>
      </w:pPr>
      <w:r>
        <w:t xml:space="preserve">Van der </w:t>
      </w:r>
      <w:proofErr w:type="spellStart"/>
      <w:r>
        <w:t>Spek</w:t>
      </w:r>
      <w:proofErr w:type="spellEnd"/>
      <w:r>
        <w:t>, B (</w:t>
      </w:r>
      <w:proofErr w:type="gramStart"/>
      <w:r>
        <w:t>trans</w:t>
      </w:r>
      <w:proofErr w:type="gramEnd"/>
      <w:r>
        <w:t xml:space="preserve">.). BCHP 11. </w:t>
      </w:r>
      <w:hyperlink r:id="rId8" w:history="1">
        <w:r w:rsidRPr="00395173">
          <w:rPr>
            <w:rStyle w:val="Hyperlink"/>
          </w:rPr>
          <w:t>http://www.livius.org/cg-cm/chronicles/bchp-ptolemy_iii/bchp_ptolemy_iii_01.html</w:t>
        </w:r>
      </w:hyperlink>
      <w:r>
        <w:t>. [Accessed: 12</w:t>
      </w:r>
      <w:r w:rsidRPr="001F666D">
        <w:rPr>
          <w:vertAlign w:val="superscript"/>
        </w:rPr>
        <w:t>th</w:t>
      </w:r>
      <w:r>
        <w:t xml:space="preserve"> November 2018]</w:t>
      </w:r>
    </w:p>
    <w:p w:rsidR="00E434EA" w:rsidRPr="00E434EA" w:rsidRDefault="00E434EA" w:rsidP="00C7053F">
      <w:pPr>
        <w:spacing w:line="480" w:lineRule="auto"/>
      </w:pPr>
      <w:r>
        <w:t xml:space="preserve">Xenophon, </w:t>
      </w:r>
      <w:r>
        <w:rPr>
          <w:i/>
        </w:rPr>
        <w:t xml:space="preserve">Anabasis. </w:t>
      </w:r>
      <w:r w:rsidR="00254FB5">
        <w:t xml:space="preserve">C.L. </w:t>
      </w:r>
      <w:proofErr w:type="spellStart"/>
      <w:r w:rsidR="00254FB5">
        <w:t>Brownson</w:t>
      </w:r>
      <w:proofErr w:type="spellEnd"/>
      <w:r w:rsidR="00254FB5">
        <w:t xml:space="preserve"> (</w:t>
      </w:r>
      <w:proofErr w:type="gramStart"/>
      <w:r w:rsidR="00254FB5">
        <w:t>trans</w:t>
      </w:r>
      <w:proofErr w:type="gramEnd"/>
      <w:r w:rsidR="00254FB5">
        <w:t xml:space="preserve">.). 1922. London: William Heinemann Ltd. </w:t>
      </w:r>
    </w:p>
    <w:p w:rsidR="00E434EA" w:rsidRPr="00E434EA" w:rsidRDefault="00E434EA" w:rsidP="00C7053F">
      <w:pPr>
        <w:spacing w:line="480" w:lineRule="auto"/>
      </w:pPr>
      <w:r>
        <w:t xml:space="preserve">Xenophon, </w:t>
      </w:r>
      <w:r>
        <w:rPr>
          <w:i/>
        </w:rPr>
        <w:t xml:space="preserve">Hellenica. </w:t>
      </w:r>
      <w:r>
        <w:t xml:space="preserve">C.L. </w:t>
      </w:r>
      <w:proofErr w:type="spellStart"/>
      <w:r>
        <w:t>Brownson</w:t>
      </w:r>
      <w:proofErr w:type="spellEnd"/>
      <w:r>
        <w:t xml:space="preserve"> (</w:t>
      </w:r>
      <w:proofErr w:type="gramStart"/>
      <w:r>
        <w:t>trans</w:t>
      </w:r>
      <w:proofErr w:type="gramEnd"/>
      <w:r>
        <w:t>.). 1921. London: William Heinemann Ltd.</w:t>
      </w:r>
    </w:p>
    <w:p w:rsidR="008B497B" w:rsidRDefault="008B497B" w:rsidP="00C7053F">
      <w:pPr>
        <w:spacing w:line="480" w:lineRule="auto"/>
      </w:pPr>
    </w:p>
    <w:p w:rsidR="00FA4FFE" w:rsidRPr="0021399B" w:rsidRDefault="00813436" w:rsidP="00C7053F">
      <w:pPr>
        <w:spacing w:line="480" w:lineRule="auto"/>
        <w:rPr>
          <w:u w:val="single"/>
        </w:rPr>
      </w:pPr>
      <w:r w:rsidRPr="0021399B">
        <w:rPr>
          <w:u w:val="single"/>
        </w:rPr>
        <w:t>Modern Scholarship:</w:t>
      </w:r>
    </w:p>
    <w:p w:rsidR="004A62BD" w:rsidRDefault="004A62BD" w:rsidP="00C7053F">
      <w:pPr>
        <w:spacing w:line="480" w:lineRule="auto"/>
      </w:pPr>
      <w:r>
        <w:lastRenderedPageBreak/>
        <w:t xml:space="preserve">Ager, S.L. 2005. ‘An Uneasy Balance: from the death of </w:t>
      </w:r>
      <w:proofErr w:type="spellStart"/>
      <w:r>
        <w:t>Seleukos</w:t>
      </w:r>
      <w:proofErr w:type="spellEnd"/>
      <w:r>
        <w:t xml:space="preserve"> to the Battle of </w:t>
      </w:r>
      <w:proofErr w:type="spellStart"/>
      <w:r>
        <w:t>Raphia</w:t>
      </w:r>
      <w:proofErr w:type="spellEnd"/>
      <w:r>
        <w:t xml:space="preserve">’, in A. </w:t>
      </w:r>
      <w:proofErr w:type="spellStart"/>
      <w:r>
        <w:t>Erksine</w:t>
      </w:r>
      <w:proofErr w:type="spellEnd"/>
      <w:r>
        <w:t xml:space="preserve"> (ed.), </w:t>
      </w:r>
      <w:r>
        <w:rPr>
          <w:i/>
        </w:rPr>
        <w:t xml:space="preserve">A Companion to the Hellenistic World. </w:t>
      </w:r>
      <w:r>
        <w:t>Oxford: Blackwell Publishing Ltd. 35-50</w:t>
      </w:r>
      <w:r w:rsidR="002539AD">
        <w:t>.</w:t>
      </w:r>
    </w:p>
    <w:p w:rsidR="002539AD" w:rsidRPr="00FF36BF" w:rsidRDefault="002539AD" w:rsidP="00C7053F">
      <w:pPr>
        <w:spacing w:line="480" w:lineRule="auto"/>
      </w:pPr>
      <w:proofErr w:type="spellStart"/>
      <w:r>
        <w:t>Alcock</w:t>
      </w:r>
      <w:proofErr w:type="spellEnd"/>
      <w:r>
        <w:t xml:space="preserve">, S.E., Gates, J.E., and </w:t>
      </w:r>
      <w:proofErr w:type="spellStart"/>
      <w:r>
        <w:t>Rempel</w:t>
      </w:r>
      <w:proofErr w:type="spellEnd"/>
      <w:r>
        <w:t xml:space="preserve">, J.E. 2005. ‘Reading the Landscape: Survey Archaeology and the Hellenistic </w:t>
      </w:r>
      <w:proofErr w:type="spellStart"/>
      <w:r>
        <w:rPr>
          <w:i/>
        </w:rPr>
        <w:t>Oikoumene</w:t>
      </w:r>
      <w:proofErr w:type="spellEnd"/>
      <w:r>
        <w:t xml:space="preserve">’, in A. </w:t>
      </w:r>
      <w:proofErr w:type="spellStart"/>
      <w:r>
        <w:t>Erksine</w:t>
      </w:r>
      <w:proofErr w:type="spellEnd"/>
      <w:r>
        <w:t xml:space="preserve"> (ed.), </w:t>
      </w:r>
      <w:r>
        <w:rPr>
          <w:i/>
        </w:rPr>
        <w:t xml:space="preserve">A Companion to the Hellenistic World. </w:t>
      </w:r>
      <w:r>
        <w:t>Oxford: Blackwell Publishing Ltd. 354-372.</w:t>
      </w:r>
    </w:p>
    <w:p w:rsidR="002539AD" w:rsidRDefault="002539AD" w:rsidP="00C7053F">
      <w:pPr>
        <w:spacing w:line="480" w:lineRule="auto"/>
      </w:pPr>
      <w:r>
        <w:t xml:space="preserve">Baker, P. 2005. ‘Warfare’, in A. </w:t>
      </w:r>
      <w:proofErr w:type="spellStart"/>
      <w:r>
        <w:t>Erksine</w:t>
      </w:r>
      <w:proofErr w:type="spellEnd"/>
      <w:r>
        <w:t xml:space="preserve"> (ed.), </w:t>
      </w:r>
      <w:proofErr w:type="gramStart"/>
      <w:r>
        <w:rPr>
          <w:i/>
        </w:rPr>
        <w:t>A</w:t>
      </w:r>
      <w:proofErr w:type="gramEnd"/>
      <w:r>
        <w:rPr>
          <w:i/>
        </w:rPr>
        <w:t xml:space="preserve"> Companion to the Hellenistic World. </w:t>
      </w:r>
      <w:r>
        <w:t>Oxford: Blackwell Publishing Ltd. 373-388.</w:t>
      </w:r>
    </w:p>
    <w:p w:rsidR="002539AD" w:rsidRDefault="002539AD" w:rsidP="00C7053F">
      <w:pPr>
        <w:spacing w:line="480" w:lineRule="auto"/>
      </w:pPr>
      <w:r>
        <w:t xml:space="preserve">Billows, R. 2005. ‘Cities’, in A. </w:t>
      </w:r>
      <w:proofErr w:type="spellStart"/>
      <w:r>
        <w:t>Erksine</w:t>
      </w:r>
      <w:proofErr w:type="spellEnd"/>
      <w:r>
        <w:t xml:space="preserve"> (ed.), </w:t>
      </w:r>
      <w:proofErr w:type="gramStart"/>
      <w:r>
        <w:rPr>
          <w:i/>
        </w:rPr>
        <w:t>A</w:t>
      </w:r>
      <w:proofErr w:type="gramEnd"/>
      <w:r>
        <w:rPr>
          <w:i/>
        </w:rPr>
        <w:t xml:space="preserve"> Companion to the Hellenistic World. </w:t>
      </w:r>
      <w:r>
        <w:t>Oxford: Blackwell Publishing Ltd. 196-215.</w:t>
      </w:r>
    </w:p>
    <w:p w:rsidR="00FF36BF" w:rsidRDefault="00FF36BF" w:rsidP="00C7053F">
      <w:pPr>
        <w:spacing w:line="480" w:lineRule="auto"/>
      </w:pPr>
      <w:proofErr w:type="spellStart"/>
      <w:r>
        <w:t>Braund</w:t>
      </w:r>
      <w:proofErr w:type="spellEnd"/>
      <w:r>
        <w:t xml:space="preserve">, D. 2005. ‘After Alexander: the Emergence of the Hellenistic World’, in A. </w:t>
      </w:r>
      <w:proofErr w:type="spellStart"/>
      <w:r>
        <w:t>Erksine</w:t>
      </w:r>
      <w:proofErr w:type="spellEnd"/>
      <w:r>
        <w:t xml:space="preserve"> (ed.), </w:t>
      </w:r>
      <w:r>
        <w:rPr>
          <w:i/>
        </w:rPr>
        <w:t xml:space="preserve">A Companion to the Hellenistic World. </w:t>
      </w:r>
      <w:r>
        <w:t xml:space="preserve">Oxford: Blackwell Publishing Ltd. </w:t>
      </w:r>
      <w:r w:rsidR="004A62BD">
        <w:t>19-34.</w:t>
      </w:r>
    </w:p>
    <w:p w:rsidR="00BF1326" w:rsidRPr="00BF1326" w:rsidRDefault="00BF1326" w:rsidP="00C7053F">
      <w:pPr>
        <w:spacing w:line="480" w:lineRule="auto"/>
      </w:pPr>
      <w:r>
        <w:t xml:space="preserve">Collins, R. 1974. </w:t>
      </w:r>
      <w:r>
        <w:rPr>
          <w:i/>
        </w:rPr>
        <w:t xml:space="preserve">The Medes and Persians: Conquerors and Diplomats. </w:t>
      </w:r>
      <w:r>
        <w:t xml:space="preserve">London: </w:t>
      </w:r>
      <w:proofErr w:type="spellStart"/>
      <w:r>
        <w:t>Cassell</w:t>
      </w:r>
      <w:proofErr w:type="spellEnd"/>
      <w:r>
        <w:t xml:space="preserve">. </w:t>
      </w:r>
    </w:p>
    <w:p w:rsidR="004625EA" w:rsidRPr="004625EA" w:rsidRDefault="004625EA" w:rsidP="00C7053F">
      <w:pPr>
        <w:spacing w:line="480" w:lineRule="auto"/>
      </w:pPr>
      <w:r>
        <w:t xml:space="preserve">Cook, J.M. 1983. </w:t>
      </w:r>
      <w:r>
        <w:rPr>
          <w:i/>
        </w:rPr>
        <w:t xml:space="preserve">The Persian Empire. </w:t>
      </w:r>
      <w:r>
        <w:t>London: Book Club Associates.</w:t>
      </w:r>
    </w:p>
    <w:p w:rsidR="00B96284" w:rsidRDefault="00B96284" w:rsidP="00C7053F">
      <w:pPr>
        <w:spacing w:line="480" w:lineRule="auto"/>
      </w:pPr>
      <w:r>
        <w:t>Engels, D. 2011</w:t>
      </w:r>
      <w:r w:rsidR="00C51628">
        <w:t>.</w:t>
      </w:r>
      <w:r>
        <w:t xml:space="preserve"> ‘Middle Eastern ‘Feudalism’ and Seleucid Dissolution’, in K. Erickson and G. Ramsey (eds.), </w:t>
      </w:r>
      <w:r>
        <w:rPr>
          <w:i/>
        </w:rPr>
        <w:t xml:space="preserve">Seleucid Dissolution: The Sinking of the Anchor. </w:t>
      </w:r>
      <w:r w:rsidR="00C51628">
        <w:t xml:space="preserve">Wiesbaden: </w:t>
      </w:r>
      <w:proofErr w:type="spellStart"/>
      <w:r w:rsidR="00C51628">
        <w:t>Harrassowitz</w:t>
      </w:r>
      <w:proofErr w:type="spellEnd"/>
      <w:r w:rsidR="00C51628">
        <w:t xml:space="preserve"> </w:t>
      </w:r>
      <w:proofErr w:type="spellStart"/>
      <w:r w:rsidR="00C51628">
        <w:t>Verlag</w:t>
      </w:r>
      <w:proofErr w:type="spellEnd"/>
      <w:r w:rsidR="00C51628">
        <w:t>. 19-36.</w:t>
      </w:r>
    </w:p>
    <w:p w:rsidR="00C51628" w:rsidRDefault="00C51628" w:rsidP="00C7053F">
      <w:pPr>
        <w:spacing w:line="480" w:lineRule="auto"/>
      </w:pPr>
      <w:r>
        <w:t>Erickson, K. 2011. ‘Apollo-</w:t>
      </w:r>
      <w:proofErr w:type="spellStart"/>
      <w:r>
        <w:t>Nab</w:t>
      </w:r>
      <w:r>
        <w:rPr>
          <w:rFonts w:cstheme="minorHAnsi"/>
        </w:rPr>
        <w:t>û</w:t>
      </w:r>
      <w:proofErr w:type="spellEnd"/>
      <w:r>
        <w:t xml:space="preserve">: the Babylonian Policy of Antiochus I’, in K. Erickson and G. Ramsey (eds.), </w:t>
      </w:r>
      <w:r>
        <w:rPr>
          <w:i/>
        </w:rPr>
        <w:t xml:space="preserve">Seleucid Dissolution: The Sinking of the Anchor. </w:t>
      </w:r>
      <w:r>
        <w:t xml:space="preserve">Wiesbaden: </w:t>
      </w:r>
      <w:proofErr w:type="spellStart"/>
      <w:r>
        <w:t>Harrassowitz</w:t>
      </w:r>
      <w:proofErr w:type="spellEnd"/>
      <w:r>
        <w:t xml:space="preserve"> </w:t>
      </w:r>
      <w:proofErr w:type="spellStart"/>
      <w:r>
        <w:t>Verlag</w:t>
      </w:r>
      <w:proofErr w:type="spellEnd"/>
      <w:r>
        <w:t>. 51-66.</w:t>
      </w:r>
    </w:p>
    <w:p w:rsidR="006E705A" w:rsidRPr="006E705A" w:rsidRDefault="006E705A" w:rsidP="00C7053F">
      <w:pPr>
        <w:spacing w:line="480" w:lineRule="auto"/>
      </w:pPr>
      <w:proofErr w:type="spellStart"/>
      <w:r>
        <w:t>Errington</w:t>
      </w:r>
      <w:proofErr w:type="spellEnd"/>
      <w:r>
        <w:t xml:space="preserve">, R.M. 2008. </w:t>
      </w:r>
      <w:r>
        <w:rPr>
          <w:i/>
        </w:rPr>
        <w:t xml:space="preserve">A History of the Hellenistic World: 323-30 BC. </w:t>
      </w:r>
      <w:r>
        <w:t xml:space="preserve">London: Blackwell Publishing Ltd. </w:t>
      </w:r>
    </w:p>
    <w:p w:rsidR="002539AD" w:rsidRDefault="002539AD" w:rsidP="00C7053F">
      <w:pPr>
        <w:spacing w:line="480" w:lineRule="auto"/>
      </w:pPr>
      <w:proofErr w:type="spellStart"/>
      <w:r>
        <w:t>Flemming</w:t>
      </w:r>
      <w:proofErr w:type="spellEnd"/>
      <w:r>
        <w:t xml:space="preserve">, R. 2005. ‘Empire of Knowledge: Medicine and Health in the Hellenistic World’, in A. </w:t>
      </w:r>
      <w:proofErr w:type="spellStart"/>
      <w:r>
        <w:t>Erksine</w:t>
      </w:r>
      <w:proofErr w:type="spellEnd"/>
      <w:r>
        <w:t xml:space="preserve"> (ed.), </w:t>
      </w:r>
      <w:r>
        <w:rPr>
          <w:i/>
        </w:rPr>
        <w:t xml:space="preserve">A Companion to the Hellenistic World. </w:t>
      </w:r>
      <w:r>
        <w:t>Oxford: Blackwell Publishing Ltd. 449-463.</w:t>
      </w:r>
    </w:p>
    <w:p w:rsidR="0059427B" w:rsidRPr="0059427B" w:rsidRDefault="0059427B" w:rsidP="00C7053F">
      <w:pPr>
        <w:spacing w:line="480" w:lineRule="auto"/>
      </w:pPr>
      <w:r>
        <w:t xml:space="preserve">Georges, P. 1994. </w:t>
      </w:r>
      <w:r>
        <w:rPr>
          <w:i/>
        </w:rPr>
        <w:t xml:space="preserve">Barbarian Asia and the Greek Experience. </w:t>
      </w:r>
      <w:r>
        <w:t>London: The John Hopkins University Press.</w:t>
      </w:r>
    </w:p>
    <w:p w:rsidR="0014479B" w:rsidRDefault="0014479B" w:rsidP="00C7053F">
      <w:pPr>
        <w:spacing w:line="480" w:lineRule="auto"/>
      </w:pPr>
      <w:r>
        <w:lastRenderedPageBreak/>
        <w:t>Grainger, J.D.</w:t>
      </w:r>
      <w:r w:rsidR="004D686B">
        <w:t xml:space="preserve"> 1990. </w:t>
      </w:r>
      <w:proofErr w:type="spellStart"/>
      <w:r w:rsidR="004D686B">
        <w:rPr>
          <w:i/>
        </w:rPr>
        <w:t>Seleukos</w:t>
      </w:r>
      <w:proofErr w:type="spellEnd"/>
      <w:r w:rsidR="004D686B">
        <w:rPr>
          <w:i/>
        </w:rPr>
        <w:t xml:space="preserve"> </w:t>
      </w:r>
      <w:proofErr w:type="spellStart"/>
      <w:r w:rsidR="004D686B">
        <w:rPr>
          <w:i/>
        </w:rPr>
        <w:t>Nikator</w:t>
      </w:r>
      <w:proofErr w:type="spellEnd"/>
      <w:r w:rsidR="004D686B">
        <w:rPr>
          <w:i/>
        </w:rPr>
        <w:t xml:space="preserve">. </w:t>
      </w:r>
      <w:r w:rsidR="004D686B">
        <w:t>London: Routledge.</w:t>
      </w:r>
      <w:r w:rsidR="00D67F05">
        <w:t xml:space="preserve"> </w:t>
      </w:r>
    </w:p>
    <w:p w:rsidR="00D67F05" w:rsidRDefault="00D67F05" w:rsidP="00C7053F">
      <w:pPr>
        <w:spacing w:line="480" w:lineRule="auto"/>
      </w:pPr>
      <w:r>
        <w:t xml:space="preserve">Healy, J.F. 1978. </w:t>
      </w:r>
      <w:r w:rsidRPr="00D67F05">
        <w:rPr>
          <w:i/>
        </w:rPr>
        <w:t>Mining and Metallurgy in the Greek and Roman World</w:t>
      </w:r>
      <w:r>
        <w:t>. London: Thames and Hudson.</w:t>
      </w:r>
    </w:p>
    <w:p w:rsidR="004D686B" w:rsidRPr="004D686B" w:rsidRDefault="004D686B" w:rsidP="00C7053F">
      <w:pPr>
        <w:spacing w:line="480" w:lineRule="auto"/>
      </w:pPr>
      <w:proofErr w:type="spellStart"/>
      <w:r>
        <w:t>Kosmin</w:t>
      </w:r>
      <w:proofErr w:type="spellEnd"/>
      <w:r>
        <w:t xml:space="preserve">, P.J. 2014. </w:t>
      </w:r>
      <w:r>
        <w:rPr>
          <w:i/>
        </w:rPr>
        <w:t xml:space="preserve">The Land of the Elephant Kings. </w:t>
      </w:r>
      <w:r>
        <w:t>London: Harvard University Press.</w:t>
      </w:r>
    </w:p>
    <w:p w:rsidR="00720C75" w:rsidRDefault="00720C75" w:rsidP="00C7053F">
      <w:pPr>
        <w:spacing w:line="480" w:lineRule="auto"/>
      </w:pPr>
      <w:r>
        <w:t xml:space="preserve">Magee, P. 2005. ‘The </w:t>
      </w:r>
      <w:r w:rsidR="00531BB3">
        <w:t>C</w:t>
      </w:r>
      <w:r>
        <w:t xml:space="preserve">hronology and </w:t>
      </w:r>
      <w:r w:rsidR="00531BB3">
        <w:t>E</w:t>
      </w:r>
      <w:r>
        <w:t xml:space="preserve">nvironmental </w:t>
      </w:r>
      <w:r w:rsidR="00531BB3">
        <w:t>B</w:t>
      </w:r>
      <w:r>
        <w:t xml:space="preserve">ackground of </w:t>
      </w:r>
      <w:r w:rsidR="00531BB3">
        <w:t>I</w:t>
      </w:r>
      <w:r>
        <w:t xml:space="preserve">ron </w:t>
      </w:r>
      <w:r w:rsidR="00531BB3">
        <w:t>A</w:t>
      </w:r>
      <w:r>
        <w:t xml:space="preserve">ge </w:t>
      </w:r>
      <w:r w:rsidR="00531BB3">
        <w:t>S</w:t>
      </w:r>
      <w:r>
        <w:t xml:space="preserve">ettlement in </w:t>
      </w:r>
      <w:proofErr w:type="spellStart"/>
      <w:r w:rsidR="00531BB3">
        <w:t>S</w:t>
      </w:r>
      <w:r>
        <w:t>outheastern</w:t>
      </w:r>
      <w:proofErr w:type="spellEnd"/>
      <w:r>
        <w:t xml:space="preserve"> Iran and the</w:t>
      </w:r>
      <w:r w:rsidR="00531BB3">
        <w:t xml:space="preserve"> Q</w:t>
      </w:r>
      <w:r>
        <w:t xml:space="preserve">uestion of the </w:t>
      </w:r>
      <w:r w:rsidR="00531BB3">
        <w:t>O</w:t>
      </w:r>
      <w:r>
        <w:t xml:space="preserve">rigin of the </w:t>
      </w:r>
      <w:proofErr w:type="spellStart"/>
      <w:r w:rsidR="00531BB3">
        <w:t>Q</w:t>
      </w:r>
      <w:r>
        <w:t>anat</w:t>
      </w:r>
      <w:proofErr w:type="spellEnd"/>
      <w:r>
        <w:t xml:space="preserve"> </w:t>
      </w:r>
      <w:r w:rsidR="00531BB3">
        <w:t>I</w:t>
      </w:r>
      <w:r>
        <w:t xml:space="preserve">rrigation </w:t>
      </w:r>
      <w:r w:rsidR="00531BB3">
        <w:t>S</w:t>
      </w:r>
      <w:r>
        <w:t xml:space="preserve">ystem’, </w:t>
      </w:r>
      <w:proofErr w:type="spellStart"/>
      <w:r>
        <w:rPr>
          <w:i/>
        </w:rPr>
        <w:t>Iranica</w:t>
      </w:r>
      <w:proofErr w:type="spellEnd"/>
      <w:r>
        <w:rPr>
          <w:i/>
        </w:rPr>
        <w:t xml:space="preserve"> Antiqua. </w:t>
      </w:r>
      <w:r>
        <w:t>4. 217-232</w:t>
      </w:r>
      <w:r w:rsidR="00BD3381">
        <w:t>.</w:t>
      </w:r>
    </w:p>
    <w:p w:rsidR="0014479B" w:rsidRPr="0014479B" w:rsidRDefault="0014479B" w:rsidP="00C7053F">
      <w:pPr>
        <w:spacing w:line="480" w:lineRule="auto"/>
      </w:pPr>
      <w:r>
        <w:t xml:space="preserve">Matheson, S.A. 1979. </w:t>
      </w:r>
      <w:r>
        <w:rPr>
          <w:i/>
        </w:rPr>
        <w:t xml:space="preserve">Persia: An Archaeological Guide. </w:t>
      </w:r>
      <w:r>
        <w:t>London: Faber and Faber Ltd.</w:t>
      </w:r>
    </w:p>
    <w:p w:rsidR="00FA4FFE" w:rsidRPr="00FA4FFE" w:rsidRDefault="00FA4FFE" w:rsidP="00C7053F">
      <w:pPr>
        <w:spacing w:line="480" w:lineRule="auto"/>
      </w:pPr>
      <w:proofErr w:type="spellStart"/>
      <w:r>
        <w:t>Mekalanos</w:t>
      </w:r>
      <w:proofErr w:type="spellEnd"/>
      <w:r>
        <w:t xml:space="preserve">, J.J. and </w:t>
      </w:r>
      <w:proofErr w:type="spellStart"/>
      <w:r>
        <w:t>Sadoff</w:t>
      </w:r>
      <w:proofErr w:type="spellEnd"/>
      <w:r>
        <w:t xml:space="preserve">, J.C. 1994. ‘Cholera vaccines: fighting an ancient scourge’, </w:t>
      </w:r>
      <w:r>
        <w:rPr>
          <w:i/>
        </w:rPr>
        <w:t xml:space="preserve">American Association for the Advancement of Science. </w:t>
      </w:r>
      <w:r w:rsidR="00BD3381">
        <w:t>265. 1387-1390.</w:t>
      </w:r>
    </w:p>
    <w:p w:rsidR="00813436" w:rsidRDefault="00813436" w:rsidP="00C7053F">
      <w:pPr>
        <w:spacing w:line="480" w:lineRule="auto"/>
      </w:pPr>
      <w:r>
        <w:t xml:space="preserve">O’Neil, J.L. 2008. ‘A Re-Examination of the </w:t>
      </w:r>
      <w:proofErr w:type="spellStart"/>
      <w:r>
        <w:t>Chremonidean</w:t>
      </w:r>
      <w:proofErr w:type="spellEnd"/>
      <w:r>
        <w:t xml:space="preserve"> War’, in P. McKechnie and P. Guillaume (eds.), </w:t>
      </w:r>
      <w:r>
        <w:rPr>
          <w:i/>
        </w:rPr>
        <w:t xml:space="preserve">Ptolemy II </w:t>
      </w:r>
      <w:proofErr w:type="spellStart"/>
      <w:r>
        <w:rPr>
          <w:i/>
        </w:rPr>
        <w:t>Philadelphus</w:t>
      </w:r>
      <w:proofErr w:type="spellEnd"/>
      <w:r>
        <w:rPr>
          <w:i/>
        </w:rPr>
        <w:t xml:space="preserve"> and his World. </w:t>
      </w:r>
      <w:r>
        <w:t>Leiden: Brill. 65-90</w:t>
      </w:r>
      <w:r w:rsidR="00BD3381">
        <w:t>.</w:t>
      </w:r>
    </w:p>
    <w:p w:rsidR="00C51628" w:rsidRDefault="00C51628" w:rsidP="00C7053F">
      <w:pPr>
        <w:spacing w:line="480" w:lineRule="auto"/>
      </w:pPr>
      <w:r>
        <w:t xml:space="preserve">Ramsey, G. 2011. ‘Seleucid Administration- Effectiveness and Dysfunction </w:t>
      </w:r>
      <w:proofErr w:type="gramStart"/>
      <w:r>
        <w:t>Among</w:t>
      </w:r>
      <w:proofErr w:type="gramEnd"/>
      <w:r>
        <w:t xml:space="preserve"> Officials’, in K. Erickson and G. Ramsey (eds.), </w:t>
      </w:r>
      <w:r>
        <w:rPr>
          <w:i/>
        </w:rPr>
        <w:t xml:space="preserve">Seleucid Dissolution: The Sinking of the Anchor. </w:t>
      </w:r>
      <w:r>
        <w:t xml:space="preserve">Wiesbaden: </w:t>
      </w:r>
      <w:proofErr w:type="spellStart"/>
      <w:r>
        <w:t>Harrassowitz</w:t>
      </w:r>
      <w:proofErr w:type="spellEnd"/>
      <w:r>
        <w:t xml:space="preserve"> </w:t>
      </w:r>
      <w:proofErr w:type="spellStart"/>
      <w:r>
        <w:t>Verlag</w:t>
      </w:r>
      <w:proofErr w:type="spellEnd"/>
      <w:r>
        <w:t>. 37-50.</w:t>
      </w:r>
    </w:p>
    <w:p w:rsidR="00C51628" w:rsidRPr="00B96284" w:rsidRDefault="00C51628" w:rsidP="00C7053F">
      <w:pPr>
        <w:spacing w:line="480" w:lineRule="auto"/>
      </w:pPr>
      <w:r>
        <w:t xml:space="preserve">Ramsey, G. and Erickson, K. 2011. ‘Introduction: the Sinking of the Anchor’, in K. Erickson and G. Ramsey (eds.), </w:t>
      </w:r>
      <w:r>
        <w:rPr>
          <w:i/>
        </w:rPr>
        <w:t xml:space="preserve">Seleucid Dissolution: The Sinking of the Anchor. </w:t>
      </w:r>
      <w:r>
        <w:t xml:space="preserve">Wiesbaden: </w:t>
      </w:r>
      <w:proofErr w:type="spellStart"/>
      <w:r>
        <w:t>Harrassowitz</w:t>
      </w:r>
      <w:proofErr w:type="spellEnd"/>
      <w:r>
        <w:t xml:space="preserve"> </w:t>
      </w:r>
      <w:proofErr w:type="spellStart"/>
      <w:r>
        <w:t>Verlag</w:t>
      </w:r>
      <w:proofErr w:type="spellEnd"/>
      <w:r>
        <w:t>. 13-18.</w:t>
      </w:r>
    </w:p>
    <w:p w:rsidR="002539AD" w:rsidRDefault="002539AD" w:rsidP="00C7053F">
      <w:pPr>
        <w:spacing w:line="480" w:lineRule="auto"/>
      </w:pPr>
      <w:proofErr w:type="spellStart"/>
      <w:r>
        <w:t>Reger</w:t>
      </w:r>
      <w:proofErr w:type="spellEnd"/>
      <w:r>
        <w:t xml:space="preserve">, </w:t>
      </w:r>
      <w:proofErr w:type="gramStart"/>
      <w:r>
        <w:t>G..</w:t>
      </w:r>
      <w:proofErr w:type="gramEnd"/>
      <w:r>
        <w:t xml:space="preserve"> 2005. ‘The Economy’, in A. </w:t>
      </w:r>
      <w:proofErr w:type="spellStart"/>
      <w:r>
        <w:t>Erksine</w:t>
      </w:r>
      <w:proofErr w:type="spellEnd"/>
      <w:r>
        <w:t xml:space="preserve"> (ed.), </w:t>
      </w:r>
      <w:proofErr w:type="gramStart"/>
      <w:r>
        <w:rPr>
          <w:i/>
        </w:rPr>
        <w:t>A</w:t>
      </w:r>
      <w:proofErr w:type="gramEnd"/>
      <w:r>
        <w:rPr>
          <w:i/>
        </w:rPr>
        <w:t xml:space="preserve"> Companion to the Hellenistic World. </w:t>
      </w:r>
      <w:r>
        <w:t>Oxford: Blackwell Publishing Ltd. 331-353.</w:t>
      </w:r>
    </w:p>
    <w:p w:rsidR="00BB3B3B" w:rsidRPr="00BB3B3B" w:rsidRDefault="00BB3B3B" w:rsidP="00C7053F">
      <w:pPr>
        <w:spacing w:line="480" w:lineRule="auto"/>
      </w:pPr>
      <w:r>
        <w:t xml:space="preserve">Worthington, I. 2003. </w:t>
      </w:r>
      <w:r>
        <w:rPr>
          <w:i/>
        </w:rPr>
        <w:t xml:space="preserve">Alexander the Great. </w:t>
      </w:r>
      <w:r>
        <w:t>London: Routledge.</w:t>
      </w:r>
    </w:p>
    <w:p w:rsidR="00C51628" w:rsidRPr="00B96284" w:rsidRDefault="00C51628" w:rsidP="00C51628"/>
    <w:p w:rsidR="00720C75" w:rsidRPr="00813436" w:rsidRDefault="00720C75"/>
    <w:sectPr w:rsidR="00720C75" w:rsidRPr="008134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3A94" w:rsidRDefault="00233A94" w:rsidP="009A7D2D">
      <w:pPr>
        <w:spacing w:after="0" w:line="240" w:lineRule="auto"/>
      </w:pPr>
      <w:r>
        <w:separator/>
      </w:r>
    </w:p>
  </w:endnote>
  <w:endnote w:type="continuationSeparator" w:id="0">
    <w:p w:rsidR="00233A94" w:rsidRDefault="00233A94" w:rsidP="009A7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3A94" w:rsidRDefault="00233A94" w:rsidP="009A7D2D">
      <w:pPr>
        <w:spacing w:after="0" w:line="240" w:lineRule="auto"/>
      </w:pPr>
      <w:r>
        <w:separator/>
      </w:r>
    </w:p>
  </w:footnote>
  <w:footnote w:type="continuationSeparator" w:id="0">
    <w:p w:rsidR="00233A94" w:rsidRDefault="00233A94" w:rsidP="009A7D2D">
      <w:pPr>
        <w:spacing w:after="0" w:line="240" w:lineRule="auto"/>
      </w:pPr>
      <w:r>
        <w:continuationSeparator/>
      </w:r>
    </w:p>
  </w:footnote>
  <w:footnote w:id="1">
    <w:p w:rsidR="009A7D2D" w:rsidRDefault="009A7D2D">
      <w:pPr>
        <w:pStyle w:val="FootnoteText"/>
      </w:pPr>
      <w:r>
        <w:rPr>
          <w:rStyle w:val="FootnoteReference"/>
        </w:rPr>
        <w:footnoteRef/>
      </w:r>
      <w:r>
        <w:t xml:space="preserve"> </w:t>
      </w:r>
      <w:proofErr w:type="spellStart"/>
      <w:r>
        <w:t>Diod</w:t>
      </w:r>
      <w:proofErr w:type="spellEnd"/>
      <w:r w:rsidR="00AD79E8">
        <w:t>.</w:t>
      </w:r>
      <w:r>
        <w:t xml:space="preserve"> 17.108</w:t>
      </w:r>
      <w:r w:rsidR="00AD79E8">
        <w:t>.6-8</w:t>
      </w:r>
      <w:r w:rsidR="0001478D">
        <w:t>; Grainger 1990: 16</w:t>
      </w:r>
      <w:r w:rsidR="006761B6">
        <w:t>; Worthington 2003: 194</w:t>
      </w:r>
    </w:p>
  </w:footnote>
  <w:footnote w:id="2">
    <w:p w:rsidR="009A7D2D" w:rsidRDefault="009A7D2D">
      <w:pPr>
        <w:pStyle w:val="FootnoteText"/>
      </w:pPr>
      <w:r>
        <w:rPr>
          <w:rStyle w:val="FootnoteReference"/>
        </w:rPr>
        <w:footnoteRef/>
      </w:r>
      <w:r>
        <w:t xml:space="preserve"> </w:t>
      </w:r>
      <w:proofErr w:type="spellStart"/>
      <w:r w:rsidR="003C7A57">
        <w:t>Diod</w:t>
      </w:r>
      <w:proofErr w:type="spellEnd"/>
      <w:r w:rsidR="003C7A57">
        <w:t>. 15.13, 16.23</w:t>
      </w:r>
    </w:p>
  </w:footnote>
  <w:footnote w:id="3">
    <w:p w:rsidR="002103F6" w:rsidRDefault="002103F6">
      <w:pPr>
        <w:pStyle w:val="FootnoteText"/>
      </w:pPr>
      <w:r>
        <w:rPr>
          <w:rStyle w:val="FootnoteReference"/>
        </w:rPr>
        <w:footnoteRef/>
      </w:r>
      <w:r>
        <w:t xml:space="preserve"> </w:t>
      </w:r>
      <w:proofErr w:type="spellStart"/>
      <w:r>
        <w:t>Diod</w:t>
      </w:r>
      <w:proofErr w:type="spellEnd"/>
      <w:r>
        <w:t xml:space="preserve">. 15.13; </w:t>
      </w:r>
      <w:proofErr w:type="spellStart"/>
      <w:r>
        <w:t>Diod</w:t>
      </w:r>
      <w:proofErr w:type="spellEnd"/>
      <w:r>
        <w:t>. 16.24</w:t>
      </w:r>
      <w:r w:rsidR="00E213D2">
        <w:t>; Paus. 8.27.9</w:t>
      </w:r>
    </w:p>
  </w:footnote>
  <w:footnote w:id="4">
    <w:p w:rsidR="002103F6" w:rsidRDefault="002103F6">
      <w:pPr>
        <w:pStyle w:val="FootnoteText"/>
      </w:pPr>
      <w:r>
        <w:rPr>
          <w:rStyle w:val="FootnoteReference"/>
        </w:rPr>
        <w:footnoteRef/>
      </w:r>
      <w:r>
        <w:t xml:space="preserve"> </w:t>
      </w:r>
      <w:proofErr w:type="spellStart"/>
      <w:r>
        <w:t>Diod</w:t>
      </w:r>
      <w:proofErr w:type="spellEnd"/>
      <w:r>
        <w:t xml:space="preserve">. 15.13; </w:t>
      </w:r>
      <w:proofErr w:type="spellStart"/>
      <w:r>
        <w:t>Diod</w:t>
      </w:r>
      <w:proofErr w:type="spellEnd"/>
      <w:r>
        <w:t>. 16.24;</w:t>
      </w:r>
      <w:r w:rsidRPr="002103F6">
        <w:t xml:space="preserve"> </w:t>
      </w:r>
      <w:r>
        <w:t xml:space="preserve">Arr. </w:t>
      </w:r>
      <w:r w:rsidRPr="006E2918">
        <w:rPr>
          <w:i/>
        </w:rPr>
        <w:t>Anab</w:t>
      </w:r>
      <w:r>
        <w:t xml:space="preserve">. 3.6; </w:t>
      </w:r>
      <w:proofErr w:type="spellStart"/>
      <w:r>
        <w:t>Diod</w:t>
      </w:r>
      <w:proofErr w:type="spellEnd"/>
      <w:r>
        <w:t>. 17.108</w:t>
      </w:r>
    </w:p>
  </w:footnote>
  <w:footnote w:id="5">
    <w:p w:rsidR="00E213D2" w:rsidRDefault="00E213D2">
      <w:pPr>
        <w:pStyle w:val="FootnoteText"/>
      </w:pPr>
      <w:r>
        <w:rPr>
          <w:rStyle w:val="FootnoteReference"/>
        </w:rPr>
        <w:footnoteRef/>
      </w:r>
      <w:r>
        <w:t xml:space="preserve"> </w:t>
      </w:r>
      <w:proofErr w:type="spellStart"/>
      <w:r>
        <w:t>Diod</w:t>
      </w:r>
      <w:proofErr w:type="spellEnd"/>
      <w:r>
        <w:t>. 17.108</w:t>
      </w:r>
      <w:r w:rsidR="00DF52BC">
        <w:t xml:space="preserve">; </w:t>
      </w:r>
      <w:proofErr w:type="spellStart"/>
      <w:r w:rsidR="00DF52BC">
        <w:t>Diod</w:t>
      </w:r>
      <w:proofErr w:type="spellEnd"/>
      <w:r w:rsidR="00DF52BC">
        <w:t>. 17.77</w:t>
      </w:r>
    </w:p>
  </w:footnote>
  <w:footnote w:id="6">
    <w:p w:rsidR="00DF52BC" w:rsidRDefault="00DF52BC">
      <w:pPr>
        <w:pStyle w:val="FootnoteText"/>
      </w:pPr>
      <w:r>
        <w:rPr>
          <w:rStyle w:val="FootnoteReference"/>
        </w:rPr>
        <w:footnoteRef/>
      </w:r>
      <w:r>
        <w:t xml:space="preserve"> </w:t>
      </w:r>
      <w:proofErr w:type="spellStart"/>
      <w:r>
        <w:t>Diod</w:t>
      </w:r>
      <w:proofErr w:type="spellEnd"/>
      <w:r>
        <w:t xml:space="preserve">. 16.25; Diod. 17.70; </w:t>
      </w:r>
      <w:proofErr w:type="spellStart"/>
      <w:r>
        <w:t>Diod</w:t>
      </w:r>
      <w:proofErr w:type="spellEnd"/>
      <w:r>
        <w:t>. 17.77</w:t>
      </w:r>
    </w:p>
  </w:footnote>
  <w:footnote w:id="7">
    <w:p w:rsidR="00DF52BC" w:rsidRDefault="00DF52BC">
      <w:pPr>
        <w:pStyle w:val="FootnoteText"/>
      </w:pPr>
      <w:r>
        <w:rPr>
          <w:rStyle w:val="FootnoteReference"/>
        </w:rPr>
        <w:footnoteRef/>
      </w:r>
      <w:r>
        <w:t xml:space="preserve"> Arr. </w:t>
      </w:r>
      <w:r w:rsidRPr="006E2918">
        <w:rPr>
          <w:i/>
        </w:rPr>
        <w:t>Anab</w:t>
      </w:r>
      <w:r>
        <w:t xml:space="preserve">. 3.6; </w:t>
      </w:r>
      <w:proofErr w:type="spellStart"/>
      <w:r>
        <w:t>Diod</w:t>
      </w:r>
      <w:proofErr w:type="spellEnd"/>
      <w:r>
        <w:t>. 17.108</w:t>
      </w:r>
    </w:p>
  </w:footnote>
  <w:footnote w:id="8">
    <w:p w:rsidR="00AD79E8" w:rsidRDefault="00AD79E8">
      <w:pPr>
        <w:pStyle w:val="FootnoteText"/>
      </w:pPr>
      <w:r>
        <w:rPr>
          <w:rStyle w:val="FootnoteReference"/>
        </w:rPr>
        <w:footnoteRef/>
      </w:r>
      <w:r>
        <w:t xml:space="preserve"> </w:t>
      </w:r>
      <w:proofErr w:type="spellStart"/>
      <w:r>
        <w:t>Diod</w:t>
      </w:r>
      <w:proofErr w:type="spellEnd"/>
      <w:r>
        <w:t>. 17.108.6</w:t>
      </w:r>
    </w:p>
  </w:footnote>
  <w:footnote w:id="9">
    <w:p w:rsidR="00AD79E8" w:rsidRDefault="00AD79E8">
      <w:pPr>
        <w:pStyle w:val="FootnoteText"/>
      </w:pPr>
      <w:r>
        <w:rPr>
          <w:rStyle w:val="FootnoteReference"/>
        </w:rPr>
        <w:footnoteRef/>
      </w:r>
      <w:r>
        <w:t xml:space="preserve"> </w:t>
      </w:r>
      <w:proofErr w:type="spellStart"/>
      <w:r>
        <w:t>Diod</w:t>
      </w:r>
      <w:proofErr w:type="spellEnd"/>
      <w:r>
        <w:t xml:space="preserve">. </w:t>
      </w:r>
      <w:r w:rsidR="000E579E">
        <w:t xml:space="preserve">12.4, </w:t>
      </w:r>
      <w:r>
        <w:t xml:space="preserve">16.76, 16.84; </w:t>
      </w:r>
      <w:proofErr w:type="spellStart"/>
      <w:r>
        <w:t>Plut</w:t>
      </w:r>
      <w:proofErr w:type="spellEnd"/>
      <w:r>
        <w:t xml:space="preserve">. </w:t>
      </w:r>
      <w:proofErr w:type="spellStart"/>
      <w:r>
        <w:t>Phoc</w:t>
      </w:r>
      <w:proofErr w:type="spellEnd"/>
      <w:r>
        <w:t>. 14</w:t>
      </w:r>
      <w:r w:rsidR="00FF36BF">
        <w:t xml:space="preserve">; </w:t>
      </w:r>
      <w:proofErr w:type="spellStart"/>
      <w:r w:rsidR="00E434EA">
        <w:t>Xen</w:t>
      </w:r>
      <w:proofErr w:type="spellEnd"/>
      <w:r w:rsidR="00E434EA">
        <w:t xml:space="preserve">. </w:t>
      </w:r>
      <w:r w:rsidR="00E434EA">
        <w:rPr>
          <w:i/>
        </w:rPr>
        <w:t xml:space="preserve">Hell. </w:t>
      </w:r>
      <w:r w:rsidR="00E434EA">
        <w:t xml:space="preserve">4.8.27; </w:t>
      </w:r>
      <w:proofErr w:type="spellStart"/>
      <w:r w:rsidR="00FF36BF">
        <w:t>Reger</w:t>
      </w:r>
      <w:proofErr w:type="spellEnd"/>
      <w:r w:rsidR="00FF36BF">
        <w:t xml:space="preserve"> 2005: 338</w:t>
      </w:r>
      <w:r w:rsidR="002B57ED">
        <w:t xml:space="preserve">; </w:t>
      </w:r>
      <w:proofErr w:type="spellStart"/>
      <w:r w:rsidR="002B57ED">
        <w:t>Alc</w:t>
      </w:r>
      <w:r w:rsidR="000E579E">
        <w:t>ock</w:t>
      </w:r>
      <w:proofErr w:type="spellEnd"/>
      <w:r w:rsidR="000E579E">
        <w:t xml:space="preserve">, Gates, and </w:t>
      </w:r>
      <w:proofErr w:type="spellStart"/>
      <w:r w:rsidR="000E579E">
        <w:t>Rempel</w:t>
      </w:r>
      <w:proofErr w:type="spellEnd"/>
      <w:r w:rsidR="000E579E">
        <w:t xml:space="preserve"> 2005: 356</w:t>
      </w:r>
    </w:p>
  </w:footnote>
  <w:footnote w:id="10">
    <w:p w:rsidR="00CA2338" w:rsidRDefault="00CA2338">
      <w:pPr>
        <w:pStyle w:val="FootnoteText"/>
      </w:pPr>
      <w:r>
        <w:rPr>
          <w:rStyle w:val="FootnoteReference"/>
        </w:rPr>
        <w:footnoteRef/>
      </w:r>
      <w:r>
        <w:t xml:space="preserve"> </w:t>
      </w:r>
      <w:proofErr w:type="spellStart"/>
      <w:r>
        <w:t>Diod</w:t>
      </w:r>
      <w:proofErr w:type="spellEnd"/>
      <w:r>
        <w:t xml:space="preserve">. 12.4, 16.76, 16.84; </w:t>
      </w:r>
      <w:proofErr w:type="spellStart"/>
      <w:r>
        <w:t>Plut</w:t>
      </w:r>
      <w:proofErr w:type="spellEnd"/>
      <w:r>
        <w:t xml:space="preserve">. </w:t>
      </w:r>
      <w:proofErr w:type="spellStart"/>
      <w:r>
        <w:t>Phoc</w:t>
      </w:r>
      <w:proofErr w:type="spellEnd"/>
      <w:r>
        <w:t xml:space="preserve">. 14; </w:t>
      </w:r>
      <w:proofErr w:type="spellStart"/>
      <w:r>
        <w:t>Xen</w:t>
      </w:r>
      <w:proofErr w:type="spellEnd"/>
      <w:r>
        <w:t xml:space="preserve">. </w:t>
      </w:r>
      <w:r>
        <w:rPr>
          <w:i/>
        </w:rPr>
        <w:t xml:space="preserve">Hell. </w:t>
      </w:r>
      <w:r>
        <w:t xml:space="preserve">4.8.27; </w:t>
      </w:r>
      <w:proofErr w:type="spellStart"/>
      <w:r>
        <w:t>Reger</w:t>
      </w:r>
      <w:proofErr w:type="spellEnd"/>
      <w:r>
        <w:t xml:space="preserve"> 2005: 338; </w:t>
      </w:r>
      <w:proofErr w:type="spellStart"/>
      <w:r>
        <w:t>Alcock</w:t>
      </w:r>
      <w:proofErr w:type="spellEnd"/>
      <w:r>
        <w:t xml:space="preserve">, Gates, and </w:t>
      </w:r>
      <w:proofErr w:type="spellStart"/>
      <w:r>
        <w:t>Rempel</w:t>
      </w:r>
      <w:proofErr w:type="spellEnd"/>
      <w:r>
        <w:t xml:space="preserve"> 2005: 356</w:t>
      </w:r>
    </w:p>
  </w:footnote>
  <w:footnote w:id="11">
    <w:p w:rsidR="005E6830" w:rsidRDefault="005E6830">
      <w:pPr>
        <w:pStyle w:val="FootnoteText"/>
      </w:pPr>
      <w:r>
        <w:rPr>
          <w:rStyle w:val="FootnoteReference"/>
        </w:rPr>
        <w:footnoteRef/>
      </w:r>
      <w:r>
        <w:t xml:space="preserve"> Arr. Anab. 6.28</w:t>
      </w:r>
    </w:p>
  </w:footnote>
  <w:footnote w:id="12">
    <w:p w:rsidR="00C75841" w:rsidRDefault="00C75841">
      <w:pPr>
        <w:pStyle w:val="FootnoteText"/>
      </w:pPr>
      <w:r>
        <w:rPr>
          <w:rStyle w:val="FootnoteReference"/>
        </w:rPr>
        <w:footnoteRef/>
      </w:r>
      <w:r>
        <w:t xml:space="preserve"> </w:t>
      </w:r>
      <w:proofErr w:type="spellStart"/>
      <w:r>
        <w:t>Diod</w:t>
      </w:r>
      <w:proofErr w:type="spellEnd"/>
      <w:r>
        <w:t>. 17.108.6</w:t>
      </w:r>
      <w:r w:rsidR="0001478D">
        <w:t>; Grainger 1990: 16</w:t>
      </w:r>
    </w:p>
  </w:footnote>
  <w:footnote w:id="13">
    <w:p w:rsidR="00B96284" w:rsidRDefault="00B96284">
      <w:pPr>
        <w:pStyle w:val="FootnoteText"/>
      </w:pPr>
      <w:r>
        <w:rPr>
          <w:rStyle w:val="FootnoteReference"/>
        </w:rPr>
        <w:footnoteRef/>
      </w:r>
      <w:r>
        <w:t xml:space="preserve"> As my character</w:t>
      </w:r>
      <w:r w:rsidR="0059427B">
        <w:t xml:space="preserve"> Harpalos</w:t>
      </w:r>
      <w:r>
        <w:t xml:space="preserve"> was killed, I was resurrected as Leonnatus</w:t>
      </w:r>
      <w:r w:rsidR="00770304">
        <w:t>; Worthington 2003: 113</w:t>
      </w:r>
    </w:p>
  </w:footnote>
  <w:footnote w:id="14">
    <w:p w:rsidR="00B96284" w:rsidRDefault="00B96284">
      <w:pPr>
        <w:pStyle w:val="FootnoteText"/>
      </w:pPr>
      <w:r>
        <w:rPr>
          <w:rStyle w:val="FootnoteReference"/>
        </w:rPr>
        <w:footnoteRef/>
      </w:r>
      <w:r>
        <w:t xml:space="preserve"> Engels 2011; 23</w:t>
      </w:r>
      <w:r w:rsidR="006E705A">
        <w:t xml:space="preserve">; </w:t>
      </w:r>
      <w:proofErr w:type="spellStart"/>
      <w:r w:rsidR="006E705A">
        <w:t>Errington</w:t>
      </w:r>
      <w:proofErr w:type="spellEnd"/>
      <w:r w:rsidR="006E705A">
        <w:t xml:space="preserve"> 2008: 75</w:t>
      </w:r>
    </w:p>
  </w:footnote>
  <w:footnote w:id="15">
    <w:p w:rsidR="0001478D" w:rsidRDefault="007119DC">
      <w:pPr>
        <w:pStyle w:val="FootnoteText"/>
      </w:pPr>
      <w:r>
        <w:rPr>
          <w:rStyle w:val="FootnoteReference"/>
        </w:rPr>
        <w:footnoteRef/>
      </w:r>
      <w:r>
        <w:t xml:space="preserve"> </w:t>
      </w:r>
      <w:proofErr w:type="spellStart"/>
      <w:r w:rsidR="0012144B" w:rsidRPr="00E5510B">
        <w:t>Plut</w:t>
      </w:r>
      <w:proofErr w:type="spellEnd"/>
      <w:r w:rsidR="0012144B">
        <w:t>.</w:t>
      </w:r>
      <w:r w:rsidR="00813436" w:rsidRPr="00E5510B">
        <w:rPr>
          <w:i/>
        </w:rPr>
        <w:t xml:space="preserve"> Alex</w:t>
      </w:r>
      <w:r w:rsidR="00813436">
        <w:t xml:space="preserve">. </w:t>
      </w:r>
      <w:r w:rsidR="0012144B">
        <w:t xml:space="preserve">47, </w:t>
      </w:r>
      <w:r w:rsidR="00813436">
        <w:t>77</w:t>
      </w:r>
      <w:r w:rsidR="0001478D">
        <w:t xml:space="preserve">; </w:t>
      </w:r>
      <w:r w:rsidR="004E4D91">
        <w:t>O’Neil 2008: 68;</w:t>
      </w:r>
      <w:r w:rsidR="004E4D91" w:rsidRPr="00E5510B">
        <w:t xml:space="preserve"> </w:t>
      </w:r>
      <w:r w:rsidR="0001478D">
        <w:t>Grainger 1990: 16, 50</w:t>
      </w:r>
      <w:r w:rsidR="00FF36BF">
        <w:t xml:space="preserve">; </w:t>
      </w:r>
      <w:proofErr w:type="spellStart"/>
      <w:r w:rsidR="00FF36BF">
        <w:t>Braund</w:t>
      </w:r>
      <w:proofErr w:type="spellEnd"/>
      <w:r w:rsidR="00FF36BF">
        <w:t xml:space="preserve"> 2005: 22</w:t>
      </w:r>
      <w:r w:rsidR="00BB3B3B">
        <w:t>; Worthington 2003: 42</w:t>
      </w:r>
      <w:r w:rsidR="006761B6">
        <w:t>, 59-61</w:t>
      </w:r>
    </w:p>
  </w:footnote>
  <w:footnote w:id="16">
    <w:p w:rsidR="002A5495" w:rsidRDefault="002A5495">
      <w:pPr>
        <w:pStyle w:val="FootnoteText"/>
      </w:pPr>
      <w:r>
        <w:rPr>
          <w:rStyle w:val="FootnoteReference"/>
        </w:rPr>
        <w:footnoteRef/>
      </w:r>
      <w:r>
        <w:t xml:space="preserve"> Arr. </w:t>
      </w:r>
      <w:r w:rsidRPr="002A5495">
        <w:rPr>
          <w:i/>
        </w:rPr>
        <w:t>Anab</w:t>
      </w:r>
      <w:r>
        <w:t>. 7.19</w:t>
      </w:r>
      <w:r w:rsidR="004E6DAE">
        <w:t>; Grainger 1990: 46</w:t>
      </w:r>
      <w:r w:rsidR="00FF36BF">
        <w:t xml:space="preserve">; </w:t>
      </w:r>
      <w:proofErr w:type="spellStart"/>
      <w:r w:rsidR="00FF36BF">
        <w:t>Kosmin</w:t>
      </w:r>
      <w:proofErr w:type="spellEnd"/>
      <w:r w:rsidR="00FF36BF">
        <w:t xml:space="preserve"> 2014: 179</w:t>
      </w:r>
      <w:r w:rsidR="002B57ED">
        <w:t>; Billows 2005: 198</w:t>
      </w:r>
      <w:r w:rsidR="004A62BD">
        <w:t>; Baker 2005: 378</w:t>
      </w:r>
    </w:p>
  </w:footnote>
  <w:footnote w:id="17">
    <w:p w:rsidR="0012144B" w:rsidRDefault="0012144B">
      <w:pPr>
        <w:pStyle w:val="FootnoteText"/>
      </w:pPr>
      <w:r>
        <w:rPr>
          <w:rStyle w:val="FootnoteReference"/>
        </w:rPr>
        <w:footnoteRef/>
      </w:r>
      <w:r>
        <w:t xml:space="preserve"> Arr. </w:t>
      </w:r>
      <w:r w:rsidRPr="00E5510B">
        <w:rPr>
          <w:i/>
        </w:rPr>
        <w:t>Anab</w:t>
      </w:r>
      <w:r>
        <w:t xml:space="preserve">. </w:t>
      </w:r>
      <w:r w:rsidR="00E5510B">
        <w:t>3.</w:t>
      </w:r>
      <w:r>
        <w:t>18</w:t>
      </w:r>
      <w:r w:rsidR="00FF36BF">
        <w:t xml:space="preserve"> </w:t>
      </w:r>
    </w:p>
  </w:footnote>
  <w:footnote w:id="18">
    <w:p w:rsidR="00E5510B" w:rsidRDefault="00E5510B">
      <w:pPr>
        <w:pStyle w:val="FootnoteText"/>
      </w:pPr>
      <w:r>
        <w:rPr>
          <w:rStyle w:val="FootnoteReference"/>
        </w:rPr>
        <w:footnoteRef/>
      </w:r>
      <w:r>
        <w:t xml:space="preserve"> Arr. </w:t>
      </w:r>
      <w:r w:rsidRPr="00E5510B">
        <w:rPr>
          <w:i/>
        </w:rPr>
        <w:t>Anab</w:t>
      </w:r>
      <w:r>
        <w:t>. 7.29</w:t>
      </w:r>
      <w:r w:rsidR="00244B59">
        <w:t>; Worthington 2003: 107</w:t>
      </w:r>
    </w:p>
  </w:footnote>
  <w:footnote w:id="19">
    <w:p w:rsidR="00E5510B" w:rsidRDefault="00E5510B">
      <w:pPr>
        <w:pStyle w:val="FootnoteText"/>
      </w:pPr>
      <w:r>
        <w:rPr>
          <w:rStyle w:val="FootnoteReference"/>
        </w:rPr>
        <w:footnoteRef/>
      </w:r>
      <w:r>
        <w:t xml:space="preserve"> Arr. </w:t>
      </w:r>
      <w:r w:rsidRPr="00C9310E">
        <w:rPr>
          <w:i/>
        </w:rPr>
        <w:t>Anab</w:t>
      </w:r>
      <w:r>
        <w:t xml:space="preserve"> 3.18, 7.4, 7.11, 7.29; </w:t>
      </w:r>
      <w:proofErr w:type="spellStart"/>
      <w:r>
        <w:t>Diod</w:t>
      </w:r>
      <w:proofErr w:type="spellEnd"/>
      <w:r>
        <w:t xml:space="preserve">. 17.70; </w:t>
      </w:r>
      <w:proofErr w:type="spellStart"/>
      <w:r>
        <w:t>Plut</w:t>
      </w:r>
      <w:proofErr w:type="spellEnd"/>
      <w:r>
        <w:t xml:space="preserve">. </w:t>
      </w:r>
      <w:r w:rsidRPr="00E5510B">
        <w:rPr>
          <w:i/>
        </w:rPr>
        <w:t>Alex</w:t>
      </w:r>
      <w:r>
        <w:t>. 38</w:t>
      </w:r>
    </w:p>
  </w:footnote>
  <w:footnote w:id="20">
    <w:p w:rsidR="00C9310E" w:rsidRDefault="00C9310E">
      <w:pPr>
        <w:pStyle w:val="FootnoteText"/>
      </w:pPr>
      <w:r>
        <w:rPr>
          <w:rStyle w:val="FootnoteReference"/>
        </w:rPr>
        <w:footnoteRef/>
      </w:r>
      <w:r>
        <w:t xml:space="preserve"> Arr. </w:t>
      </w:r>
      <w:r w:rsidRPr="00C9310E">
        <w:rPr>
          <w:i/>
        </w:rPr>
        <w:t>Anab.</w:t>
      </w:r>
      <w:r>
        <w:t xml:space="preserve"> 3.18; </w:t>
      </w:r>
      <w:proofErr w:type="spellStart"/>
      <w:r>
        <w:t>Plut</w:t>
      </w:r>
      <w:proofErr w:type="spellEnd"/>
      <w:r>
        <w:t>.</w:t>
      </w:r>
      <w:r w:rsidRPr="00C9310E">
        <w:rPr>
          <w:i/>
        </w:rPr>
        <w:t xml:space="preserve"> Alex</w:t>
      </w:r>
      <w:r>
        <w:t>. 38</w:t>
      </w:r>
      <w:r w:rsidR="00D72F92">
        <w:t xml:space="preserve">; </w:t>
      </w:r>
      <w:r w:rsidR="00240E39">
        <w:t>BCHP 6</w:t>
      </w:r>
    </w:p>
  </w:footnote>
  <w:footnote w:id="21">
    <w:p w:rsidR="0007288F" w:rsidRDefault="0007288F">
      <w:pPr>
        <w:pStyle w:val="FootnoteText"/>
      </w:pPr>
      <w:r>
        <w:rPr>
          <w:rStyle w:val="FootnoteReference"/>
        </w:rPr>
        <w:footnoteRef/>
      </w:r>
      <w:r>
        <w:t xml:space="preserve"> </w:t>
      </w:r>
      <w:proofErr w:type="spellStart"/>
      <w:r>
        <w:t>Hdt</w:t>
      </w:r>
      <w:proofErr w:type="spellEnd"/>
      <w:r>
        <w:t>. 3.89</w:t>
      </w:r>
    </w:p>
  </w:footnote>
  <w:footnote w:id="22">
    <w:p w:rsidR="00C9310E" w:rsidRDefault="00C9310E">
      <w:pPr>
        <w:pStyle w:val="FootnoteText"/>
      </w:pPr>
      <w:r>
        <w:rPr>
          <w:rStyle w:val="FootnoteReference"/>
        </w:rPr>
        <w:footnoteRef/>
      </w:r>
      <w:r>
        <w:t xml:space="preserve"> </w:t>
      </w:r>
      <w:proofErr w:type="spellStart"/>
      <w:r>
        <w:t>Strab</w:t>
      </w:r>
      <w:proofErr w:type="spellEnd"/>
      <w:r>
        <w:t xml:space="preserve">. </w:t>
      </w:r>
      <w:r w:rsidRPr="00C9310E">
        <w:rPr>
          <w:i/>
        </w:rPr>
        <w:t>Geo</w:t>
      </w:r>
      <w:r>
        <w:t>. 15.3.18</w:t>
      </w:r>
      <w:r w:rsidR="0059427B">
        <w:t>; Georges 1994: 50</w:t>
      </w:r>
    </w:p>
  </w:footnote>
  <w:footnote w:id="23">
    <w:p w:rsidR="0007288F" w:rsidRDefault="0007288F">
      <w:pPr>
        <w:pStyle w:val="FootnoteText"/>
      </w:pPr>
      <w:r>
        <w:rPr>
          <w:rStyle w:val="FootnoteReference"/>
        </w:rPr>
        <w:footnoteRef/>
      </w:r>
      <w:r>
        <w:t xml:space="preserve"> </w:t>
      </w:r>
      <w:proofErr w:type="spellStart"/>
      <w:r>
        <w:t>Strab</w:t>
      </w:r>
      <w:proofErr w:type="spellEnd"/>
      <w:r>
        <w:t xml:space="preserve">. </w:t>
      </w:r>
      <w:r w:rsidRPr="0007288F">
        <w:rPr>
          <w:i/>
        </w:rPr>
        <w:t>Geo</w:t>
      </w:r>
      <w:r>
        <w:t>. 11.13.1</w:t>
      </w:r>
    </w:p>
  </w:footnote>
  <w:footnote w:id="24">
    <w:p w:rsidR="00720C75" w:rsidRDefault="00720C75">
      <w:pPr>
        <w:pStyle w:val="FootnoteText"/>
      </w:pPr>
      <w:r>
        <w:rPr>
          <w:rStyle w:val="FootnoteReference"/>
        </w:rPr>
        <w:footnoteRef/>
      </w:r>
      <w:r>
        <w:t xml:space="preserve"> </w:t>
      </w:r>
      <w:proofErr w:type="spellStart"/>
      <w:r>
        <w:t>Strab</w:t>
      </w:r>
      <w:proofErr w:type="spellEnd"/>
      <w:r>
        <w:t xml:space="preserve">. </w:t>
      </w:r>
      <w:r w:rsidRPr="00720C75">
        <w:rPr>
          <w:i/>
        </w:rPr>
        <w:t>Geo</w:t>
      </w:r>
      <w:r>
        <w:t>. 15.2.14</w:t>
      </w:r>
      <w:r w:rsidR="00D67F05">
        <w:t>; Healy 1978: 52, 66-67</w:t>
      </w:r>
    </w:p>
  </w:footnote>
  <w:footnote w:id="25">
    <w:p w:rsidR="00720C75" w:rsidRDefault="00720C75">
      <w:pPr>
        <w:pStyle w:val="FootnoteText"/>
      </w:pPr>
      <w:r>
        <w:rPr>
          <w:rStyle w:val="FootnoteReference"/>
        </w:rPr>
        <w:footnoteRef/>
      </w:r>
      <w:r>
        <w:t xml:space="preserve"> Magee 2005: 219, 222-224, 228</w:t>
      </w:r>
    </w:p>
  </w:footnote>
  <w:footnote w:id="26">
    <w:p w:rsidR="00E86539" w:rsidRDefault="00E86539">
      <w:pPr>
        <w:pStyle w:val="FootnoteText"/>
      </w:pPr>
      <w:r>
        <w:rPr>
          <w:rStyle w:val="FootnoteReference"/>
        </w:rPr>
        <w:footnoteRef/>
      </w:r>
      <w:r>
        <w:t xml:space="preserve"> </w:t>
      </w:r>
      <w:proofErr w:type="spellStart"/>
      <w:r>
        <w:t>Strab</w:t>
      </w:r>
      <w:proofErr w:type="spellEnd"/>
      <w:r>
        <w:t xml:space="preserve">. </w:t>
      </w:r>
      <w:r w:rsidRPr="00C9310E">
        <w:rPr>
          <w:i/>
        </w:rPr>
        <w:t>Geo</w:t>
      </w:r>
      <w:r>
        <w:t>. 15.3.18</w:t>
      </w:r>
    </w:p>
  </w:footnote>
  <w:footnote w:id="27">
    <w:p w:rsidR="00531BB3" w:rsidRDefault="00531BB3">
      <w:pPr>
        <w:pStyle w:val="FootnoteText"/>
      </w:pPr>
      <w:r>
        <w:rPr>
          <w:rStyle w:val="FootnoteReference"/>
        </w:rPr>
        <w:footnoteRef/>
      </w:r>
      <w:r>
        <w:t xml:space="preserve"> </w:t>
      </w:r>
      <w:proofErr w:type="spellStart"/>
      <w:r>
        <w:t>Strab</w:t>
      </w:r>
      <w:proofErr w:type="spellEnd"/>
      <w:r>
        <w:t xml:space="preserve">. </w:t>
      </w:r>
      <w:r w:rsidRPr="00C9310E">
        <w:rPr>
          <w:i/>
        </w:rPr>
        <w:t>Geo</w:t>
      </w:r>
      <w:r>
        <w:t>. 15.3.18</w:t>
      </w:r>
      <w:r w:rsidR="0059427B">
        <w:t>; Georges 1994: 51</w:t>
      </w:r>
    </w:p>
  </w:footnote>
  <w:footnote w:id="28">
    <w:p w:rsidR="00531BB3" w:rsidRDefault="00531BB3">
      <w:pPr>
        <w:pStyle w:val="FootnoteText"/>
      </w:pPr>
      <w:r>
        <w:rPr>
          <w:rStyle w:val="FootnoteReference"/>
        </w:rPr>
        <w:footnoteRef/>
      </w:r>
      <w:r>
        <w:t xml:space="preserve"> Arr. </w:t>
      </w:r>
      <w:r w:rsidRPr="00531BB3">
        <w:rPr>
          <w:i/>
        </w:rPr>
        <w:t>Anab</w:t>
      </w:r>
      <w:r>
        <w:t>. 7.14</w:t>
      </w:r>
    </w:p>
  </w:footnote>
  <w:footnote w:id="29">
    <w:p w:rsidR="00656372" w:rsidRDefault="00656372">
      <w:pPr>
        <w:pStyle w:val="FootnoteText"/>
      </w:pPr>
      <w:r>
        <w:rPr>
          <w:rStyle w:val="FootnoteReference"/>
        </w:rPr>
        <w:footnoteRef/>
      </w:r>
      <w:r>
        <w:t xml:space="preserve"> </w:t>
      </w:r>
      <w:proofErr w:type="spellStart"/>
      <w:r>
        <w:t>Strab</w:t>
      </w:r>
      <w:proofErr w:type="spellEnd"/>
      <w:r>
        <w:t xml:space="preserve">. </w:t>
      </w:r>
      <w:r w:rsidRPr="00656372">
        <w:rPr>
          <w:i/>
        </w:rPr>
        <w:t>Geo</w:t>
      </w:r>
      <w:r>
        <w:t>. 11.3.6</w:t>
      </w:r>
      <w:r w:rsidR="00C17A6C">
        <w:t>, 11.12</w:t>
      </w:r>
    </w:p>
  </w:footnote>
  <w:footnote w:id="30">
    <w:p w:rsidR="00B96284" w:rsidRDefault="00B96284">
      <w:pPr>
        <w:pStyle w:val="FootnoteText"/>
      </w:pPr>
      <w:r>
        <w:rPr>
          <w:rStyle w:val="FootnoteReference"/>
        </w:rPr>
        <w:footnoteRef/>
      </w:r>
      <w:r>
        <w:t xml:space="preserve"> Ramsey 2011: 38-43</w:t>
      </w:r>
    </w:p>
  </w:footnote>
  <w:footnote w:id="31">
    <w:p w:rsidR="00C17A6C" w:rsidRDefault="00C17A6C">
      <w:pPr>
        <w:pStyle w:val="FootnoteText"/>
      </w:pPr>
      <w:r>
        <w:rPr>
          <w:rStyle w:val="FootnoteReference"/>
        </w:rPr>
        <w:footnoteRef/>
      </w:r>
      <w:r>
        <w:t xml:space="preserve"> </w:t>
      </w:r>
      <w:proofErr w:type="spellStart"/>
      <w:r>
        <w:t>Diod</w:t>
      </w:r>
      <w:proofErr w:type="spellEnd"/>
      <w:r>
        <w:t xml:space="preserve">. 17.39 </w:t>
      </w:r>
    </w:p>
  </w:footnote>
  <w:footnote w:id="32">
    <w:p w:rsidR="00B96284" w:rsidRDefault="00B96284">
      <w:pPr>
        <w:pStyle w:val="FootnoteText"/>
      </w:pPr>
      <w:r>
        <w:rPr>
          <w:rStyle w:val="FootnoteReference"/>
        </w:rPr>
        <w:footnoteRef/>
      </w:r>
      <w:r>
        <w:t xml:space="preserve"> Ramsey and Erickson 2011: 14-15</w:t>
      </w:r>
    </w:p>
  </w:footnote>
  <w:footnote w:id="33">
    <w:p w:rsidR="00197F9F" w:rsidRDefault="00197F9F">
      <w:pPr>
        <w:pStyle w:val="FootnoteText"/>
      </w:pPr>
      <w:r>
        <w:rPr>
          <w:rStyle w:val="FootnoteReference"/>
        </w:rPr>
        <w:footnoteRef/>
      </w:r>
      <w:r>
        <w:t xml:space="preserve"> </w:t>
      </w:r>
      <w:proofErr w:type="spellStart"/>
      <w:r>
        <w:t>Plut</w:t>
      </w:r>
      <w:proofErr w:type="spellEnd"/>
      <w:r>
        <w:t xml:space="preserve">. </w:t>
      </w:r>
      <w:r w:rsidRPr="00197F9F">
        <w:rPr>
          <w:i/>
        </w:rPr>
        <w:t>Alex</w:t>
      </w:r>
      <w:r>
        <w:t>. 70</w:t>
      </w:r>
      <w:r w:rsidR="00E6393C">
        <w:t>; Grainger 1990: 152</w:t>
      </w:r>
      <w:r w:rsidR="00F47703">
        <w:t xml:space="preserve">; </w:t>
      </w:r>
      <w:proofErr w:type="spellStart"/>
      <w:r w:rsidR="00F47703">
        <w:t>Diod</w:t>
      </w:r>
      <w:proofErr w:type="spellEnd"/>
      <w:r w:rsidR="00F47703">
        <w:t>. 11.57; Cook 1983: 147</w:t>
      </w:r>
    </w:p>
  </w:footnote>
  <w:footnote w:id="34">
    <w:p w:rsidR="00C17A6C" w:rsidRDefault="00C17A6C">
      <w:pPr>
        <w:pStyle w:val="FootnoteText"/>
      </w:pPr>
      <w:r>
        <w:rPr>
          <w:rStyle w:val="FootnoteReference"/>
        </w:rPr>
        <w:footnoteRef/>
      </w:r>
      <w:r>
        <w:t xml:space="preserve"> </w:t>
      </w:r>
      <w:proofErr w:type="spellStart"/>
      <w:r>
        <w:t>Diod</w:t>
      </w:r>
      <w:proofErr w:type="spellEnd"/>
      <w:r>
        <w:t xml:space="preserve">. 16.3.1-2, </w:t>
      </w:r>
      <w:r w:rsidR="00DD7351">
        <w:t>16.</w:t>
      </w:r>
      <w:r w:rsidR="004E4D91">
        <w:t>8, 16.76</w:t>
      </w:r>
    </w:p>
  </w:footnote>
  <w:footnote w:id="35">
    <w:p w:rsidR="00393086" w:rsidRDefault="00393086">
      <w:pPr>
        <w:pStyle w:val="FootnoteText"/>
      </w:pPr>
      <w:r>
        <w:rPr>
          <w:rStyle w:val="FootnoteReference"/>
        </w:rPr>
        <w:footnoteRef/>
      </w:r>
      <w:r>
        <w:t xml:space="preserve"> </w:t>
      </w:r>
      <w:proofErr w:type="spellStart"/>
      <w:r>
        <w:t>Strab</w:t>
      </w:r>
      <w:proofErr w:type="spellEnd"/>
      <w:r>
        <w:t xml:space="preserve">. </w:t>
      </w:r>
      <w:r w:rsidRPr="00393086">
        <w:rPr>
          <w:i/>
        </w:rPr>
        <w:t>Geo</w:t>
      </w:r>
      <w:r>
        <w:t>. 15.3.21</w:t>
      </w:r>
      <w:r w:rsidR="00B96284">
        <w:t>; Erickson 2011: 51-52</w:t>
      </w:r>
      <w:r w:rsidR="00C51628">
        <w:t xml:space="preserve">; </w:t>
      </w:r>
      <w:r w:rsidR="0014479B">
        <w:t>Grainger 1990:</w:t>
      </w:r>
      <w:r w:rsidR="00E6393C">
        <w:t xml:space="preserve"> 150</w:t>
      </w:r>
    </w:p>
  </w:footnote>
  <w:footnote w:id="36">
    <w:p w:rsidR="0014479B" w:rsidRDefault="0014479B">
      <w:pPr>
        <w:pStyle w:val="FootnoteText"/>
      </w:pPr>
      <w:r>
        <w:rPr>
          <w:rStyle w:val="FootnoteReference"/>
        </w:rPr>
        <w:footnoteRef/>
      </w:r>
      <w:r>
        <w:t xml:space="preserve"> Grainger 1990: 148; Matheson 1979: 148</w:t>
      </w:r>
    </w:p>
  </w:footnote>
  <w:footnote w:id="37">
    <w:p w:rsidR="00DD7351" w:rsidRDefault="00DD7351">
      <w:pPr>
        <w:pStyle w:val="FootnoteText"/>
      </w:pPr>
      <w:r>
        <w:rPr>
          <w:rStyle w:val="FootnoteReference"/>
        </w:rPr>
        <w:footnoteRef/>
      </w:r>
      <w:r>
        <w:t xml:space="preserve"> </w:t>
      </w:r>
      <w:proofErr w:type="spellStart"/>
      <w:r>
        <w:t>Diod</w:t>
      </w:r>
      <w:proofErr w:type="spellEnd"/>
      <w:r>
        <w:t>. 14.20.1-2</w:t>
      </w:r>
      <w:r w:rsidR="00E434EA">
        <w:t xml:space="preserve">; </w:t>
      </w:r>
      <w:proofErr w:type="spellStart"/>
      <w:r w:rsidR="00E434EA">
        <w:t>Xen</w:t>
      </w:r>
      <w:proofErr w:type="spellEnd"/>
      <w:r w:rsidR="00E434EA">
        <w:t xml:space="preserve">. </w:t>
      </w:r>
      <w:proofErr w:type="spellStart"/>
      <w:r w:rsidR="00E434EA" w:rsidRPr="00E434EA">
        <w:rPr>
          <w:i/>
        </w:rPr>
        <w:t>Anab</w:t>
      </w:r>
      <w:proofErr w:type="spellEnd"/>
      <w:r w:rsidR="00E434EA">
        <w:t>. 1.2.21-27</w:t>
      </w:r>
    </w:p>
  </w:footnote>
  <w:footnote w:id="38">
    <w:p w:rsidR="00DD7351" w:rsidRDefault="00DD7351">
      <w:pPr>
        <w:pStyle w:val="FootnoteText"/>
      </w:pPr>
      <w:r>
        <w:rPr>
          <w:rStyle w:val="FootnoteReference"/>
        </w:rPr>
        <w:footnoteRef/>
      </w:r>
      <w:r>
        <w:t xml:space="preserve"> </w:t>
      </w:r>
      <w:proofErr w:type="spellStart"/>
      <w:r>
        <w:t>Strab</w:t>
      </w:r>
      <w:proofErr w:type="spellEnd"/>
      <w:r>
        <w:t xml:space="preserve">. </w:t>
      </w:r>
      <w:r w:rsidRPr="00DD7351">
        <w:rPr>
          <w:i/>
        </w:rPr>
        <w:t>Geo</w:t>
      </w:r>
      <w:r>
        <w:t>. 14.5.19</w:t>
      </w:r>
    </w:p>
  </w:footnote>
  <w:footnote w:id="39">
    <w:p w:rsidR="008519D0" w:rsidRDefault="008519D0">
      <w:pPr>
        <w:pStyle w:val="FootnoteText"/>
      </w:pPr>
      <w:r>
        <w:rPr>
          <w:rStyle w:val="FootnoteReference"/>
        </w:rPr>
        <w:footnoteRef/>
      </w:r>
      <w:r>
        <w:t xml:space="preserve"> </w:t>
      </w:r>
      <w:proofErr w:type="spellStart"/>
      <w:r>
        <w:t>Strab</w:t>
      </w:r>
      <w:proofErr w:type="spellEnd"/>
      <w:r>
        <w:t xml:space="preserve">. </w:t>
      </w:r>
      <w:r w:rsidRPr="00DD7351">
        <w:rPr>
          <w:i/>
        </w:rPr>
        <w:t>Geo</w:t>
      </w:r>
      <w:r>
        <w:t>. 14.5.19</w:t>
      </w:r>
    </w:p>
  </w:footnote>
  <w:footnote w:id="40">
    <w:p w:rsidR="008519D0" w:rsidRDefault="008519D0">
      <w:pPr>
        <w:pStyle w:val="FootnoteText"/>
      </w:pPr>
      <w:r>
        <w:rPr>
          <w:rStyle w:val="FootnoteReference"/>
        </w:rPr>
        <w:footnoteRef/>
      </w:r>
      <w:r>
        <w:t xml:space="preserve"> </w:t>
      </w:r>
      <w:proofErr w:type="spellStart"/>
      <w:r>
        <w:t>Strab</w:t>
      </w:r>
      <w:proofErr w:type="spellEnd"/>
      <w:r>
        <w:t xml:space="preserve">. </w:t>
      </w:r>
      <w:r w:rsidRPr="00DD7351">
        <w:rPr>
          <w:i/>
        </w:rPr>
        <w:t>Geo</w:t>
      </w:r>
      <w:r>
        <w:t>. 14.4-5</w:t>
      </w:r>
    </w:p>
  </w:footnote>
  <w:footnote w:id="41">
    <w:p w:rsidR="00453179" w:rsidRDefault="00453179">
      <w:pPr>
        <w:pStyle w:val="FootnoteText"/>
      </w:pPr>
      <w:r>
        <w:rPr>
          <w:rStyle w:val="FootnoteReference"/>
        </w:rPr>
        <w:footnoteRef/>
      </w:r>
      <w:r>
        <w:t xml:space="preserve"> Arr. </w:t>
      </w:r>
      <w:r w:rsidRPr="00453179">
        <w:rPr>
          <w:i/>
        </w:rPr>
        <w:t>Anab</w:t>
      </w:r>
      <w:r>
        <w:t>. 3.8</w:t>
      </w:r>
    </w:p>
  </w:footnote>
  <w:footnote w:id="42">
    <w:p w:rsidR="004A62BD" w:rsidRDefault="004A62BD">
      <w:pPr>
        <w:pStyle w:val="FootnoteText"/>
      </w:pPr>
      <w:r>
        <w:rPr>
          <w:rStyle w:val="FootnoteReference"/>
        </w:rPr>
        <w:footnoteRef/>
      </w:r>
      <w:r>
        <w:t xml:space="preserve"> Baker 2005: 378</w:t>
      </w:r>
      <w:r w:rsidR="00BF1326">
        <w:t>; Collins 1974: 161</w:t>
      </w:r>
    </w:p>
  </w:footnote>
  <w:footnote w:id="43">
    <w:p w:rsidR="00E75F3B" w:rsidRDefault="00E75F3B">
      <w:pPr>
        <w:pStyle w:val="FootnoteText"/>
      </w:pPr>
      <w:r>
        <w:rPr>
          <w:rStyle w:val="FootnoteReference"/>
        </w:rPr>
        <w:footnoteRef/>
      </w:r>
      <w:r>
        <w:t xml:space="preserve"> Arr. </w:t>
      </w:r>
      <w:r w:rsidRPr="00E75F3B">
        <w:rPr>
          <w:i/>
        </w:rPr>
        <w:t>Anab</w:t>
      </w:r>
      <w:r>
        <w:t>. 3.14</w:t>
      </w:r>
      <w:r w:rsidR="00BF1326">
        <w:t>;</w:t>
      </w:r>
      <w:r w:rsidR="00BF1326" w:rsidRPr="00BF1326">
        <w:t xml:space="preserve"> </w:t>
      </w:r>
      <w:r w:rsidR="00BF1326">
        <w:t>Collins 1974: 161</w:t>
      </w:r>
    </w:p>
  </w:footnote>
  <w:footnote w:id="44">
    <w:p w:rsidR="00E75F3B" w:rsidRDefault="00E75F3B">
      <w:pPr>
        <w:pStyle w:val="FootnoteText"/>
      </w:pPr>
      <w:r>
        <w:rPr>
          <w:rStyle w:val="FootnoteReference"/>
        </w:rPr>
        <w:footnoteRef/>
      </w:r>
      <w:r>
        <w:t xml:space="preserve"> </w:t>
      </w:r>
      <w:proofErr w:type="spellStart"/>
      <w:r>
        <w:t>Diod</w:t>
      </w:r>
      <w:proofErr w:type="spellEnd"/>
      <w:r>
        <w:t>. 17.57; Justin</w:t>
      </w:r>
      <w:r w:rsidR="00D24641">
        <w:t>.</w:t>
      </w:r>
      <w:r w:rsidR="004E4D91">
        <w:t xml:space="preserve"> </w:t>
      </w:r>
      <w:proofErr w:type="spellStart"/>
      <w:r w:rsidR="004E4D91">
        <w:rPr>
          <w:i/>
        </w:rPr>
        <w:t>Epit</w:t>
      </w:r>
      <w:proofErr w:type="spellEnd"/>
      <w:r w:rsidR="004E4D91">
        <w:rPr>
          <w:i/>
        </w:rPr>
        <w:t>.</w:t>
      </w:r>
      <w:r>
        <w:t xml:space="preserve"> 14.2</w:t>
      </w:r>
    </w:p>
  </w:footnote>
  <w:footnote w:id="45">
    <w:p w:rsidR="004A62BD" w:rsidRDefault="004A62BD">
      <w:pPr>
        <w:pStyle w:val="FootnoteText"/>
      </w:pPr>
      <w:r>
        <w:rPr>
          <w:rStyle w:val="FootnoteReference"/>
        </w:rPr>
        <w:footnoteRef/>
      </w:r>
      <w:r>
        <w:t xml:space="preserve"> Baker 2005: 378</w:t>
      </w:r>
    </w:p>
  </w:footnote>
  <w:footnote w:id="46">
    <w:p w:rsidR="00C1775C" w:rsidRDefault="00C1775C">
      <w:pPr>
        <w:pStyle w:val="FootnoteText"/>
      </w:pPr>
      <w:r>
        <w:rPr>
          <w:rStyle w:val="FootnoteReference"/>
        </w:rPr>
        <w:footnoteRef/>
      </w:r>
      <w:r>
        <w:t xml:space="preserve"> Arr. </w:t>
      </w:r>
      <w:r w:rsidRPr="00C1775C">
        <w:rPr>
          <w:i/>
        </w:rPr>
        <w:t>Anab.</w:t>
      </w:r>
      <w:r>
        <w:t xml:space="preserve"> 7.14</w:t>
      </w:r>
    </w:p>
  </w:footnote>
  <w:footnote w:id="47">
    <w:p w:rsidR="00706A10" w:rsidRDefault="00706A10">
      <w:pPr>
        <w:pStyle w:val="FootnoteText"/>
      </w:pPr>
      <w:r>
        <w:rPr>
          <w:rStyle w:val="FootnoteReference"/>
        </w:rPr>
        <w:footnoteRef/>
      </w:r>
      <w:r>
        <w:t xml:space="preserve"> </w:t>
      </w:r>
      <w:proofErr w:type="spellStart"/>
      <w:r w:rsidR="00FA4FFE">
        <w:t>Plin</w:t>
      </w:r>
      <w:proofErr w:type="spellEnd"/>
      <w:r w:rsidR="00FA4FFE">
        <w:t xml:space="preserve">. </w:t>
      </w:r>
      <w:r w:rsidR="000E579E">
        <w:rPr>
          <w:i/>
        </w:rPr>
        <w:t>HN</w:t>
      </w:r>
      <w:r w:rsidR="00FA4FFE">
        <w:t>. 25.3</w:t>
      </w:r>
      <w:r w:rsidR="002B57ED">
        <w:t xml:space="preserve">; </w:t>
      </w:r>
      <w:proofErr w:type="spellStart"/>
      <w:r w:rsidR="002B57ED">
        <w:t>Flemming</w:t>
      </w:r>
      <w:proofErr w:type="spellEnd"/>
      <w:r w:rsidR="002B57ED">
        <w:t xml:space="preserve"> 2005: 458</w:t>
      </w:r>
    </w:p>
  </w:footnote>
  <w:footnote w:id="48">
    <w:p w:rsidR="00A968D1" w:rsidRDefault="00A968D1">
      <w:pPr>
        <w:pStyle w:val="FootnoteText"/>
      </w:pPr>
      <w:r>
        <w:rPr>
          <w:rStyle w:val="FootnoteReference"/>
        </w:rPr>
        <w:footnoteRef/>
      </w:r>
      <w:r>
        <w:t xml:space="preserve"> </w:t>
      </w:r>
      <w:proofErr w:type="spellStart"/>
      <w:r>
        <w:t>Strab</w:t>
      </w:r>
      <w:proofErr w:type="spellEnd"/>
      <w:r>
        <w:t xml:space="preserve">. </w:t>
      </w:r>
      <w:r w:rsidR="004E4D91" w:rsidRPr="004E4D91">
        <w:rPr>
          <w:i/>
        </w:rPr>
        <w:t>Geo</w:t>
      </w:r>
      <w:r w:rsidR="004E4D91">
        <w:t xml:space="preserve">. </w:t>
      </w:r>
      <w:r>
        <w:t>15.3.3</w:t>
      </w:r>
      <w:r w:rsidR="00D24641">
        <w:t>;</w:t>
      </w:r>
      <w:r w:rsidR="0059427B">
        <w:t xml:space="preserve"> Georges 1994: 50</w:t>
      </w:r>
    </w:p>
  </w:footnote>
  <w:footnote w:id="49">
    <w:p w:rsidR="0059427B" w:rsidRDefault="0059427B">
      <w:pPr>
        <w:pStyle w:val="FootnoteText"/>
      </w:pPr>
      <w:r>
        <w:rPr>
          <w:rStyle w:val="FootnoteReference"/>
        </w:rPr>
        <w:footnoteRef/>
      </w:r>
      <w:r>
        <w:t xml:space="preserve"> Georges 1994: 51</w:t>
      </w:r>
    </w:p>
  </w:footnote>
  <w:footnote w:id="50">
    <w:p w:rsidR="00D24641" w:rsidRDefault="00D24641">
      <w:pPr>
        <w:pStyle w:val="FootnoteText"/>
      </w:pPr>
      <w:r>
        <w:rPr>
          <w:rStyle w:val="FootnoteReference"/>
        </w:rPr>
        <w:footnoteRef/>
      </w:r>
      <w:r>
        <w:t xml:space="preserve"> </w:t>
      </w:r>
      <w:proofErr w:type="spellStart"/>
      <w:r>
        <w:t>Plut</w:t>
      </w:r>
      <w:proofErr w:type="spellEnd"/>
      <w:r>
        <w:t xml:space="preserve">. </w:t>
      </w:r>
      <w:r w:rsidRPr="00D24641">
        <w:rPr>
          <w:i/>
        </w:rPr>
        <w:t>Alex.</w:t>
      </w:r>
      <w:r>
        <w:t xml:space="preserve"> 67; Arr. </w:t>
      </w:r>
      <w:r w:rsidRPr="00D24641">
        <w:rPr>
          <w:i/>
        </w:rPr>
        <w:t>Anab</w:t>
      </w:r>
      <w:r>
        <w:t>. 7.8</w:t>
      </w:r>
    </w:p>
  </w:footnote>
  <w:footnote w:id="51">
    <w:p w:rsidR="00D24641" w:rsidRDefault="00D24641">
      <w:pPr>
        <w:pStyle w:val="FootnoteText"/>
      </w:pPr>
      <w:r>
        <w:rPr>
          <w:rStyle w:val="FootnoteReference"/>
        </w:rPr>
        <w:footnoteRef/>
      </w:r>
      <w:r>
        <w:t xml:space="preserve"> Arr. </w:t>
      </w:r>
      <w:r w:rsidRPr="00D24641">
        <w:rPr>
          <w:i/>
        </w:rPr>
        <w:t>Anab</w:t>
      </w:r>
      <w:r>
        <w:t>. 4.1, 5.20;</w:t>
      </w:r>
      <w:r w:rsidRPr="00D24641">
        <w:t xml:space="preserve"> </w:t>
      </w:r>
      <w:proofErr w:type="spellStart"/>
      <w:r>
        <w:t>Strab</w:t>
      </w:r>
      <w:proofErr w:type="spellEnd"/>
      <w:r>
        <w:t xml:space="preserve">. </w:t>
      </w:r>
      <w:r w:rsidRPr="00720C75">
        <w:rPr>
          <w:i/>
        </w:rPr>
        <w:t>Geo</w:t>
      </w:r>
      <w:r>
        <w:t>. 15.2.14</w:t>
      </w:r>
    </w:p>
  </w:footnote>
  <w:footnote w:id="52">
    <w:p w:rsidR="00197F9F" w:rsidRDefault="00197F9F">
      <w:pPr>
        <w:pStyle w:val="FootnoteText"/>
      </w:pPr>
      <w:r>
        <w:rPr>
          <w:rStyle w:val="FootnoteReference"/>
        </w:rPr>
        <w:footnoteRef/>
      </w:r>
      <w:r>
        <w:t xml:space="preserve"> </w:t>
      </w:r>
      <w:proofErr w:type="spellStart"/>
      <w:r>
        <w:t>Plin</w:t>
      </w:r>
      <w:proofErr w:type="spellEnd"/>
      <w:r>
        <w:t xml:space="preserve">. </w:t>
      </w:r>
      <w:r w:rsidR="000E579E">
        <w:rPr>
          <w:i/>
        </w:rPr>
        <w:t>HN</w:t>
      </w:r>
      <w:r>
        <w:t>. 11.35</w:t>
      </w:r>
    </w:p>
  </w:footnote>
  <w:footnote w:id="53">
    <w:p w:rsidR="00197F9F" w:rsidRDefault="00197F9F" w:rsidP="00197F9F">
      <w:pPr>
        <w:pStyle w:val="FootnoteText"/>
      </w:pPr>
      <w:r>
        <w:rPr>
          <w:rStyle w:val="FootnoteReference"/>
        </w:rPr>
        <w:footnoteRef/>
      </w:r>
      <w:r>
        <w:t xml:space="preserve"> </w:t>
      </w:r>
      <w:proofErr w:type="spellStart"/>
      <w:r>
        <w:t>Diod</w:t>
      </w:r>
      <w:proofErr w:type="spellEnd"/>
      <w:r>
        <w:t>. 17.71</w:t>
      </w:r>
    </w:p>
  </w:footnote>
  <w:footnote w:id="54">
    <w:p w:rsidR="00197F9F" w:rsidRDefault="00197F9F">
      <w:pPr>
        <w:pStyle w:val="FootnoteText"/>
      </w:pPr>
      <w:r>
        <w:rPr>
          <w:rStyle w:val="FootnoteReference"/>
        </w:rPr>
        <w:footnoteRef/>
      </w:r>
      <w:r>
        <w:t xml:space="preserve"> </w:t>
      </w:r>
      <w:proofErr w:type="spellStart"/>
      <w:r>
        <w:t>Plut</w:t>
      </w:r>
      <w:proofErr w:type="spellEnd"/>
      <w:r>
        <w:t xml:space="preserve">. </w:t>
      </w:r>
      <w:r w:rsidRPr="00197F9F">
        <w:rPr>
          <w:i/>
        </w:rPr>
        <w:t>Alex</w:t>
      </w:r>
      <w:r>
        <w:t>. 62</w:t>
      </w:r>
      <w:r w:rsidR="006B7D96">
        <w:t xml:space="preserve">; </w:t>
      </w:r>
      <w:proofErr w:type="spellStart"/>
      <w:r w:rsidR="006B7D96">
        <w:t>Diod</w:t>
      </w:r>
      <w:proofErr w:type="spellEnd"/>
      <w:r w:rsidR="006B7D96">
        <w:t xml:space="preserve">. 17.78; Arr. </w:t>
      </w:r>
      <w:r w:rsidR="006B7D96" w:rsidRPr="006B7D96">
        <w:rPr>
          <w:i/>
        </w:rPr>
        <w:t>Anab</w:t>
      </w:r>
      <w:r w:rsidR="006B7D96">
        <w:t>. 4.1</w:t>
      </w:r>
      <w:r w:rsidR="00B96284">
        <w:t>; Ramsey 2011: 45</w:t>
      </w:r>
      <w:r w:rsidR="004E6DAE">
        <w:t>; Grainger 1990: 108-109</w:t>
      </w:r>
    </w:p>
  </w:footnote>
  <w:footnote w:id="55">
    <w:p w:rsidR="00197F9F" w:rsidRDefault="00197F9F">
      <w:pPr>
        <w:pStyle w:val="FootnoteText"/>
      </w:pPr>
      <w:r>
        <w:rPr>
          <w:rStyle w:val="FootnoteReference"/>
        </w:rPr>
        <w:footnoteRef/>
      </w:r>
      <w:r>
        <w:t xml:space="preserve"> Arr. </w:t>
      </w:r>
      <w:r w:rsidRPr="00D24641">
        <w:rPr>
          <w:i/>
        </w:rPr>
        <w:t>Anab</w:t>
      </w:r>
      <w:r>
        <w:t>. 4.1, 5.20</w:t>
      </w:r>
      <w:r w:rsidR="004D686B">
        <w:t xml:space="preserve">; </w:t>
      </w:r>
      <w:proofErr w:type="spellStart"/>
      <w:r w:rsidR="004D686B">
        <w:t>Kosmin</w:t>
      </w:r>
      <w:proofErr w:type="spellEnd"/>
      <w:r w:rsidR="004D686B">
        <w:t xml:space="preserve"> 2014: 183</w:t>
      </w:r>
    </w:p>
  </w:footnote>
  <w:footnote w:id="56">
    <w:p w:rsidR="00FA4FFE" w:rsidRDefault="00FA4FFE">
      <w:pPr>
        <w:pStyle w:val="FootnoteText"/>
      </w:pPr>
      <w:r>
        <w:rPr>
          <w:rStyle w:val="FootnoteReference"/>
        </w:rPr>
        <w:footnoteRef/>
      </w:r>
      <w:r>
        <w:t xml:space="preserve"> </w:t>
      </w:r>
      <w:proofErr w:type="spellStart"/>
      <w:r>
        <w:t>Mekalanos</w:t>
      </w:r>
      <w:proofErr w:type="spellEnd"/>
      <w:r w:rsidR="004E4D91">
        <w:t xml:space="preserve"> and</w:t>
      </w:r>
      <w:r>
        <w:t xml:space="preserve"> </w:t>
      </w:r>
      <w:proofErr w:type="spellStart"/>
      <w:r>
        <w:t>Sadoff</w:t>
      </w:r>
      <w:proofErr w:type="spellEnd"/>
      <w:r>
        <w:t xml:space="preserve"> 1994: 1387-1390</w:t>
      </w:r>
    </w:p>
  </w:footnote>
  <w:footnote w:id="57">
    <w:p w:rsidR="006B7D96" w:rsidRDefault="006B7D96">
      <w:pPr>
        <w:pStyle w:val="FootnoteText"/>
      </w:pPr>
      <w:r>
        <w:rPr>
          <w:rStyle w:val="FootnoteReference"/>
        </w:rPr>
        <w:footnoteRef/>
      </w:r>
      <w:r>
        <w:t xml:space="preserve"> </w:t>
      </w:r>
      <w:proofErr w:type="spellStart"/>
      <w:r>
        <w:t>Plin</w:t>
      </w:r>
      <w:proofErr w:type="spellEnd"/>
      <w:r>
        <w:t xml:space="preserve">. </w:t>
      </w:r>
      <w:r w:rsidR="000E579E">
        <w:rPr>
          <w:i/>
        </w:rPr>
        <w:t>HN</w:t>
      </w:r>
      <w:r w:rsidRPr="006B7D96">
        <w:rPr>
          <w:i/>
        </w:rPr>
        <w:t>.</w:t>
      </w:r>
      <w:r>
        <w:t xml:space="preserve"> 20.53</w:t>
      </w:r>
    </w:p>
  </w:footnote>
  <w:footnote w:id="58">
    <w:p w:rsidR="0021399B" w:rsidRDefault="0021399B">
      <w:pPr>
        <w:pStyle w:val="FootnoteText"/>
      </w:pPr>
      <w:r>
        <w:rPr>
          <w:rStyle w:val="FootnoteReference"/>
        </w:rPr>
        <w:footnoteRef/>
      </w:r>
      <w:r>
        <w:t xml:space="preserve"> </w:t>
      </w:r>
      <w:proofErr w:type="spellStart"/>
      <w:r>
        <w:t>Mekalanos</w:t>
      </w:r>
      <w:proofErr w:type="spellEnd"/>
      <w:r>
        <w:t xml:space="preserve"> and </w:t>
      </w:r>
      <w:proofErr w:type="spellStart"/>
      <w:r>
        <w:t>Sadoff</w:t>
      </w:r>
      <w:proofErr w:type="spellEnd"/>
      <w:r>
        <w:t xml:space="preserve"> 1994: 1387-1390</w:t>
      </w:r>
    </w:p>
  </w:footnote>
  <w:footnote w:id="59">
    <w:p w:rsidR="007B63D3" w:rsidRDefault="007B63D3">
      <w:pPr>
        <w:pStyle w:val="FootnoteText"/>
      </w:pPr>
      <w:r>
        <w:rPr>
          <w:rStyle w:val="FootnoteReference"/>
        </w:rPr>
        <w:footnoteRef/>
      </w:r>
      <w:r>
        <w:t xml:space="preserve"> Arr. </w:t>
      </w:r>
      <w:r w:rsidRPr="007B63D3">
        <w:rPr>
          <w:i/>
        </w:rPr>
        <w:t>Anab</w:t>
      </w:r>
      <w:r>
        <w:t>. 2.11</w:t>
      </w:r>
      <w:r w:rsidR="00E6393C">
        <w:t>; Grainger 1990: 150</w:t>
      </w:r>
      <w:r w:rsidR="00244B59">
        <w:t>; Worthington 2003: 222</w:t>
      </w:r>
    </w:p>
  </w:footnote>
  <w:footnote w:id="60">
    <w:p w:rsidR="00FA4FFE" w:rsidRDefault="00FA4FFE">
      <w:pPr>
        <w:pStyle w:val="FootnoteText"/>
      </w:pPr>
      <w:r>
        <w:rPr>
          <w:rStyle w:val="FootnoteReference"/>
        </w:rPr>
        <w:footnoteRef/>
      </w:r>
      <w:r>
        <w:t xml:space="preserve"> Arr. </w:t>
      </w:r>
      <w:r w:rsidRPr="00FA4FFE">
        <w:rPr>
          <w:i/>
        </w:rPr>
        <w:t>Anab</w:t>
      </w:r>
      <w:r>
        <w:t>. 6.30</w:t>
      </w:r>
      <w:r w:rsidR="00244B59">
        <w:t>; Worthington 2003: 107</w:t>
      </w:r>
    </w:p>
  </w:footnote>
  <w:footnote w:id="61">
    <w:p w:rsidR="004660DC" w:rsidRDefault="004660DC">
      <w:pPr>
        <w:pStyle w:val="FootnoteText"/>
      </w:pPr>
      <w:r>
        <w:rPr>
          <w:rStyle w:val="FootnoteReference"/>
        </w:rPr>
        <w:footnoteRef/>
      </w:r>
      <w:r>
        <w:t xml:space="preserve"> </w:t>
      </w:r>
      <w:proofErr w:type="spellStart"/>
      <w:r>
        <w:t>Strab</w:t>
      </w:r>
      <w:proofErr w:type="spellEnd"/>
      <w:r>
        <w:t xml:space="preserve">. </w:t>
      </w:r>
      <w:r w:rsidRPr="004660DC">
        <w:rPr>
          <w:i/>
        </w:rPr>
        <w:t>Geo</w:t>
      </w:r>
      <w:r>
        <w:t>. 2.5.33</w:t>
      </w:r>
    </w:p>
  </w:footnote>
  <w:footnote w:id="62">
    <w:p w:rsidR="00B96284" w:rsidRDefault="00B96284">
      <w:pPr>
        <w:pStyle w:val="FootnoteText"/>
      </w:pPr>
      <w:r>
        <w:rPr>
          <w:rStyle w:val="FootnoteReference"/>
        </w:rPr>
        <w:footnoteRef/>
      </w:r>
      <w:r>
        <w:t xml:space="preserve"> Ramsey 2011: 44-45</w:t>
      </w:r>
    </w:p>
  </w:footnote>
  <w:footnote w:id="63">
    <w:p w:rsidR="004660DC" w:rsidRDefault="004660DC">
      <w:pPr>
        <w:pStyle w:val="FootnoteText"/>
      </w:pPr>
      <w:r>
        <w:rPr>
          <w:rStyle w:val="FootnoteReference"/>
        </w:rPr>
        <w:footnoteRef/>
      </w:r>
      <w:r>
        <w:t xml:space="preserve"> Arr</w:t>
      </w:r>
      <w:r w:rsidRPr="004660DC">
        <w:rPr>
          <w:i/>
        </w:rPr>
        <w:t>. Anab.</w:t>
      </w:r>
      <w:r>
        <w:t xml:space="preserve"> 7.19; </w:t>
      </w:r>
      <w:proofErr w:type="spellStart"/>
      <w:r>
        <w:t>Plut</w:t>
      </w:r>
      <w:proofErr w:type="spellEnd"/>
      <w:r>
        <w:t xml:space="preserve">. </w:t>
      </w:r>
      <w:r w:rsidRPr="004660DC">
        <w:rPr>
          <w:i/>
        </w:rPr>
        <w:t>Alex</w:t>
      </w:r>
      <w:r>
        <w:t>. 27</w:t>
      </w:r>
    </w:p>
  </w:footnote>
  <w:footnote w:id="64">
    <w:p w:rsidR="0001478D" w:rsidRDefault="0001478D">
      <w:pPr>
        <w:pStyle w:val="FootnoteText"/>
      </w:pPr>
      <w:r>
        <w:rPr>
          <w:rStyle w:val="FootnoteReference"/>
        </w:rPr>
        <w:footnoteRef/>
      </w:r>
      <w:r>
        <w:t xml:space="preserve"> Grainger 1990: 22</w:t>
      </w:r>
    </w:p>
  </w:footnote>
  <w:footnote w:id="65">
    <w:p w:rsidR="004660DC" w:rsidRDefault="004660DC">
      <w:pPr>
        <w:pStyle w:val="FootnoteText"/>
      </w:pPr>
      <w:r>
        <w:rPr>
          <w:rStyle w:val="FootnoteReference"/>
        </w:rPr>
        <w:footnoteRef/>
      </w:r>
      <w:r>
        <w:t xml:space="preserve"> </w:t>
      </w:r>
      <w:proofErr w:type="spellStart"/>
      <w:r>
        <w:t>Diod</w:t>
      </w:r>
      <w:proofErr w:type="spellEnd"/>
      <w:r>
        <w:t>. 18.4</w:t>
      </w:r>
    </w:p>
  </w:footnote>
  <w:footnote w:id="66">
    <w:p w:rsidR="003362A0" w:rsidRDefault="003362A0">
      <w:pPr>
        <w:pStyle w:val="FootnoteText"/>
      </w:pPr>
      <w:r>
        <w:rPr>
          <w:rStyle w:val="FootnoteReference"/>
        </w:rPr>
        <w:footnoteRef/>
      </w:r>
      <w:r>
        <w:t xml:space="preserve"> </w:t>
      </w:r>
      <w:proofErr w:type="spellStart"/>
      <w:r>
        <w:t>Diog</w:t>
      </w:r>
      <w:proofErr w:type="spellEnd"/>
      <w:r>
        <w:t xml:space="preserve">. </w:t>
      </w:r>
      <w:proofErr w:type="spellStart"/>
      <w:r>
        <w:t>Laert</w:t>
      </w:r>
      <w:proofErr w:type="spellEnd"/>
      <w:r>
        <w:t>. 7.7.185</w:t>
      </w:r>
    </w:p>
  </w:footnote>
  <w:footnote w:id="67">
    <w:p w:rsidR="004A62BD" w:rsidRDefault="004A62BD">
      <w:pPr>
        <w:pStyle w:val="FootnoteText"/>
      </w:pPr>
      <w:r>
        <w:rPr>
          <w:rStyle w:val="FootnoteReference"/>
        </w:rPr>
        <w:footnoteRef/>
      </w:r>
      <w:r>
        <w:t xml:space="preserve"> </w:t>
      </w:r>
      <w:r w:rsidR="001F666D">
        <w:t xml:space="preserve">BCHP 11; </w:t>
      </w:r>
      <w:r>
        <w:t>Ager 2005: 48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987"/>
    <w:rsid w:val="0001478D"/>
    <w:rsid w:val="00021FC8"/>
    <w:rsid w:val="00031333"/>
    <w:rsid w:val="0007288F"/>
    <w:rsid w:val="000E3CB0"/>
    <w:rsid w:val="000E579E"/>
    <w:rsid w:val="0012144B"/>
    <w:rsid w:val="0014479B"/>
    <w:rsid w:val="0019491B"/>
    <w:rsid w:val="00197F9F"/>
    <w:rsid w:val="001A0F9F"/>
    <w:rsid w:val="001A59AC"/>
    <w:rsid w:val="001C5E17"/>
    <w:rsid w:val="001F666D"/>
    <w:rsid w:val="002103F6"/>
    <w:rsid w:val="0021399B"/>
    <w:rsid w:val="00214CCF"/>
    <w:rsid w:val="00227EC5"/>
    <w:rsid w:val="00233A94"/>
    <w:rsid w:val="00233E23"/>
    <w:rsid w:val="00240E39"/>
    <w:rsid w:val="00244B59"/>
    <w:rsid w:val="002539AD"/>
    <w:rsid w:val="00254FB5"/>
    <w:rsid w:val="002A5495"/>
    <w:rsid w:val="002B57ED"/>
    <w:rsid w:val="003362A0"/>
    <w:rsid w:val="003576E4"/>
    <w:rsid w:val="00393086"/>
    <w:rsid w:val="003C7A57"/>
    <w:rsid w:val="003F6692"/>
    <w:rsid w:val="004368D2"/>
    <w:rsid w:val="00453179"/>
    <w:rsid w:val="004625EA"/>
    <w:rsid w:val="004660DC"/>
    <w:rsid w:val="004A62BD"/>
    <w:rsid w:val="004D686B"/>
    <w:rsid w:val="004E4D91"/>
    <w:rsid w:val="004E6DAE"/>
    <w:rsid w:val="00506DB2"/>
    <w:rsid w:val="00531BB3"/>
    <w:rsid w:val="00551987"/>
    <w:rsid w:val="0059427B"/>
    <w:rsid w:val="005D6CFF"/>
    <w:rsid w:val="005E6830"/>
    <w:rsid w:val="00613F17"/>
    <w:rsid w:val="00656372"/>
    <w:rsid w:val="006761B6"/>
    <w:rsid w:val="006B7D96"/>
    <w:rsid w:val="006D4188"/>
    <w:rsid w:val="006E602F"/>
    <w:rsid w:val="006E705A"/>
    <w:rsid w:val="00706A10"/>
    <w:rsid w:val="007119DC"/>
    <w:rsid w:val="00720C75"/>
    <w:rsid w:val="007442AD"/>
    <w:rsid w:val="00770304"/>
    <w:rsid w:val="007B2E60"/>
    <w:rsid w:val="007B63D3"/>
    <w:rsid w:val="007F5ABB"/>
    <w:rsid w:val="008064F9"/>
    <w:rsid w:val="00813436"/>
    <w:rsid w:val="008519D0"/>
    <w:rsid w:val="00896029"/>
    <w:rsid w:val="008B497B"/>
    <w:rsid w:val="008D7214"/>
    <w:rsid w:val="009538A8"/>
    <w:rsid w:val="009A7D2D"/>
    <w:rsid w:val="009D25A8"/>
    <w:rsid w:val="00A02E8F"/>
    <w:rsid w:val="00A364B0"/>
    <w:rsid w:val="00A968D1"/>
    <w:rsid w:val="00AD79E8"/>
    <w:rsid w:val="00B0416F"/>
    <w:rsid w:val="00B54163"/>
    <w:rsid w:val="00B663DD"/>
    <w:rsid w:val="00B96284"/>
    <w:rsid w:val="00BB3B3B"/>
    <w:rsid w:val="00BC7237"/>
    <w:rsid w:val="00BD3381"/>
    <w:rsid w:val="00BF1326"/>
    <w:rsid w:val="00C0713C"/>
    <w:rsid w:val="00C14BD7"/>
    <w:rsid w:val="00C1775C"/>
    <w:rsid w:val="00C17A6C"/>
    <w:rsid w:val="00C51628"/>
    <w:rsid w:val="00C7053F"/>
    <w:rsid w:val="00C75841"/>
    <w:rsid w:val="00C9310E"/>
    <w:rsid w:val="00CA2338"/>
    <w:rsid w:val="00CD0F6B"/>
    <w:rsid w:val="00CE6CDF"/>
    <w:rsid w:val="00D209F9"/>
    <w:rsid w:val="00D24641"/>
    <w:rsid w:val="00D67F05"/>
    <w:rsid w:val="00D72F92"/>
    <w:rsid w:val="00D731F3"/>
    <w:rsid w:val="00DD7351"/>
    <w:rsid w:val="00DF52BC"/>
    <w:rsid w:val="00E04622"/>
    <w:rsid w:val="00E213D2"/>
    <w:rsid w:val="00E434EA"/>
    <w:rsid w:val="00E538DD"/>
    <w:rsid w:val="00E54FA6"/>
    <w:rsid w:val="00E5510B"/>
    <w:rsid w:val="00E578D1"/>
    <w:rsid w:val="00E6393C"/>
    <w:rsid w:val="00E67D28"/>
    <w:rsid w:val="00E75F3B"/>
    <w:rsid w:val="00E86539"/>
    <w:rsid w:val="00EB7097"/>
    <w:rsid w:val="00EE00B0"/>
    <w:rsid w:val="00F47703"/>
    <w:rsid w:val="00F544E8"/>
    <w:rsid w:val="00FA49FD"/>
    <w:rsid w:val="00FA4FFE"/>
    <w:rsid w:val="00FD785F"/>
    <w:rsid w:val="00FE78CB"/>
    <w:rsid w:val="00FF34A5"/>
    <w:rsid w:val="00FF3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595F7"/>
  <w15:chartTrackingRefBased/>
  <w15:docId w15:val="{D4051539-7B78-4DCD-8199-A73ACAABB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A7D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7D2D"/>
    <w:rPr>
      <w:sz w:val="20"/>
      <w:szCs w:val="20"/>
    </w:rPr>
  </w:style>
  <w:style w:type="character" w:styleId="FootnoteReference">
    <w:name w:val="footnote reference"/>
    <w:basedOn w:val="DefaultParagraphFont"/>
    <w:uiPriority w:val="99"/>
    <w:semiHidden/>
    <w:unhideWhenUsed/>
    <w:rsid w:val="009A7D2D"/>
    <w:rPr>
      <w:vertAlign w:val="superscript"/>
    </w:rPr>
  </w:style>
  <w:style w:type="character" w:styleId="Hyperlink">
    <w:name w:val="Hyperlink"/>
    <w:basedOn w:val="DefaultParagraphFont"/>
    <w:uiPriority w:val="99"/>
    <w:unhideWhenUsed/>
    <w:rsid w:val="00B962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vius.org/cg-cm/chronicles/bchp-ptolemy_iii/bchp_ptolemy_iii_01.html" TargetMode="External"/><Relationship Id="rId3" Type="http://schemas.openxmlformats.org/officeDocument/2006/relationships/settings" Target="settings.xml"/><Relationship Id="rId7" Type="http://schemas.openxmlformats.org/officeDocument/2006/relationships/hyperlink" Target="http://www.livius.org/cg-cm/chronicles/bchp-ruin_esagila/ruin_esagila_01.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27645-8BC6-4833-B2A7-556CF2066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972</TotalTime>
  <Pages>13</Pages>
  <Words>3096</Words>
  <Characters>17652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Callum Childs (1601053)</cp:lastModifiedBy>
  <cp:revision>27</cp:revision>
  <dcterms:created xsi:type="dcterms:W3CDTF">2018-11-09T17:55:00Z</dcterms:created>
  <dcterms:modified xsi:type="dcterms:W3CDTF">2018-11-13T22:41:00Z</dcterms:modified>
</cp:coreProperties>
</file>