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E0DE4" w14:textId="66211656" w:rsidR="00E3600E" w:rsidRDefault="0088164C" w:rsidP="002E008A">
      <w:pPr>
        <w:pStyle w:val="Heading2"/>
      </w:pPr>
      <w:bookmarkStart w:id="0" w:name="OLE_LINK1"/>
      <w:r w:rsidRPr="00426E2B">
        <w:t>Essay One</w:t>
      </w:r>
      <w:bookmarkEnd w:id="0"/>
    </w:p>
    <w:p w14:paraId="7E2AEE32" w14:textId="39BDB8D0" w:rsidR="00BA43BC" w:rsidRDefault="00BA43BC" w:rsidP="00BA43BC">
      <w:r>
        <w:t>Browse any media and you’ll encounter police forces facing criticism over the misconduct of their officers. Over the years politicians, policy makers and police leaders have introduced measures aimed at countering this, from the Police and Criminal Evidence Act 1984 (PACE) to a more recent innovation, body-worn video (BWV). Their aim; enhancing accountability and public trust. The UK’s policing model is built on the principle of ‘policing by consent’ i.e. “if the public withdrew their support, the police would lose its authority” (Tudor, 2023).</w:t>
      </w:r>
    </w:p>
    <w:p w14:paraId="4E837924" w14:textId="3E67E306" w:rsidR="00BA43BC" w:rsidRDefault="00BA43BC" w:rsidP="00BA43BC">
      <w:r>
        <w:t>Until June 1977 forces investigated complaints against their own officers. These in-force investigations were inherently biased as officers would be investigating fellow officers, with claims of being nothing more than mere tokenism (Shieber, 2020).</w:t>
      </w:r>
    </w:p>
    <w:p w14:paraId="22E12C8E" w14:textId="327D2064" w:rsidR="00BA43BC" w:rsidRDefault="00BA43BC" w:rsidP="00BA43BC">
      <w:r>
        <w:t>Serious complaints could be referred to another force at the direction of the Home Secretary. This force could then further refer to the Director of Public Prosecutions for a charging decision (Records of the Independent Office for Police Conduct and Predecessors, 2002).</w:t>
      </w:r>
    </w:p>
    <w:p w14:paraId="76724CA9" w14:textId="0550738C" w:rsidR="00BA43BC" w:rsidRDefault="00BA43BC" w:rsidP="00BA43BC">
      <w:r>
        <w:t>The Independent Office for Police Conduct (IOPC) was created to oversee the police complaints system, setting the standards by which complaints are handled. IOPC investigate the most serious matters and make their decisions independently of the police or government (Police Conduct n.d).</w:t>
      </w:r>
    </w:p>
    <w:p w14:paraId="3F1EA80A" w14:textId="7A6D85D1" w:rsidR="00BA43BC" w:rsidRDefault="00BA43BC" w:rsidP="00BA43BC">
      <w:r>
        <w:t>The Brixton riots of 1981 following ‘operation swamp’ saw days of unrest during which hundreds were arrested and stop-searched. The majority were from the Black community (Jefferson, 2012).</w:t>
      </w:r>
    </w:p>
    <w:p w14:paraId="16C8319C" w14:textId="56B39976" w:rsidR="00BA43BC" w:rsidRDefault="00BA43BC" w:rsidP="00BA43BC">
      <w:r>
        <w:t>The Government commissioned Lord Scarman to produce a report on the police response during the riots. The report contained many recommendations aimed at improving policing and unifying pre-existing police powers including, officer recruitment training and accountability. We’re most interested in accountability, which is the foundation for responsible policing and consultation. This prevents police services from being socially isolated, requiring the service to be answerable for its actions (Lord Scarman, 1981).</w:t>
      </w:r>
    </w:p>
    <w:p w14:paraId="12B1C743" w14:textId="43132B58" w:rsidR="00BA43BC" w:rsidRDefault="00BA43BC" w:rsidP="00BA43BC">
      <w:r>
        <w:t>Lord Scarman’s report was widely accepted as an important piece of work. However, it also faced criticism, mainly the denial of ‘institutional racism’ within policing. Community organisations around the country alleged British society was racist (Sir Macpherson, 1999) determined there to be institutional racism within the service. “Change remains elusive” (Lamble, McElhne, 2023).</w:t>
      </w:r>
    </w:p>
    <w:p w14:paraId="393968E2" w14:textId="5172A2E3" w:rsidR="00BA43BC" w:rsidRDefault="00BA43BC" w:rsidP="00BA43BC">
      <w:r>
        <w:t>PACE was borne following recommendations made by the Lord Scarman report. Within PACE there are nine codes (A – I) determining how police should exercise their powers whist balancing those against the rights of the individual.</w:t>
      </w:r>
    </w:p>
    <w:p w14:paraId="50A443F1" w14:textId="35DFC917" w:rsidR="00BA43BC" w:rsidRDefault="00BA43BC" w:rsidP="00BA43BC">
      <w:r>
        <w:t>Pre-PACE interviews could be unrecorded, with officers handwritten notes read in court and taken as evidence (UK Essays, 2018).</w:t>
      </w:r>
    </w:p>
    <w:p w14:paraId="48CF4313" w14:textId="77777777" w:rsidR="00BA43BC" w:rsidRDefault="00BA43BC" w:rsidP="00BA43BC">
      <w:r>
        <w:t>Code A of PACE details the powers that officers have to stop-search someone without arrest. These have been heavily criticised as highly intrusive, disproportionately targeting members of minority ethnic communities, most particularly Black people (Miller et al, 2020).</w:t>
      </w:r>
    </w:p>
    <w:p w14:paraId="524D1787" w14:textId="77777777" w:rsidR="00BA43BC" w:rsidRDefault="00BA43BC" w:rsidP="00BA43BC">
      <w:r>
        <w:t>Code C of PACE details at length the detention, interviewing and treatment of individuals whist in custody, including explaining the individuals’ rights (Code C revised, 2023).</w:t>
      </w:r>
    </w:p>
    <w:p w14:paraId="11E094F0" w14:textId="65323D09" w:rsidR="00BA43BC" w:rsidRDefault="00BA43BC" w:rsidP="00BA43BC">
      <w:r>
        <w:lastRenderedPageBreak/>
        <w:t>Interesting that sections of the same Code of Practice aimed at increasing public confidence can receive opposing views depending on personal perspective. A negative perception of ‘stop-search’ and positive view of the consistent treatment of someone within the policing and judicial process.</w:t>
      </w:r>
    </w:p>
    <w:p w14:paraId="7A826094" w14:textId="1ABE16FB" w:rsidR="00BA43BC" w:rsidRDefault="00BA43BC" w:rsidP="00BA43BC">
      <w:r>
        <w:t xml:space="preserve">To further improve public confidence the College of Policing (CoP) introduced the Code of Ethics in 2014. There are ten standards covering everything from the use of force to honesty and integrity and challenging improper conduct. To highlight the importance and centrality of the Code of Ethics the National Decision Model (NDM) places the Code of Ethics as the basis for all decision making. The NDM means that similar situations should broadly result in the same conclusions and course of action creating a repeatable, </w:t>
      </w:r>
      <w:r w:rsidR="00065B8F">
        <w:t>transparent,</w:t>
      </w:r>
      <w:r>
        <w:t xml:space="preserve"> and consistent decision-making process that can be challenged both at the time and afterwards (Lander P, 2011) and (Code of Ethics, 2014).</w:t>
      </w:r>
    </w:p>
    <w:p w14:paraId="3F2FC880" w14:textId="1E98F28C" w:rsidR="00BA43BC" w:rsidRDefault="00BA43BC" w:rsidP="00BA43BC">
      <w:r>
        <w:t>There is a so called ‘blue code’ amongst serving officers that places an expectation of solidarity and loyalty to colleagues, and that any such behaviours may not be reported (Westmarland, Rowe, 2016). As part of the Code of Ethics there is a requirement of staff to ‘whistle blow’ on colleagues they believe may have breached the code.</w:t>
      </w:r>
    </w:p>
    <w:p w14:paraId="4F38EC62" w14:textId="55B239B4" w:rsidR="00BA43BC" w:rsidRDefault="00BA43BC" w:rsidP="00BA43BC">
      <w:r>
        <w:t xml:space="preserve">The Code of Ethics aims to ensure fair, </w:t>
      </w:r>
      <w:r w:rsidR="00065B8F">
        <w:t>ethical,</w:t>
      </w:r>
      <w:r>
        <w:t xml:space="preserve"> and reliable decisions intended to keep the public safe. Following the code will help police professionals ensure they are doing the right things, in the right way for the right reason.</w:t>
      </w:r>
    </w:p>
    <w:p w14:paraId="5B307164" w14:textId="75516841" w:rsidR="00BA43BC" w:rsidRDefault="00BA43BC" w:rsidP="00BA43BC">
      <w:r>
        <w:t>Negative feelings towards the police come from historical events such as ‘operation swamp’ or adverse personal encounters coupled with a perceived lack of procedural fairness and inconsistencies in the application of the code. This has led to a feeling of mistrust and lack of transparency (Awan et al, 2018).</w:t>
      </w:r>
    </w:p>
    <w:p w14:paraId="422D3180" w14:textId="4F198A76" w:rsidR="00BA43BC" w:rsidRDefault="00BA43BC" w:rsidP="00BA43BC">
      <w:r>
        <w:t>Technology has dramatically changed the way we interact with the world around us. Like other organisations police forces have also had to keep up e.g. the introduction BWV used in evidence gathering and correct procedural processes in set pieces such as an arrest, stop-search or taser deployment (Harrison, L’Hoiry, Santorso, 2022).</w:t>
      </w:r>
    </w:p>
    <w:p w14:paraId="16C3913B" w14:textId="21E1ACA8" w:rsidR="00BA43BC" w:rsidRDefault="00BA43BC" w:rsidP="00BA43BC">
      <w:r>
        <w:t>Results from Police Scotland are encouraging. The key findings showed clear support for BWV:</w:t>
      </w:r>
    </w:p>
    <w:p w14:paraId="7B0E4A80" w14:textId="77777777" w:rsidR="00BA43BC" w:rsidRDefault="00BA43BC" w:rsidP="00BA43BC">
      <w:pPr>
        <w:pStyle w:val="ListParagraph"/>
        <w:numPr>
          <w:ilvl w:val="0"/>
          <w:numId w:val="6"/>
        </w:numPr>
      </w:pPr>
      <w:r>
        <w:t>82% support officers, staff and special constables always wearing BWV when engaged in police activities.</w:t>
      </w:r>
    </w:p>
    <w:p w14:paraId="38D24F0F" w14:textId="77777777" w:rsidR="00BA43BC" w:rsidRDefault="00BA43BC" w:rsidP="00BA43BC">
      <w:pPr>
        <w:pStyle w:val="ListParagraph"/>
        <w:numPr>
          <w:ilvl w:val="0"/>
          <w:numId w:val="6"/>
        </w:numPr>
      </w:pPr>
      <w:r>
        <w:t>71% of respondents agreed they would “always” feel safer knowing that their interaction with Police Scotland was being recorded by BWV.</w:t>
      </w:r>
    </w:p>
    <w:p w14:paraId="14C903B5" w14:textId="6C4801F6" w:rsidR="00BA43BC" w:rsidRDefault="00BA43BC" w:rsidP="00BA43BC">
      <w:pPr>
        <w:pStyle w:val="ListParagraph"/>
        <w:numPr>
          <w:ilvl w:val="0"/>
          <w:numId w:val="6"/>
        </w:numPr>
      </w:pPr>
      <w:r>
        <w:t>84% agreed BWV would increase their confidence in Police Scotland (Police Scotland, 2022).</w:t>
      </w:r>
    </w:p>
    <w:p w14:paraId="597C1900" w14:textId="48E84E51" w:rsidR="00BA43BC" w:rsidRDefault="00BA43BC" w:rsidP="00BA43BC">
      <w:r>
        <w:t>“Capturing footage at the moment of an event or incident has already proven to produce outstanding results</w:t>
      </w:r>
      <w:r w:rsidR="00065B8F">
        <w:t>.”</w:t>
      </w:r>
    </w:p>
    <w:p w14:paraId="08D7ECE5" w14:textId="0CBBF947" w:rsidR="00BA43BC" w:rsidRDefault="00BA43BC" w:rsidP="00BA43BC">
      <w:pPr>
        <w:pStyle w:val="ListParagraph"/>
        <w:numPr>
          <w:ilvl w:val="0"/>
          <w:numId w:val="6"/>
        </w:numPr>
      </w:pPr>
      <w:r>
        <w:t>90% reduction in complaints against police officers.</w:t>
      </w:r>
    </w:p>
    <w:p w14:paraId="5EA7C323" w14:textId="796847E5" w:rsidR="00BA43BC" w:rsidRDefault="00BA43BC" w:rsidP="00BA43BC">
      <w:pPr>
        <w:pStyle w:val="ListParagraph"/>
        <w:numPr>
          <w:ilvl w:val="0"/>
          <w:numId w:val="6"/>
        </w:numPr>
      </w:pPr>
      <w:r>
        <w:t>50% reduction in use of force.</w:t>
      </w:r>
    </w:p>
    <w:p w14:paraId="64F60D86" w14:textId="49CDFE2A" w:rsidR="00BA43BC" w:rsidRDefault="00BA43BC" w:rsidP="00BA43BC">
      <w:pPr>
        <w:pStyle w:val="ListParagraph"/>
        <w:numPr>
          <w:ilvl w:val="0"/>
          <w:numId w:val="6"/>
        </w:numPr>
      </w:pPr>
      <w:r>
        <w:t>90% increase in early guilty pleas.</w:t>
      </w:r>
    </w:p>
    <w:p w14:paraId="4E71B887" w14:textId="52B40505" w:rsidR="00BA43BC" w:rsidRDefault="00BA43BC" w:rsidP="00BA43BC">
      <w:pPr>
        <w:pStyle w:val="ListParagraph"/>
        <w:numPr>
          <w:ilvl w:val="0"/>
          <w:numId w:val="6"/>
        </w:numPr>
      </w:pPr>
      <w:r>
        <w:t>22% increase in time available for patrol (Body Camera UK n.d).</w:t>
      </w:r>
    </w:p>
    <w:p w14:paraId="7BC0EDA1" w14:textId="77777777" w:rsidR="00BA43BC" w:rsidRDefault="00BA43BC" w:rsidP="00BA43BC"/>
    <w:p w14:paraId="648F8739" w14:textId="5F316D80" w:rsidR="00BA43BC" w:rsidRDefault="00BA43BC" w:rsidP="00BA43BC">
      <w:r>
        <w:lastRenderedPageBreak/>
        <w:t>Perceptions appear positive; however, there have been some concerns from the public about invasions of privacy and that they should be able to request that an officer turns off BWV (Clare et al, 2019).</w:t>
      </w:r>
    </w:p>
    <w:p w14:paraId="47AD0AE5" w14:textId="4B919220" w:rsidR="00BA43BC" w:rsidRDefault="00BA43BC" w:rsidP="00BA43BC">
      <w:r>
        <w:t xml:space="preserve">Events like the murder of Sarah Everard by a serving officer live long in the publics’ memory, undermining efforts to improve the perception of policing. Creating the Code of Ethics, NDM etc sets standards for improving, </w:t>
      </w:r>
      <w:r w:rsidR="00065B8F">
        <w:t>reforming,</w:t>
      </w:r>
      <w:r>
        <w:t xml:space="preserve"> and encouraging consistency to which all in policing can be held to.</w:t>
      </w:r>
    </w:p>
    <w:p w14:paraId="7A5E2BBA" w14:textId="492B0AA0" w:rsidR="00BA43BC" w:rsidRDefault="00BA43BC" w:rsidP="00BA43BC">
      <w:r>
        <w:t>Lack of funding, resources, training and increasing demands might be considered as factors that could hinder continuous improvement.</w:t>
      </w:r>
    </w:p>
    <w:p w14:paraId="591B51CC" w14:textId="09C08512" w:rsidR="00A13BB3" w:rsidRDefault="00BA43BC" w:rsidP="00BA43BC">
      <w:r>
        <w:t>Word count: 1028</w:t>
      </w:r>
    </w:p>
    <w:p w14:paraId="53DDA7B6" w14:textId="77777777" w:rsidR="009D34D5" w:rsidRDefault="009D34D5" w:rsidP="00BA43BC"/>
    <w:p w14:paraId="5267776F" w14:textId="665DC686" w:rsidR="00A82DBA" w:rsidRPr="00426E2B" w:rsidRDefault="00A82DBA">
      <w:r w:rsidRPr="00426E2B">
        <w:br w:type="page"/>
      </w:r>
    </w:p>
    <w:p w14:paraId="189E771B" w14:textId="1AF45C5E" w:rsidR="007738D1" w:rsidRPr="005338FB" w:rsidRDefault="00C547A2" w:rsidP="007738D1">
      <w:pPr>
        <w:pStyle w:val="Heading2"/>
      </w:pPr>
      <w:r w:rsidRPr="005338FB">
        <w:lastRenderedPageBreak/>
        <w:t xml:space="preserve"> </w:t>
      </w:r>
      <w:r w:rsidR="007738D1" w:rsidRPr="005338FB">
        <w:t>Essay Two</w:t>
      </w:r>
    </w:p>
    <w:p w14:paraId="0DDD06FE" w14:textId="65784E54" w:rsidR="009D34D5" w:rsidRDefault="009D34D5" w:rsidP="009D34D5">
      <w:r>
        <w:t>Before examining what characteristics can make a person vulnerable, it’s useful to understand what criminal exploitation is. “A person commits an offence if the person holds another person in slavery or servitude and the circumstances are such that the person knows or ought to know that the other person is held in slavery or servitude, or the person requires another person to perform forced or compulsory labour and the circumstances are such that the person knows or ought to know that the other person is being required to perform forced or compulsory labour” (Modern Slavery Act, 2015).</w:t>
      </w:r>
    </w:p>
    <w:p w14:paraId="0F9563A6" w14:textId="5361CCB9" w:rsidR="009D34D5" w:rsidRDefault="009D34D5" w:rsidP="009D34D5">
      <w:r>
        <w:t>Secondly understand what a gang might be. “A gang, or troublesome youth group, is any durable, street-oriented youth group whose involvement in illegal activity is part of their group identity” (Weerman et al, 2009) quoted in (Alleyne, Wood, 2014). Consider then the definition of exploitation alongside that of a gang; vulnerable people are recruited into these gangs and held in servitude to commit illegal acts.</w:t>
      </w:r>
    </w:p>
    <w:p w14:paraId="70FED590" w14:textId="69F7B7BC" w:rsidR="009D34D5" w:rsidRDefault="009D34D5" w:rsidP="009D34D5">
      <w:r>
        <w:t>With most gangs engaging in drug distribution, drug addiction is a probable cause for drugs being distributed in the first place and its correlation with adverse childhood experiences (ACEs). Those who have experienced ACEs are more likely to report illegal drug use. With each additional ACE experienced this likelihood increases, so much so that people who report five or more occurrences are as much as seven to ten times more likely to report drug use (Dube et al, 2003).</w:t>
      </w:r>
    </w:p>
    <w:p w14:paraId="5F775544" w14:textId="5F50A207" w:rsidR="009D34D5" w:rsidRDefault="009D34D5" w:rsidP="009D34D5">
      <w:r>
        <w:t>County lines can be described as the way in which criminal enterprises exploit children and vulnerable adults to co-ordinate and distribute a supply of illegal drugs around the country, using mobile phones to do so (Home Office, 2018).</w:t>
      </w:r>
    </w:p>
    <w:p w14:paraId="5B3A9974" w14:textId="3364D49D" w:rsidR="009D34D5" w:rsidRDefault="009D34D5" w:rsidP="009D34D5">
      <w:r>
        <w:t>A Finnish study into exploitation and trafficking identified that the relationship between victim and perpetrator varies, in some cases the parties don’t know each other whatsoever, all the way up to and including having an intimate relationship.</w:t>
      </w:r>
    </w:p>
    <w:p w14:paraId="00CF5F7E" w14:textId="66E46B1B" w:rsidR="009D34D5" w:rsidRDefault="009D34D5" w:rsidP="009D34D5">
      <w:r>
        <w:t>The study further explores the case of Elena who was trafficked to Finland for sex. There are identifiable characteristics that led Elena to be exploited, namely her age; she was 16 years old, had a young child in her home country and did not live with her parents, and didn’t speak any Finnish or English so was unable to communicate with others. Elena was promised the opportunity to travel and earn her own money, which, as a 16-year-old would have been hard to resist. Elena was kept in poor living conditions and she, and her family were threatened (Viu</w:t>
      </w:r>
      <w:r w:rsidR="00065B8F">
        <w:t>h</w:t>
      </w:r>
      <w:r>
        <w:t>ko, 2019).</w:t>
      </w:r>
    </w:p>
    <w:p w14:paraId="40B3B72B" w14:textId="5359A24C" w:rsidR="009D34D5" w:rsidRDefault="009D34D5" w:rsidP="009D34D5">
      <w:r>
        <w:t>It's difficult to attribute exploitation to one single risk factor when the situation can often be complex, with causes starting as early as childhood. Interactions with others perceived to have some influence over the young person can increase or mitigate the risk of that person being criminally exploited (Dodge, Gregory, 2003 in Annan et al, 2021).</w:t>
      </w:r>
    </w:p>
    <w:p w14:paraId="511E0E29" w14:textId="30B42443" w:rsidR="009D34D5" w:rsidRDefault="009D34D5" w:rsidP="009D34D5">
      <w:r>
        <w:t>The UK Government has identified seven reoccurring themes, early childhood abuse and neglect, parental violence – towards one another and children, drug and alcohol addiction and ill health, particularly mental ill health within the family and violent victimisation and repeat hospital visits (UK Government, 2011).</w:t>
      </w:r>
    </w:p>
    <w:p w14:paraId="15D4C06B" w14:textId="4C012F8E" w:rsidR="009D34D5" w:rsidRDefault="009D34D5" w:rsidP="009D34D5">
      <w:r>
        <w:t>There is an emerging and still under reported exploitation of vulnerable people, often referred to as ‘cuckooing</w:t>
      </w:r>
      <w:r w:rsidR="00065B8F">
        <w:t>.’</w:t>
      </w:r>
      <w:r>
        <w:t xml:space="preserve"> Suppliers of Class A drugs will take over someone’s home and use it as a temporary base from which to run their drugs operation. Those most frequently ‘cuckooed’ are </w:t>
      </w:r>
      <w:r>
        <w:lastRenderedPageBreak/>
        <w:t>people who suffer with mental or physical health disabilities, those with drug dependency and elderly people (Spicer Moyle, Coomber, 2019).</w:t>
      </w:r>
    </w:p>
    <w:p w14:paraId="324245B5" w14:textId="10EEBD5F" w:rsidR="009D34D5" w:rsidRDefault="009D34D5" w:rsidP="009D34D5">
      <w:r>
        <w:t xml:space="preserve">Criminal gangs looking to exploit vulnerable people will use either overt or covert tactics, sometimes a combination of both. Overt tactics could take the form of sexual abuse, </w:t>
      </w:r>
      <w:r w:rsidR="00065B8F">
        <w:t>violence,</w:t>
      </w:r>
      <w:r>
        <w:t xml:space="preserve"> or physical attacks. More subtle approaches, with an increased probability of going undetected could include the forming of intimate relationships. Victims are encouraged into drug taking accumulating debt, which is then used to coerce them into working for the criminal enterprise (Coliandris, 2015).</w:t>
      </w:r>
    </w:p>
    <w:p w14:paraId="42E659EE" w14:textId="67C61B84" w:rsidR="009D34D5" w:rsidRDefault="009D34D5" w:rsidP="009D34D5">
      <w:r>
        <w:t>Mention should be given to the work being done to divert people away from exploitation by criminal gangs. Research shows there is no one discernible characteristic, rather a multitude of them and anyone could be experiencing one or more of these. Prevention in the context of crime are actions taken to reduce the risk of future crime but doesn’t eliminate all crime.</w:t>
      </w:r>
    </w:p>
    <w:p w14:paraId="2B8DFFE8" w14:textId="361A94C2" w:rsidR="009D34D5" w:rsidRDefault="009D34D5" w:rsidP="009D34D5">
      <w:r>
        <w:t>For example, an intervention in the life of an aggressive 10-year-old may be described as prevention, if the number of times that boy commits criminal offences by age 16 is less than the number of crimes committed by similar boys. Reduction in risk denotes categories of people. For example, if 100 aggressive boys received an intervention it could be considered effective if a smaller group committed crime were no intervention received.</w:t>
      </w:r>
    </w:p>
    <w:p w14:paraId="53A3AA2D" w14:textId="33DC3FF4" w:rsidR="009D34D5" w:rsidRDefault="009D34D5" w:rsidP="009D34D5">
      <w:r>
        <w:t>There are three types of crime prevention strategies:</w:t>
      </w:r>
    </w:p>
    <w:p w14:paraId="48C46C05" w14:textId="365B466C" w:rsidR="009D34D5" w:rsidRDefault="00065B8F" w:rsidP="009D34D5">
      <w:pPr>
        <w:pStyle w:val="ListParagraph"/>
        <w:numPr>
          <w:ilvl w:val="0"/>
          <w:numId w:val="6"/>
        </w:numPr>
      </w:pPr>
      <w:r>
        <w:t>Primary</w:t>
      </w:r>
      <w:r w:rsidR="009D34D5">
        <w:t xml:space="preserve"> focuses on influencing general conditions in our social life to reduce the incidences of undesirable behaviour. These might include parenting courses in schools or less violence on television.</w:t>
      </w:r>
    </w:p>
    <w:p w14:paraId="3270E1CC" w14:textId="054152E5" w:rsidR="009D34D5" w:rsidRDefault="009D34D5" w:rsidP="009D34D5">
      <w:pPr>
        <w:pStyle w:val="ListParagraph"/>
        <w:numPr>
          <w:ilvl w:val="0"/>
          <w:numId w:val="6"/>
        </w:numPr>
      </w:pPr>
      <w:r>
        <w:t>Secondary, relates to groups or individuals who have a high risk of developing some undesirable behaviour. Influencing lives through programs aimed at preventing the risk from emerging or worsening. These might include enhanced care for the survivors of domestic abuse and their children or therapeutic programs in schools for disruptive students.</w:t>
      </w:r>
    </w:p>
    <w:p w14:paraId="37105812" w14:textId="5EF11816" w:rsidR="009D34D5" w:rsidRDefault="009D34D5" w:rsidP="009D34D5">
      <w:pPr>
        <w:pStyle w:val="ListParagraph"/>
        <w:numPr>
          <w:ilvl w:val="0"/>
          <w:numId w:val="6"/>
        </w:numPr>
      </w:pPr>
      <w:r>
        <w:t>Tertiary prevention, directed at preventing backsliding among identified offenders, isn’t discussed in the report (Brantingham, Faust, 1976, and Edelman, Rowe, 1983).</w:t>
      </w:r>
    </w:p>
    <w:p w14:paraId="2F319EA2" w14:textId="6235E3D3" w:rsidR="009D34D5" w:rsidRDefault="009D34D5" w:rsidP="009D34D5">
      <w:r>
        <w:t>Funding and adequate resources are required to tackle the issue from both sides, i.e. prevention through early and ongoing support for those deemed to be vulnerable/most at risk and detection and disruption of the criminal enterprises.</w:t>
      </w:r>
    </w:p>
    <w:p w14:paraId="09D9FEAD" w14:textId="4871FBB4" w:rsidR="009D34D5" w:rsidRDefault="009D34D5" w:rsidP="009D34D5">
      <w:r>
        <w:t>The Department of Education saw cuts in-excess of £103 million during 2013-2014 from all youth services; children's social care, family support, looked after children, youth justice etc. This means that more and more young people are falling through the cracks and the likelihood of them becoming involved in serious youth violence is increased dramatically (Foxcroft, 2016). All government departments and local authorities are struggling with diminishing resources, having to prioritise whilst reducing budgets and making cuts. Some government functions are legislated for.</w:t>
      </w:r>
    </w:p>
    <w:p w14:paraId="6CB98F1F" w14:textId="0B0BF9BC" w:rsidR="00A13BB3" w:rsidRDefault="009D34D5" w:rsidP="009D34D5">
      <w:r>
        <w:t>Word count: 1017</w:t>
      </w:r>
    </w:p>
    <w:p w14:paraId="30F108FC" w14:textId="77777777" w:rsidR="009D34D5" w:rsidRDefault="009D34D5" w:rsidP="009D34D5"/>
    <w:p w14:paraId="0BC8C2C2" w14:textId="2EE4022A" w:rsidR="00E3600E" w:rsidRDefault="00E3600E">
      <w:r>
        <w:br w:type="page"/>
      </w:r>
    </w:p>
    <w:p w14:paraId="452DBB21" w14:textId="39E439AE" w:rsidR="0083344D" w:rsidRPr="005338FB" w:rsidRDefault="0062686F" w:rsidP="0062686F">
      <w:pPr>
        <w:pStyle w:val="Heading2"/>
      </w:pPr>
      <w:r w:rsidRPr="005338FB">
        <w:lastRenderedPageBreak/>
        <w:t>Essay Three</w:t>
      </w:r>
      <w:r w:rsidR="00347DDC" w:rsidRPr="005338FB">
        <w:t xml:space="preserve"> – Vulnerability &amp; Risk</w:t>
      </w:r>
    </w:p>
    <w:p w14:paraId="7BCAE092" w14:textId="4A06B388" w:rsidR="00097CC6" w:rsidRDefault="00097CC6" w:rsidP="00097CC6">
      <w:r>
        <w:t>‘Why do young people offend’? Potentially a wide range of factors contribute to a young person committing crime, lack of maturity, peer pressure, victimisation, predisposition to risk taking and social economic/deprivation (Richards, 2011).</w:t>
      </w:r>
    </w:p>
    <w:p w14:paraId="3DE8B83C" w14:textId="7E2243D1" w:rsidR="00097CC6" w:rsidRDefault="00097CC6" w:rsidP="00097CC6">
      <w:r>
        <w:t>In their chaotic lives many have experienced trauma, abuse, bereavement, grown up in care, exclusion from school, drug or alcohol related dependencies and have mental health problems or personality disorders.</w:t>
      </w:r>
    </w:p>
    <w:p w14:paraId="6557DD52" w14:textId="039099D9" w:rsidR="00097CC6" w:rsidRDefault="00097CC6" w:rsidP="00097CC6">
      <w:r>
        <w:t>Fifteen to seventeen-year-olds account for 74% of the offending population while making up 36% of the ten - seventeen-year-olds in England and Wales (Gov.UK, 2024). Reoffending rates remain stubbornly high with over two thirds of children reoffending within twelve months of release showing the destructive cycle of crime young people fall into and struggle to get out of (Goodfellow P et al, (2015).</w:t>
      </w:r>
    </w:p>
    <w:p w14:paraId="06D6D207" w14:textId="5D6AC31E" w:rsidR="00097CC6" w:rsidRDefault="00097CC6" w:rsidP="00097CC6">
      <w:r>
        <w:t>Sanctions are ineffective, therefore greater resourcing should be targeted at early intervention targeting underlying social issues, family, school, and life experiences (Waller, Weiler, 1984).</w:t>
      </w:r>
    </w:p>
    <w:p w14:paraId="1F7AB0E7" w14:textId="63CC32F5" w:rsidR="00097CC6" w:rsidRDefault="00097CC6" w:rsidP="00097CC6">
      <w:r>
        <w:t>Under the Children’s Act 1989, and the Care Act 2014, the police service, working with other agencies like local authority adults and/or children’s care services, health and education services are responsible for making enquiries to safeguard and secure the welfare of any child or vulnerable adult (Legislation.gov.uk, 1989, 2014).</w:t>
      </w:r>
    </w:p>
    <w:p w14:paraId="216A99C1" w14:textId="2BCBD1C6" w:rsidR="00097CC6" w:rsidRDefault="00097CC6" w:rsidP="00097CC6">
      <w:r>
        <w:t>There are two main intervention methodologies: therapeutic and deterrence/discipline. HM Inspectorate for Probation reports varying degrees of success. Discipline style programmes being least effective whilst those focused on self-control and social competency being more effective at reducing offending (HM Inspectorate of Probation, 2023). Also borne out in research by (Ross et al, 2011).</w:t>
      </w:r>
    </w:p>
    <w:p w14:paraId="421821C3" w14:textId="453B5A91" w:rsidR="00097CC6" w:rsidRDefault="00097CC6" w:rsidP="00097CC6">
      <w:r>
        <w:t>Collaborative working is often the key to success e.g. a Multi-Agency Safeguarding Hub (MASH) whose fundamental purpose is to prevent harm to children and adults at risk and promote effective collaborative working and information sharing (Care Learning, 2024). However, a MASH initiative in Brisbane, Australia identified significant issues in this approach due to lack of shared philosophy/vision, objectives, role responsibility and blurred boundaries (Meyer, Mazerolle, 2014).</w:t>
      </w:r>
    </w:p>
    <w:p w14:paraId="0D560D48" w14:textId="110E4B04" w:rsidR="00097CC6" w:rsidRDefault="00097CC6" w:rsidP="00097CC6">
      <w:r>
        <w:t>Youth Offending Teams (YOTs) epitomise collaborative working. Their sole purpose being the prevention of children committing criminal offences. Formed of police, probation, and social services, the education sector, and health service, each strand bringing expertise and knowledge to the holistic approach that is required (Association of YOT Managers, n.d).</w:t>
      </w:r>
    </w:p>
    <w:p w14:paraId="673A886B" w14:textId="28C99FC1" w:rsidR="00097CC6" w:rsidRDefault="00097CC6" w:rsidP="00097CC6">
      <w:r>
        <w:t xml:space="preserve">Despite being the cornerstone in preventing youth reoffending their integration into Children’s Services has drawn criticism with core principles potentially forgotten in favour of safeguarding. The Youth Justice Board (YJB) prioritises education, </w:t>
      </w:r>
      <w:r w:rsidR="00065B8F">
        <w:t>training,</w:t>
      </w:r>
      <w:r>
        <w:t xml:space="preserve"> and employment of young people, one of their key performance indicators is to ensure at least 90% of young offenders are engaged in education, </w:t>
      </w:r>
      <w:r w:rsidR="00065B8F">
        <w:t>training,</w:t>
      </w:r>
      <w:r>
        <w:t xml:space="preserve"> or employment.</w:t>
      </w:r>
    </w:p>
    <w:p w14:paraId="39483D87" w14:textId="4D162FF4" w:rsidR="00097CC6" w:rsidRDefault="00097CC6" w:rsidP="00097CC6">
      <w:r>
        <w:t>A YJB report to identify barriers concluded that many young people in the youth justice systems experienced questionable practices by education establishments such as informal exclusions or inappropriate study leave. This appears to undermine the overall YJB objective of having young offenders in education. (Youth Justice Board, 2015).</w:t>
      </w:r>
    </w:p>
    <w:p w14:paraId="2E091A03" w14:textId="4B905679" w:rsidR="00097CC6" w:rsidRDefault="00097CC6" w:rsidP="00097CC6">
      <w:r>
        <w:lastRenderedPageBreak/>
        <w:t>Early engagement is often ineffective due to young people’s inconsistent participation and poor coordination between YOT’s, local learning councils and authorities, with no clear protocols or funding (Stephenson et al, 2006).</w:t>
      </w:r>
    </w:p>
    <w:p w14:paraId="29517CE8" w14:textId="7B52457B" w:rsidR="00097CC6" w:rsidRDefault="00097CC6" w:rsidP="00097CC6">
      <w:r>
        <w:t>The primary aim of all involved in the youth justice/youth offending arena is to avoid at all costs putting a young person through the criminal justice system. Young people feel that agencies are not meeting their needs when it comes to avoiding labels. Rosa Bramley, a young person from London sitting as a peer advocate at Camden Council summed it up when she said, “as a young person, knowing that there is a folder filled with information about me, labelling me, makes me feel scared, attacked, angry at the injustice and that I am just a statistic”. There is nothing that young people can do to change these labels or to remove them, so it’s up to the system to change its way of working.</w:t>
      </w:r>
    </w:p>
    <w:p w14:paraId="25E30C47" w14:textId="1E40849C" w:rsidR="00097CC6" w:rsidRDefault="00097CC6" w:rsidP="00097CC6">
      <w:r>
        <w:t>Police and other authorities tend to focus their attentions on this labelled subset. Evidence has demonstrated the further a young person is processed in the justice system the greater the likelihood of reoffending, especially for lower-risk young people, where the detrimental effect of additional system contact is possibly more influential (Justice Innovation, 2019).</w:t>
      </w:r>
    </w:p>
    <w:p w14:paraId="404265B5" w14:textId="25528FD1" w:rsidR="00097CC6" w:rsidRDefault="00097CC6" w:rsidP="00097CC6">
      <w:r>
        <w:t>A theory suggests that ‘labelling’ those being processed by the justice system may lead the ‘offender’ to view the label as some kind of status symbol encouraging involvement with other aberrant groups sharing the same ‘label</w:t>
      </w:r>
      <w:r w:rsidR="00065B8F">
        <w:t>,’</w:t>
      </w:r>
      <w:r>
        <w:t xml:space="preserve"> in turn leading to further offending. Labelling may trigger negative reactions from society diminishing access to legitimate opportunities for self-improvement (Becker, 1963).</w:t>
      </w:r>
    </w:p>
    <w:p w14:paraId="3BC175D9" w14:textId="31949C38" w:rsidR="00097CC6" w:rsidRDefault="00097CC6" w:rsidP="00097CC6">
      <w:r>
        <w:t>Factors that can increase multi-agency collaboration are targeted support, long term commitment and positive relationships. Targeted support has shown increased effectiveness as it better support the individual needs of the recipient rather than a broad-brush universal approach – one size doesn’t fit all!</w:t>
      </w:r>
    </w:p>
    <w:p w14:paraId="3EB3887A" w14:textId="2D39CFCF" w:rsidR="00097CC6" w:rsidRDefault="00097CC6" w:rsidP="00097CC6">
      <w:r>
        <w:t>Selected intervention is a broad approach looking at a range of risk factors such as low income, ethnic minority status or adolescent parenthood, these kinds of interventions prevent more serious issues from occurring. Children that grow up in this kind of household may not suffer from any issues.</w:t>
      </w:r>
    </w:p>
    <w:p w14:paraId="5319B513" w14:textId="1DE60C45" w:rsidR="00097CC6" w:rsidRDefault="00097CC6" w:rsidP="00097CC6">
      <w:r>
        <w:t>Indicated interventions are for those people who have an identified need/problem that requires more intensive input from service providers. In these cases, the problems have already occurred and can no longer be prevented. Instead, the focus is on minimising the impact on the young person, their family and wider society (Early Intervention Foundation, n.d).</w:t>
      </w:r>
    </w:p>
    <w:p w14:paraId="099A6BE1" w14:textId="1D718544" w:rsidR="00097CC6" w:rsidRDefault="00097CC6" w:rsidP="00097CC6">
      <w:r>
        <w:t>While early intervention is an effective means at preventing young people from offending, its effectiveness is hindered by lack of funding and resource. The statistics speak for themselves, in London between 2011 and 2017 upwards of £22 million was cut from youth budgets alone, councils have reduced funding to youth services by 36% and 12,700 places for young people have been lost (Berry, 2017).</w:t>
      </w:r>
    </w:p>
    <w:p w14:paraId="3FF40770" w14:textId="1FDF51B8" w:rsidR="00097CC6" w:rsidRDefault="00097CC6" w:rsidP="00097CC6">
      <w:r>
        <w:t xml:space="preserve">Changes in government/local authority priorities can impact where resources are targeted, i.e. if knife crime is receiving public attention, does this then mean that efforts to reduce alcohol and drug dependency take a back seat? Differing agency priorities and pressures could adversely affect the overall outcome of multi-agency working which requires clear leadership, </w:t>
      </w:r>
      <w:r w:rsidR="00065B8F">
        <w:t>vison,</w:t>
      </w:r>
      <w:r>
        <w:t xml:space="preserve"> and purpose.</w:t>
      </w:r>
    </w:p>
    <w:p w14:paraId="70D866B1" w14:textId="020D4630" w:rsidR="00097CC6" w:rsidRDefault="00097CC6" w:rsidP="00097CC6">
      <w:r>
        <w:lastRenderedPageBreak/>
        <w:t>When the system fails there can be very public and very tragic consequences, as in the brutal murders of three young girls in Southport by Axel Rudakabana in July 2024. This has already broadly been attributed to the failure of multi-agency interventions. The result of this is that a public inquiry has been announced by the current government (Vaughan, 2025).</w:t>
      </w:r>
    </w:p>
    <w:p w14:paraId="6BC16AEC" w14:textId="4ECD0EB7" w:rsidR="00E3600E" w:rsidRDefault="00097CC6" w:rsidP="00E3600E">
      <w:r>
        <w:t>Word count: 1066</w:t>
      </w:r>
    </w:p>
    <w:p w14:paraId="2812A05A" w14:textId="77777777" w:rsidR="00097CC6" w:rsidRPr="005338FB" w:rsidRDefault="00097CC6" w:rsidP="00E3600E"/>
    <w:p w14:paraId="13E5926C" w14:textId="6A1E89CC" w:rsidR="00D7123B" w:rsidRPr="005338FB" w:rsidRDefault="00D7123B" w:rsidP="001B552F">
      <w:pPr>
        <w:pStyle w:val="Heading2"/>
      </w:pPr>
      <w:r w:rsidRPr="005338FB">
        <w:br w:type="page"/>
      </w:r>
    </w:p>
    <w:p w14:paraId="6C121A73" w14:textId="632B0CE5" w:rsidR="00683AA6" w:rsidRDefault="00683AA6" w:rsidP="00683AA6">
      <w:pPr>
        <w:pStyle w:val="Heading2"/>
      </w:pPr>
      <w:r w:rsidRPr="005338FB">
        <w:lastRenderedPageBreak/>
        <w:t>Essay Four</w:t>
      </w:r>
    </w:p>
    <w:p w14:paraId="6D8CCF2C" w14:textId="11CDF590" w:rsidR="0059748E" w:rsidRDefault="0059748E" w:rsidP="0059748E">
      <w:r>
        <w:t xml:space="preserve">A diverse workplace has, until recently meant having colleagues from different races, ethnicities, ages, </w:t>
      </w:r>
      <w:r w:rsidR="00065B8F">
        <w:t>faith,</w:t>
      </w:r>
      <w:r>
        <w:t xml:space="preserve"> or sexual orientations. Whilst accepting the traditional perception of diversity, the modern workforce now embraces colleagues with differences in education, personality, </w:t>
      </w:r>
      <w:r w:rsidR="00065B8F">
        <w:t>experience,</w:t>
      </w:r>
      <w:r>
        <w:t xml:space="preserve"> and skill sets (Fazylova, 2025).</w:t>
      </w:r>
    </w:p>
    <w:p w14:paraId="4046C316" w14:textId="0AC59DB5" w:rsidR="0059748E" w:rsidRDefault="0059748E" w:rsidP="0059748E">
      <w:r>
        <w:t>A diverse and inclusive workforce has tangible benefits for the employer, potentially making the organisation more successful by keeping employees happy and motivated, preventing serious legal issues such as bullying, harassment, and discrimination. Moreover, it helps serve a diverse range of stakeholders, improves ideas and problem-solving, and attracts and retains good staff (ACAS n.d).</w:t>
      </w:r>
    </w:p>
    <w:p w14:paraId="0A3ECFD6" w14:textId="5A3FE299" w:rsidR="0059748E" w:rsidRDefault="0059748E" w:rsidP="0059748E">
      <w:r>
        <w:t>Modern policing was founded in 1829 by Sir Robert Peel, with only men being employed. Almost a hundred years later one hundred and ten women but weren’t given the power to arrest and had to work in pairs with male officers not far behind them (London Museum, n.d).</w:t>
      </w:r>
    </w:p>
    <w:p w14:paraId="7AF98B2B" w14:textId="5FE4EA1C" w:rsidR="0059748E" w:rsidRDefault="0059748E" w:rsidP="0059748E">
      <w:r>
        <w:t>The MacPherson report suggested removing height restrictions, arguing that they discriminate against those of ethnic backgrounds who are genetically predisposed to be shorter than average (MacPherson, 1999). By limiting recruits to a minimum height requirement, swathes of people, were excluded from policing (Young, 1976).</w:t>
      </w:r>
    </w:p>
    <w:p w14:paraId="5067B93B" w14:textId="6BF62EE7" w:rsidR="0059748E" w:rsidRDefault="0059748E" w:rsidP="0059748E">
      <w:r>
        <w:t>The work of the police has changed dramatically since its inception. Recruiting criteria should therefore reflect this. Specialists in forensic science or financial crime are essential to police work; a person’s height is irrelevant to their ability to perform these functions.</w:t>
      </w:r>
    </w:p>
    <w:p w14:paraId="65160AAE" w14:textId="5E7241FC" w:rsidR="0059748E" w:rsidRDefault="0059748E" w:rsidP="0059748E">
      <w:r>
        <w:t>The title Women Police Constable (WPC) was dropped in 1999 to promote gender equality within the service, fostering a more inclusive work environment. This shift was part of a broader movement toward gender-neutral terminology in various sectors (Brainly.Com n.d).</w:t>
      </w:r>
    </w:p>
    <w:p w14:paraId="5A9A85AD" w14:textId="605A5A4E" w:rsidR="0059748E" w:rsidRDefault="0059748E" w:rsidP="0059748E">
      <w:r>
        <w:t>By 31 March 2024 in England and Wales 35% of front-line officers were female and 8% from an ethnic minority (Allen, Wong, 2024), with 51% of the population being female there is still room for improvement (Office for National Statistics, 2023).</w:t>
      </w:r>
    </w:p>
    <w:p w14:paraId="2DB41AA2" w14:textId="0547428C" w:rsidR="0059748E" w:rsidRDefault="0059748E" w:rsidP="0059748E">
      <w:r>
        <w:t>Attracting people from diverse backgrounds has required the service to make careful use of positive action legislation which allows recruiters to deliver targeted recruitment, directing their efforts towards Black and minority ethnic and female candidates. Greater Manchester Police has achieved considerable success adopting this methodology (Alogba, 2020).</w:t>
      </w:r>
    </w:p>
    <w:p w14:paraId="3A549E18" w14:textId="19D0B108" w:rsidR="0059748E" w:rsidRDefault="0059748E" w:rsidP="0059748E">
      <w:r>
        <w:t>Statistically, more than one in three people don’t see themselves as represented by their local force, this figure increases to 36% among Black people and 50% among those from mixed/multiple ethnic groups, 33% of people who identify as LGTMQ+ feel the lack of representation within the local force is damaging their relationships with them (The University of Law, 2023).</w:t>
      </w:r>
    </w:p>
    <w:p w14:paraId="06C4C725" w14:textId="76242DE9" w:rsidR="0059748E" w:rsidRDefault="0059748E" w:rsidP="0059748E">
      <w:r>
        <w:t>Religious beliefs and symbols are also a powerful social identity that bond people to a group, promoting feelings of belonging. However, if these symbols or beliefs are threatened strong emotions and behaviours can be provoked (Ysseldyk, Matheson, Anisman, (2010).</w:t>
      </w:r>
    </w:p>
    <w:p w14:paraId="35BD9610" w14:textId="650231B6" w:rsidR="0059748E" w:rsidRDefault="0059748E" w:rsidP="0059748E">
      <w:r>
        <w:t>As the Muslim community grows in the UK (ONS, 2021), it’s essential to examine their relationship with the police. Engagement with Muslim communities includes general and specialized anti-terrorism strategies, but this has encountered challenges.</w:t>
      </w:r>
    </w:p>
    <w:p w14:paraId="449D189E" w14:textId="203A0CE1" w:rsidR="0059748E" w:rsidRDefault="0059748E" w:rsidP="0059748E">
      <w:r>
        <w:lastRenderedPageBreak/>
        <w:t>Ideological concerns also arise, the merging of community engagement with anti-terrorism efforts has led to suspicion among Muslim citizens, who often view the "war on terror" as a "war on Islam", thereby undermining community policing (Spalek, Imtoual, 2007; Spalek, 2010; Choudhury, Fenwick, 2011).</w:t>
      </w:r>
    </w:p>
    <w:p w14:paraId="2752035E" w14:textId="6E0CCD95" w:rsidR="0059748E" w:rsidRDefault="0059748E" w:rsidP="0059748E">
      <w:r>
        <w:t>As a result, challenges in police legitimacy and practical issues make engaging with Muslim communities difficult (Bullock, Johnson, 2018).</w:t>
      </w:r>
    </w:p>
    <w:p w14:paraId="17372174" w14:textId="7C37AFA8" w:rsidR="0059748E" w:rsidRDefault="0059748E" w:rsidP="0059748E">
      <w:r>
        <w:t>Prior to 2016 forces weren’t required to include Gypsy, Roma, Traveller’s (GRT) in their diversity data capture. A Freedom of Information Request from ‘The Traveller Movement’ highlighted that 71% of forces don’t record an officer’s identity as being from the GRT community. Only 10% of the forces that responded employee staff from the GRT community (The Traveller Movement, 2016).</w:t>
      </w:r>
    </w:p>
    <w:p w14:paraId="7B1AAEF1" w14:textId="7F5ABAD6" w:rsidR="0059748E" w:rsidRDefault="0059748E" w:rsidP="0059748E">
      <w:r>
        <w:t>Only 0.3% of the population identify as coming from a GRT background, while a minute proportion of the population, it’s as valid as other communities and should still be considered by the police (Barton, Zayed, 2024).</w:t>
      </w:r>
    </w:p>
    <w:p w14:paraId="746151B8" w14:textId="5F9FCBFC" w:rsidR="0059748E" w:rsidRDefault="0059748E" w:rsidP="0059748E">
      <w:r>
        <w:t>The Police Complaints Authority (PCA) were dismayed that officers, on/off duty, continue to use offensive language and stereotypes regarding ’travellers</w:t>
      </w:r>
      <w:r w:rsidR="00065B8F">
        <w:t>,’</w:t>
      </w:r>
      <w:r>
        <w:t xml:space="preserve"> such behaviour being incompatible with ethical and respectful policing. If evidenced it could invariably result in formal misconduct action (Coxhead, 2004).</w:t>
      </w:r>
    </w:p>
    <w:p w14:paraId="22A36E46" w14:textId="0B36E0B7" w:rsidR="0059748E" w:rsidRDefault="0059748E" w:rsidP="0059748E">
      <w:r>
        <w:t xml:space="preserve">Homosexuality was illegal in the UK until 1967. Not until 2001 was age of consent equality achieved in England, </w:t>
      </w:r>
      <w:r w:rsidR="00065B8F">
        <w:t>Scotland,</w:t>
      </w:r>
      <w:r>
        <w:t xml:space="preserve"> and Wales. Even in 2025 there’s still work to be done concerning people who identify as transgender (LGBTQ+ n.d).</w:t>
      </w:r>
    </w:p>
    <w:p w14:paraId="5096C034" w14:textId="7B6897EE" w:rsidR="0059748E" w:rsidRDefault="0059748E" w:rsidP="0059748E">
      <w:r>
        <w:t>The police profession can be prone to discriminating against sexual minorities due to its history of enforcing anti-homosexual laws, rank-based structure, and male-dominated culture. These factors may promote/reinforce norms hostile to LGBTQ+ officers (Thompson, Nored, 2002).</w:t>
      </w:r>
    </w:p>
    <w:p w14:paraId="536533E2" w14:textId="76998B34" w:rsidR="0059748E" w:rsidRDefault="0059748E" w:rsidP="0059748E">
      <w:r>
        <w:t>Disclosure of sexual orientation to colleagues may affect job motivation and satisfaction personal health and wellbeing, as well as interpersonal relationships within the force (Rumens, Broomfield, 2012). Officers who choose not to disclose their sexual orientation often fear reprisal, rejection, offensive jokes, pranks, and overt harassment and discrimination (Hassell, Brandt, (2009).</w:t>
      </w:r>
    </w:p>
    <w:p w14:paraId="6C8439B1" w14:textId="77777777" w:rsidR="0059748E" w:rsidRDefault="0059748E" w:rsidP="0059748E">
      <w:r>
        <w:t>Surveys have highlighted that for LGBTQ+ victims, contact with police too often results in them being ridiculed, laughed at, misgendered, oversexualised and belittled (Girardi, 2021).</w:t>
      </w:r>
    </w:p>
    <w:p w14:paraId="2FAFF0C0" w14:textId="7B7E52EE" w:rsidR="0059748E" w:rsidRDefault="0059748E" w:rsidP="0059748E">
      <w:r>
        <w:t>Relationships between the police and the LGBTQIA+ community appear strained at best and are at worst traumatizing.</w:t>
      </w:r>
    </w:p>
    <w:p w14:paraId="0C43C4A0" w14:textId="38407D35" w:rsidR="0059748E" w:rsidRDefault="0059748E" w:rsidP="0059748E">
      <w:r>
        <w:t>Improving diversity in the police isn’t as simple as employing more staff from diverse backgrounds. Stakeholders nationwide are working tirelessly to make the police service a more inclusive and diverse service. However, the Met Police continues to struggle to reflect modern London, where 20% of residents don’t use English as their first language, but 82% of the Met’s officers are white.</w:t>
      </w:r>
    </w:p>
    <w:p w14:paraId="4F6972F8" w14:textId="1D1020C4" w:rsidR="0059748E" w:rsidRDefault="0059748E" w:rsidP="0059748E">
      <w:r>
        <w:t>Inspector Ehikoya, himself a Black officer, was dismissed for making racist remarks. To rub salt into the wounds Inspector Ehikoya was head of the Met’s Black Police Association (MBPA). His comments flew in the face of the standards of professional behaviour required of officers (Kelly 2025).</w:t>
      </w:r>
    </w:p>
    <w:p w14:paraId="29B3DC25" w14:textId="0EC5AFC3" w:rsidR="0059748E" w:rsidRDefault="0059748E" w:rsidP="0059748E">
      <w:r>
        <w:lastRenderedPageBreak/>
        <w:t>Discrimination is reportedly ingrained in the Met’s culture (Employers Initiative on Domestic Abuse, 2023). Behaviour like this undermines the work to enable Black and Ethnic minorities to feel seen and heard. Such actions will deter minority groups from engaging with the police service.</w:t>
      </w:r>
    </w:p>
    <w:p w14:paraId="54AD8841" w14:textId="60D73486" w:rsidR="0059748E" w:rsidRDefault="0059748E" w:rsidP="0059748E">
      <w:r>
        <w:t>You can legislate and prescribe policies and procedures, its societal and behavioural changes that need to happen to win ‘hearts and minds</w:t>
      </w:r>
      <w:r w:rsidR="00065B8F">
        <w:t>.’</w:t>
      </w:r>
    </w:p>
    <w:p w14:paraId="7FD53C1F" w14:textId="2051030D" w:rsidR="00D7123B" w:rsidRDefault="0059748E" w:rsidP="0059748E">
      <w:r>
        <w:t>Word Count: 1026</w:t>
      </w:r>
    </w:p>
    <w:p w14:paraId="639E27BE" w14:textId="6CB87496" w:rsidR="006E0868" w:rsidRDefault="006E0868" w:rsidP="004069C6"/>
    <w:p w14:paraId="1CAB5123" w14:textId="73545A51" w:rsidR="006E0868" w:rsidRDefault="006E0868">
      <w:r>
        <w:br w:type="page"/>
      </w:r>
    </w:p>
    <w:p w14:paraId="7449F9DB" w14:textId="61B3BDFB" w:rsidR="005B03DC" w:rsidRDefault="00065B8F" w:rsidP="00065B8F">
      <w:pPr>
        <w:pStyle w:val="Heading2"/>
      </w:pPr>
      <w:r>
        <w:lastRenderedPageBreak/>
        <w:t xml:space="preserve">Bibliography </w:t>
      </w:r>
    </w:p>
    <w:p w14:paraId="624F667C" w14:textId="77777777" w:rsidR="00065B8F" w:rsidRPr="00065B8F" w:rsidRDefault="00065B8F" w:rsidP="00065B8F">
      <w:r w:rsidRPr="00065B8F">
        <w:rPr>
          <w:i/>
          <w:iCs/>
        </w:rPr>
        <w:t>Baroness Casey Review of the Metropolitan Police: Key Findings and Recommendations</w:t>
      </w:r>
      <w:r w:rsidRPr="00065B8F">
        <w:t> (2023</w:t>
      </w:r>
      <w:proofErr w:type="gramStart"/>
      <w:r w:rsidRPr="00065B8F">
        <w:t>) .</w:t>
      </w:r>
      <w:proofErr w:type="gramEnd"/>
    </w:p>
    <w:p w14:paraId="1B1B9C6F" w14:textId="77777777" w:rsidR="00065B8F" w:rsidRPr="00065B8F" w:rsidRDefault="00065B8F" w:rsidP="00065B8F">
      <w:r w:rsidRPr="00065B8F">
        <w:rPr>
          <w:i/>
          <w:iCs/>
        </w:rPr>
        <w:t>Modern Slavery Act </w:t>
      </w:r>
      <w:r w:rsidRPr="00065B8F">
        <w:t>(SI year and number). Available at: </w:t>
      </w:r>
      <w:hyperlink r:id="rId8" w:tgtFrame="_blank" w:history="1">
        <w:r w:rsidRPr="00065B8F">
          <w:rPr>
            <w:rStyle w:val="Hyperlink"/>
          </w:rPr>
          <w:t>https://www.legislation.gov.uk/ukpga/2015/30/contents</w:t>
        </w:r>
      </w:hyperlink>
      <w:r w:rsidRPr="00065B8F">
        <w:t> (Accessed: .</w:t>
      </w:r>
    </w:p>
    <w:p w14:paraId="0D4D0BB2" w14:textId="77777777" w:rsidR="00065B8F" w:rsidRPr="00065B8F" w:rsidRDefault="00065B8F" w:rsidP="00065B8F">
      <w:r w:rsidRPr="00065B8F">
        <w:rPr>
          <w:i/>
          <w:iCs/>
        </w:rPr>
        <w:t>Care Act 2014 </w:t>
      </w:r>
      <w:r w:rsidRPr="00065B8F">
        <w:t>(SI year and number). Available at: </w:t>
      </w:r>
      <w:hyperlink r:id="rId9" w:tgtFrame="_blank" w:history="1">
        <w:r w:rsidRPr="00065B8F">
          <w:rPr>
            <w:rStyle w:val="Hyperlink"/>
          </w:rPr>
          <w:t>https://www.legislation.gov.uk/ukpga/2014/23/contents</w:t>
        </w:r>
      </w:hyperlink>
      <w:r w:rsidRPr="00065B8F">
        <w:t> (Accessed: .</w:t>
      </w:r>
    </w:p>
    <w:p w14:paraId="5FC65612" w14:textId="77777777" w:rsidR="00065B8F" w:rsidRPr="00065B8F" w:rsidRDefault="00065B8F" w:rsidP="00065B8F">
      <w:r w:rsidRPr="00065B8F">
        <w:rPr>
          <w:i/>
          <w:iCs/>
        </w:rPr>
        <w:t>Children's Act 1989 </w:t>
      </w:r>
      <w:r w:rsidRPr="00065B8F">
        <w:t>(SI year and number). Available at: </w:t>
      </w:r>
      <w:hyperlink r:id="rId10" w:tgtFrame="_blank" w:history="1">
        <w:r w:rsidRPr="00065B8F">
          <w:rPr>
            <w:rStyle w:val="Hyperlink"/>
          </w:rPr>
          <w:t>https://www.legislation.gov.uk/ukpga/1989/41/contents</w:t>
        </w:r>
      </w:hyperlink>
      <w:r w:rsidRPr="00065B8F">
        <w:t> (Accessed: .</w:t>
      </w:r>
    </w:p>
    <w:p w14:paraId="56E0E966" w14:textId="77777777" w:rsidR="00065B8F" w:rsidRPr="00065B8F" w:rsidRDefault="00065B8F" w:rsidP="00065B8F">
      <w:r w:rsidRPr="00065B8F">
        <w:t>ACAS </w:t>
      </w:r>
      <w:r w:rsidRPr="00065B8F">
        <w:rPr>
          <w:i/>
          <w:iCs/>
        </w:rPr>
        <w:t>Improving Diversity and Inclusion. </w:t>
      </w:r>
      <w:r w:rsidRPr="00065B8F">
        <w:t>Available at: </w:t>
      </w:r>
      <w:hyperlink r:id="rId11" w:tgtFrame="_blank" w:history="1">
        <w:r w:rsidRPr="00065B8F">
          <w:rPr>
            <w:rStyle w:val="Hyperlink"/>
          </w:rPr>
          <w:t>https://www.acas.org.uk/improving-equality-diversity-and-inclusion</w:t>
        </w:r>
      </w:hyperlink>
      <w:r w:rsidRPr="00065B8F">
        <w:t> (Accessed: .</w:t>
      </w:r>
    </w:p>
    <w:p w14:paraId="0D66C75F" w14:textId="77777777" w:rsidR="00065B8F" w:rsidRPr="00065B8F" w:rsidRDefault="00065B8F" w:rsidP="00065B8F">
      <w:r w:rsidRPr="00065B8F">
        <w:t>Allen G, &amp;. and Wong H (2024) </w:t>
      </w:r>
      <w:r w:rsidRPr="00065B8F">
        <w:rPr>
          <w:i/>
          <w:iCs/>
        </w:rPr>
        <w:t>Police Service Strength. </w:t>
      </w:r>
      <w:r w:rsidRPr="00065B8F">
        <w:t>Available at: </w:t>
      </w:r>
      <w:hyperlink r:id="rId12" w:tgtFrame="_blank" w:history="1">
        <w:r w:rsidRPr="00065B8F">
          <w:rPr>
            <w:rStyle w:val="Hyperlink"/>
          </w:rPr>
          <w:t>https://researchbriefings.files.parliament.uk/documents/SN00634/SN00634.pdf</w:t>
        </w:r>
      </w:hyperlink>
      <w:r w:rsidRPr="00065B8F">
        <w:t> [ (Accessed: .</w:t>
      </w:r>
    </w:p>
    <w:p w14:paraId="3AFB4EC5" w14:textId="77777777" w:rsidR="00065B8F" w:rsidRPr="00065B8F" w:rsidRDefault="00065B8F" w:rsidP="00065B8F">
      <w:r w:rsidRPr="00065B8F">
        <w:t>Alleyne E and Wood J (2014) 'Gang involvement social and environmental factors', </w:t>
      </w:r>
      <w:r w:rsidRPr="00065B8F">
        <w:rPr>
          <w:i/>
          <w:iCs/>
        </w:rPr>
        <w:t>Crime and Delinquency, </w:t>
      </w:r>
      <w:r w:rsidRPr="00065B8F">
        <w:t>60(4) Available at: </w:t>
      </w:r>
      <w:hyperlink r:id="rId13" w:tgtFrame="_blank" w:history="1">
        <w:r w:rsidRPr="00065B8F">
          <w:rPr>
            <w:rStyle w:val="Hyperlink"/>
          </w:rPr>
          <w:t>https://doi.org/10.1177/0011128711398029</w:t>
        </w:r>
      </w:hyperlink>
      <w:r w:rsidRPr="00065B8F">
        <w:t>.</w:t>
      </w:r>
    </w:p>
    <w:p w14:paraId="5609AB70" w14:textId="77777777" w:rsidR="00065B8F" w:rsidRPr="00065B8F" w:rsidRDefault="00065B8F" w:rsidP="00065B8F">
      <w:r w:rsidRPr="00065B8F">
        <w:t>Alogba, T. (2020) </w:t>
      </w:r>
      <w:r w:rsidRPr="00065B8F">
        <w:rPr>
          <w:i/>
          <w:iCs/>
        </w:rPr>
        <w:t>Recruiting for Diversity</w:t>
      </w:r>
      <w:r w:rsidRPr="00065B8F">
        <w:t>.</w:t>
      </w:r>
    </w:p>
    <w:p w14:paraId="4C02D9A7" w14:textId="77777777" w:rsidR="00065B8F" w:rsidRPr="00065B8F" w:rsidRDefault="00065B8F" w:rsidP="00065B8F">
      <w:r w:rsidRPr="00065B8F">
        <w:t>Annan L, Gaoua N, Mileva K, and Borges M (2001) 'What makes young people get involved with street gangs in London? A study of the perceived risk factors', </w:t>
      </w:r>
      <w:r w:rsidRPr="00065B8F">
        <w:rPr>
          <w:i/>
          <w:iCs/>
        </w:rPr>
        <w:t>Journal of Community Psychology, </w:t>
      </w:r>
      <w:r w:rsidRPr="00065B8F">
        <w:t>50(5), pp. 2198–2213 Available at: </w:t>
      </w:r>
      <w:hyperlink r:id="rId14" w:tgtFrame="_blank" w:history="1">
        <w:r w:rsidRPr="00065B8F">
          <w:rPr>
            <w:rStyle w:val="Hyperlink"/>
          </w:rPr>
          <w:t>https://doi.org/10.1002/jcop.22767</w:t>
        </w:r>
      </w:hyperlink>
      <w:r w:rsidRPr="00065B8F">
        <w:t>.</w:t>
      </w:r>
    </w:p>
    <w:p w14:paraId="2464C013" w14:textId="77777777" w:rsidR="00065B8F" w:rsidRPr="00065B8F" w:rsidRDefault="00065B8F" w:rsidP="00065B8F">
      <w:r w:rsidRPr="00065B8F">
        <w:t xml:space="preserve">Association of YOT and </w:t>
      </w:r>
      <w:proofErr w:type="spellStart"/>
      <w:r w:rsidRPr="00065B8F">
        <w:t>Managers&amp;nbsp</w:t>
      </w:r>
      <w:proofErr w:type="spellEnd"/>
      <w:r w:rsidRPr="00065B8F">
        <w:t> </w:t>
      </w:r>
      <w:r w:rsidRPr="00065B8F">
        <w:rPr>
          <w:i/>
          <w:iCs/>
        </w:rPr>
        <w:t>YOTs – What are they. </w:t>
      </w:r>
      <w:r w:rsidRPr="00065B8F">
        <w:t>Available at: </w:t>
      </w:r>
      <w:hyperlink r:id="rId15" w:anchor=":~:text=Youth%20Offending%20Teams%20%28YOTs%29%20were%20created%20by%20the,people%20who%20commit%20criminal%20offences%20and%20their%20families" w:tgtFrame="_blank" w:history="1">
        <w:r w:rsidRPr="00065B8F">
          <w:rPr>
            <w:rStyle w:val="Hyperlink"/>
          </w:rPr>
          <w:t>https://aym.org.uk/yots/#:~:text=Youth%20Offending%20Teams%20%28YOTs%29%20were%20created%20by%20the,people%20who%20commit%20criminal%20offences%20and%20their%20families</w:t>
        </w:r>
      </w:hyperlink>
      <w:r w:rsidRPr="00065B8F">
        <w:t> (Accessed: .</w:t>
      </w:r>
    </w:p>
    <w:p w14:paraId="48295BAA" w14:textId="77777777" w:rsidR="00065B8F" w:rsidRPr="00065B8F" w:rsidRDefault="00065B8F" w:rsidP="00065B8F">
      <w:r w:rsidRPr="00065B8F">
        <w:t>Awan, I., Brookes, M., Powell, M. and Stanwell, S. (2018) 'Understanding the public perception and satisfaction of a UK police constabulary', </w:t>
      </w:r>
      <w:r w:rsidRPr="00065B8F">
        <w:rPr>
          <w:i/>
          <w:iCs/>
        </w:rPr>
        <w:t>Police Practice and Research, </w:t>
      </w:r>
      <w:r w:rsidRPr="00065B8F">
        <w:t>20(2) Available at: </w:t>
      </w:r>
      <w:hyperlink r:id="rId16" w:tgtFrame="_blank" w:history="1">
        <w:r w:rsidRPr="00065B8F">
          <w:rPr>
            <w:rStyle w:val="Hyperlink"/>
          </w:rPr>
          <w:t>https://doi.org/10.1080/15614263.2018.1428098</w:t>
        </w:r>
      </w:hyperlink>
      <w:r w:rsidRPr="00065B8F">
        <w:t>.</w:t>
      </w:r>
    </w:p>
    <w:p w14:paraId="75AE5C86" w14:textId="77777777" w:rsidR="00065B8F" w:rsidRPr="00065B8F" w:rsidRDefault="00065B8F" w:rsidP="00065B8F">
      <w:r w:rsidRPr="00065B8F">
        <w:t>Barton C, and Zayed Y (2024) </w:t>
      </w:r>
      <w:r w:rsidRPr="00065B8F">
        <w:rPr>
          <w:i/>
          <w:iCs/>
        </w:rPr>
        <w:t xml:space="preserve">Gypsies, Roma and Travellers: </w:t>
      </w:r>
      <w:proofErr w:type="gramStart"/>
      <w:r w:rsidRPr="00065B8F">
        <w:rPr>
          <w:i/>
          <w:iCs/>
        </w:rPr>
        <w:t>Statistics,</w:t>
      </w:r>
      <w:r w:rsidRPr="00065B8F">
        <w:t>.</w:t>
      </w:r>
      <w:proofErr w:type="gramEnd"/>
    </w:p>
    <w:p w14:paraId="3D2083BB" w14:textId="77777777" w:rsidR="00065B8F" w:rsidRPr="00065B8F" w:rsidRDefault="00065B8F" w:rsidP="00065B8F">
      <w:r w:rsidRPr="00065B8F">
        <w:t>Becker H (1963) </w:t>
      </w:r>
      <w:r w:rsidRPr="00065B8F">
        <w:rPr>
          <w:i/>
          <w:iCs/>
        </w:rPr>
        <w:t>Outsiders: Studies in the Sociology of Deviance.</w:t>
      </w:r>
    </w:p>
    <w:p w14:paraId="236A6AF0" w14:textId="77777777" w:rsidR="00065B8F" w:rsidRPr="00065B8F" w:rsidRDefault="00065B8F" w:rsidP="00065B8F">
      <w:r w:rsidRPr="00065B8F">
        <w:t>Berry S (2017) </w:t>
      </w:r>
      <w:r w:rsidRPr="00065B8F">
        <w:rPr>
          <w:i/>
          <w:iCs/>
        </w:rPr>
        <w:t>London’s Lost youth Services, The dramatic disappearance of support and facilities, for young people in London. </w:t>
      </w:r>
      <w:r w:rsidRPr="00065B8F">
        <w:t>Available at: </w:t>
      </w:r>
      <w:hyperlink r:id="rId17" w:tgtFrame="_blank" w:history="1">
        <w:r w:rsidRPr="00065B8F">
          <w:rPr>
            <w:rStyle w:val="Hyperlink"/>
          </w:rPr>
          <w:t>https://www.london.gov.uk/sites/default/files/london_lost_youth_services_sian_berry_jan2017.pdf</w:t>
        </w:r>
      </w:hyperlink>
      <w:r w:rsidRPr="00065B8F">
        <w:t> (Accessed: .</w:t>
      </w:r>
    </w:p>
    <w:p w14:paraId="44953009" w14:textId="77777777" w:rsidR="00065B8F" w:rsidRPr="00065B8F" w:rsidRDefault="00065B8F" w:rsidP="00065B8F">
      <w:r w:rsidRPr="00065B8F">
        <w:t>Body Camera UK </w:t>
      </w:r>
      <w:r w:rsidRPr="00065B8F">
        <w:rPr>
          <w:i/>
          <w:iCs/>
        </w:rPr>
        <w:t>Benefits of Body Worn Video, 5 Main Reasons why Body Worn Video works for law enforcement, private security firms and emergency services, </w:t>
      </w:r>
      <w:r w:rsidRPr="00065B8F">
        <w:t>Available at: </w:t>
      </w:r>
      <w:hyperlink r:id="rId18" w:tgtFrame="_blank" w:history="1">
        <w:r w:rsidRPr="00065B8F">
          <w:rPr>
            <w:rStyle w:val="Hyperlink"/>
          </w:rPr>
          <w:t>https://www.bodycamera.co.uk/pages/about-body-worn-video</w:t>
        </w:r>
      </w:hyperlink>
      <w:r w:rsidRPr="00065B8F">
        <w:t> (Accessed: .</w:t>
      </w:r>
    </w:p>
    <w:p w14:paraId="2A60A19D" w14:textId="77777777" w:rsidR="00065B8F" w:rsidRPr="00065B8F" w:rsidRDefault="00065B8F" w:rsidP="00065B8F">
      <w:r w:rsidRPr="00065B8F">
        <w:t>Brantingham P, &amp;. and Faust F (1976) 'A conceptual model of crime prevention', </w:t>
      </w:r>
      <w:r w:rsidRPr="00065B8F">
        <w:rPr>
          <w:i/>
          <w:iCs/>
        </w:rPr>
        <w:t>Crime and Delinquency, </w:t>
      </w:r>
      <w:r w:rsidRPr="00065B8F">
        <w:t>22(3), pp. 284 Available at: </w:t>
      </w:r>
      <w:hyperlink r:id="rId19" w:tgtFrame="_blank" w:history="1">
        <w:r w:rsidRPr="00065B8F">
          <w:rPr>
            <w:rStyle w:val="Hyperlink"/>
          </w:rPr>
          <w:t>https://doi.org/10.</w:t>
        </w:r>
      </w:hyperlink>
      <w:r w:rsidRPr="00065B8F">
        <w:t> 1177/001112877602200302,.</w:t>
      </w:r>
    </w:p>
    <w:p w14:paraId="5824BD6E" w14:textId="77777777" w:rsidR="00065B8F" w:rsidRPr="00065B8F" w:rsidRDefault="00065B8F" w:rsidP="00065B8F">
      <w:r w:rsidRPr="00065B8F">
        <w:lastRenderedPageBreak/>
        <w:t>Bullock K, and Johnson P (2018) 'Police Engagement with Muslim Communities: Breaking Out, Breaking In, and Breaking Through', 28(8), pp. 879–897 Available at: </w:t>
      </w:r>
      <w:hyperlink r:id="rId20" w:tgtFrame="_blank" w:history="1">
        <w:r w:rsidRPr="00065B8F">
          <w:rPr>
            <w:rStyle w:val="Hyperlink"/>
          </w:rPr>
          <w:t>https://DOI.org/10.1080/10439463.2017.1339706</w:t>
        </w:r>
      </w:hyperlink>
      <w:r w:rsidRPr="00065B8F">
        <w:t>.</w:t>
      </w:r>
    </w:p>
    <w:p w14:paraId="1484040C" w14:textId="77777777" w:rsidR="00065B8F" w:rsidRPr="00065B8F" w:rsidRDefault="00065B8F" w:rsidP="00065B8F">
      <w:r w:rsidRPr="00065B8F">
        <w:t>Care Learning (2024) </w:t>
      </w:r>
      <w:r w:rsidRPr="00065B8F">
        <w:rPr>
          <w:i/>
          <w:iCs/>
        </w:rPr>
        <w:t>What are Multi-Agency Safeguarding Hubs (MASH)? </w:t>
      </w:r>
      <w:r w:rsidRPr="00065B8F">
        <w:t>Available at: </w:t>
      </w:r>
      <w:hyperlink r:id="rId21" w:tgtFrame="_blank" w:history="1">
        <w:r w:rsidRPr="00065B8F">
          <w:rPr>
            <w:rStyle w:val="Hyperlink"/>
          </w:rPr>
          <w:t>https://carelearning.org.uk/blog/safeguarding/what-are-multi-agency-safeguarding-hubs-mash/</w:t>
        </w:r>
      </w:hyperlink>
      <w:r w:rsidRPr="00065B8F">
        <w:t> (Accessed: .</w:t>
      </w:r>
    </w:p>
    <w:p w14:paraId="279C0718" w14:textId="77777777" w:rsidR="00065B8F" w:rsidRPr="00065B8F" w:rsidRDefault="00065B8F" w:rsidP="00065B8F">
      <w:r w:rsidRPr="00065B8F">
        <w:t xml:space="preserve">Choudhury T, </w:t>
      </w:r>
      <w:proofErr w:type="gramStart"/>
      <w:r w:rsidRPr="00065B8F">
        <w:t>Fenwick</w:t>
      </w:r>
      <w:proofErr w:type="gramEnd"/>
      <w:r w:rsidRPr="00065B8F">
        <w:t xml:space="preserve"> and H (2011) </w:t>
      </w:r>
      <w:r w:rsidRPr="00065B8F">
        <w:rPr>
          <w:i/>
          <w:iCs/>
        </w:rPr>
        <w:t>The impact of counter-terrorism measures on Muslim communities (Equality and Human Rights Commission research report 72). </w:t>
      </w:r>
      <w:r w:rsidRPr="00065B8F">
        <w:t>Available at: </w:t>
      </w:r>
      <w:hyperlink r:id="rId22" w:tgtFrame="_blank" w:history="1">
        <w:r w:rsidRPr="00065B8F">
          <w:rPr>
            <w:rStyle w:val="Hyperlink"/>
          </w:rPr>
          <w:t>http://www.equalityhumanrights.com/publication/research-report-72-impact-counter-terrorism-measures-muslim-community</w:t>
        </w:r>
      </w:hyperlink>
      <w:r w:rsidRPr="00065B8F">
        <w:t> (Accessed: .</w:t>
      </w:r>
    </w:p>
    <w:p w14:paraId="27C8E92E" w14:textId="77777777" w:rsidR="00065B8F" w:rsidRPr="00065B8F" w:rsidRDefault="00065B8F" w:rsidP="00065B8F">
      <w:r w:rsidRPr="00065B8F">
        <w:t>Clare J, Henstock D, McComb C, Newland R, Barnes G, Murray L and Taylor E (2019) 'Police, Public, and Arrestee Perceptions of Body-Worn Video: A Single Jurisdictional Multiple-Perspective Analysis', </w:t>
      </w:r>
      <w:r w:rsidRPr="00065B8F">
        <w:rPr>
          <w:i/>
          <w:iCs/>
        </w:rPr>
        <w:t>Criminal Justice Review, </w:t>
      </w:r>
      <w:r w:rsidRPr="00065B8F">
        <w:t>44(3) Available at: </w:t>
      </w:r>
      <w:hyperlink r:id="rId23" w:tgtFrame="_blank" w:history="1">
        <w:r w:rsidRPr="00065B8F">
          <w:rPr>
            <w:rStyle w:val="Hyperlink"/>
          </w:rPr>
          <w:t>https://doi.org/10.1177/0734016819846236</w:t>
        </w:r>
      </w:hyperlink>
      <w:r w:rsidRPr="00065B8F">
        <w:t>.</w:t>
      </w:r>
    </w:p>
    <w:p w14:paraId="61A64BCC" w14:textId="77777777" w:rsidR="00065B8F" w:rsidRPr="00065B8F" w:rsidRDefault="00065B8F" w:rsidP="00065B8F">
      <w:r w:rsidRPr="00065B8F">
        <w:t>Coliandris G (2015) 'County Lines and Wicked Problems: Exploring the need for improved policing approaches to vulnerability and early intervention', </w:t>
      </w:r>
      <w:r w:rsidRPr="00065B8F">
        <w:rPr>
          <w:i/>
          <w:iCs/>
        </w:rPr>
        <w:t>Australasian Policing A journal of professional practice and research, </w:t>
      </w:r>
      <w:r w:rsidRPr="00065B8F">
        <w:t>7(2), pp. 25–29.</w:t>
      </w:r>
    </w:p>
    <w:p w14:paraId="43B6B2E4" w14:textId="77777777" w:rsidR="00065B8F" w:rsidRPr="00065B8F" w:rsidRDefault="00065B8F" w:rsidP="00065B8F">
      <w:r w:rsidRPr="00065B8F">
        <w:t>College of Policing (2024) </w:t>
      </w:r>
      <w:r w:rsidRPr="00065B8F">
        <w:rPr>
          <w:i/>
          <w:iCs/>
        </w:rPr>
        <w:t>Code of Ethics Launched. </w:t>
      </w:r>
      <w:r w:rsidRPr="00065B8F">
        <w:t>Available at: </w:t>
      </w:r>
      <w:hyperlink r:id="rId24" w:tgtFrame="_blank" w:history="1">
        <w:r w:rsidRPr="00065B8F">
          <w:rPr>
            <w:rStyle w:val="Hyperlink"/>
          </w:rPr>
          <w:t>https://www.college.police.uk/article/code-of-ethics</w:t>
        </w:r>
      </w:hyperlink>
      <w:r w:rsidRPr="00065B8F">
        <w:t> (Accessed: .</w:t>
      </w:r>
    </w:p>
    <w:p w14:paraId="52F9B03D" w14:textId="77777777" w:rsidR="00065B8F" w:rsidRPr="00065B8F" w:rsidRDefault="00065B8F" w:rsidP="00065B8F">
      <w:r w:rsidRPr="00065B8F">
        <w:t>College of Policing (2014) </w:t>
      </w:r>
      <w:r w:rsidRPr="00065B8F">
        <w:rPr>
          <w:i/>
          <w:iCs/>
        </w:rPr>
        <w:t xml:space="preserve">A Code of Practice for the Principles and Standards of Professional Behaviour for the Policing Profession of England and </w:t>
      </w:r>
      <w:proofErr w:type="gramStart"/>
      <w:r w:rsidRPr="00065B8F">
        <w:rPr>
          <w:i/>
          <w:iCs/>
        </w:rPr>
        <w:t>Wales,</w:t>
      </w:r>
      <w:r w:rsidRPr="00065B8F">
        <w:t>.</w:t>
      </w:r>
      <w:proofErr w:type="gramEnd"/>
    </w:p>
    <w:p w14:paraId="4FEB0514" w14:textId="77777777" w:rsidR="00065B8F" w:rsidRPr="00065B8F" w:rsidRDefault="00065B8F" w:rsidP="00065B8F">
      <w:r w:rsidRPr="00065B8F">
        <w:t>Coxhead, J. (2004) 'The last bastion of racism: Gypsies, Travellers and policing', </w:t>
      </w:r>
      <w:r w:rsidRPr="00065B8F">
        <w:rPr>
          <w:i/>
          <w:iCs/>
        </w:rPr>
        <w:t>Peripheral inclusion? Gypsy Roma Traveller Police Association officers speak out from Romani Studie, </w:t>
      </w:r>
      <w:r w:rsidRPr="00065B8F">
        <w:t>32(1) Available at: </w:t>
      </w:r>
      <w:hyperlink r:id="rId25" w:tgtFrame="_blank" w:history="1">
        <w:r w:rsidRPr="00065B8F">
          <w:rPr>
            <w:rStyle w:val="Hyperlink"/>
          </w:rPr>
          <w:t>https://DOI.org/10.3828/rs.2022.5</w:t>
        </w:r>
      </w:hyperlink>
      <w:r w:rsidRPr="00065B8F">
        <w:t>.</w:t>
      </w:r>
    </w:p>
    <w:p w14:paraId="062E9FD8" w14:textId="77777777" w:rsidR="00065B8F" w:rsidRPr="00065B8F" w:rsidRDefault="00065B8F" w:rsidP="00065B8F">
      <w:r w:rsidRPr="00065B8F">
        <w:t>Dube S, Felitti V, Dong M, Chapman D, Wayne G and Anda R (2003) 'Childhood abuse, neglect, and household dysfunction and the risk of illicit drug use: the adverse childhood experiences', </w:t>
      </w:r>
      <w:r w:rsidRPr="00065B8F">
        <w:rPr>
          <w:i/>
          <w:iCs/>
        </w:rPr>
        <w:t>Paediatrics, </w:t>
      </w:r>
      <w:r w:rsidRPr="00065B8F">
        <w:t>111(3), pp. 564–572 Available at: </w:t>
      </w:r>
      <w:hyperlink r:id="rId26" w:tgtFrame="_blank" w:history="1">
        <w:r w:rsidRPr="00065B8F">
          <w:rPr>
            <w:rStyle w:val="Hyperlink"/>
          </w:rPr>
          <w:t>https://doi.org/10.1542/peds.111.3.</w:t>
        </w:r>
      </w:hyperlink>
    </w:p>
    <w:p w14:paraId="45B6D133" w14:textId="77777777" w:rsidR="00065B8F" w:rsidRPr="00065B8F" w:rsidRDefault="00065B8F" w:rsidP="00065B8F">
      <w:r w:rsidRPr="00065B8F">
        <w:t>Early Intervention Foundation </w:t>
      </w:r>
      <w:r w:rsidRPr="00065B8F">
        <w:rPr>
          <w:i/>
          <w:iCs/>
        </w:rPr>
        <w:t>What is early intervention. </w:t>
      </w:r>
      <w:r w:rsidRPr="00065B8F">
        <w:t>Available at: (Accessed</w:t>
      </w:r>
      <w:proofErr w:type="gramStart"/>
      <w:r w:rsidRPr="00065B8F">
        <w:t>: .</w:t>
      </w:r>
      <w:proofErr w:type="gramEnd"/>
    </w:p>
    <w:p w14:paraId="1184600E" w14:textId="77777777" w:rsidR="00065B8F" w:rsidRPr="00065B8F" w:rsidRDefault="00065B8F" w:rsidP="00065B8F">
      <w:r w:rsidRPr="00065B8F">
        <w:t>Edelman S, &amp;. and Rowe W (1983) 'Crime prevention from the justice system perspective a conceptual and planning model', </w:t>
      </w:r>
      <w:r w:rsidRPr="00065B8F">
        <w:rPr>
          <w:i/>
          <w:iCs/>
        </w:rPr>
        <w:t>Canadian journal of criminology, </w:t>
      </w:r>
      <w:r w:rsidRPr="00065B8F">
        <w:t>25(4).</w:t>
      </w:r>
    </w:p>
    <w:p w14:paraId="1E65BA5A" w14:textId="77777777" w:rsidR="00065B8F" w:rsidRPr="00065B8F" w:rsidRDefault="00065B8F" w:rsidP="00065B8F">
      <w:r w:rsidRPr="00065B8F">
        <w:t>Fazylova, A. (2025) 'The Definition of Diversity in the Workplace Has Changed – Here’s What That Means for Your Business'</w:t>
      </w:r>
      <w:proofErr w:type="gramStart"/>
      <w:r w:rsidRPr="00065B8F">
        <w:t>, .</w:t>
      </w:r>
      <w:proofErr w:type="gramEnd"/>
      <w:r w:rsidRPr="00065B8F">
        <w:t xml:space="preserve"> Available at: </w:t>
      </w:r>
      <w:hyperlink r:id="rId27" w:tgtFrame="_blank" w:history="1">
        <w:r w:rsidRPr="00065B8F">
          <w:rPr>
            <w:rStyle w:val="Hyperlink"/>
          </w:rPr>
          <w:t>https://www.spiceworks.com/hr/diversity-inclusion/guest-article/the-definition-of-diversity-in-the-workplace-has-changed-heres-what-that-means-for-your-business</w:t>
        </w:r>
      </w:hyperlink>
      <w:r w:rsidRPr="00065B8F">
        <w:t> (Accessed: .</w:t>
      </w:r>
    </w:p>
    <w:p w14:paraId="3FAACA30" w14:textId="77777777" w:rsidR="00065B8F" w:rsidRPr="00065B8F" w:rsidRDefault="00065B8F" w:rsidP="00065B8F">
      <w:r w:rsidRPr="00065B8F">
        <w:t>Girardi R (2021) 'It’s easy to mistrust police when they keep on killing us’: A queer exploration of police violence and LGBTQ+ Victimization', </w:t>
      </w:r>
      <w:r w:rsidRPr="00065B8F">
        <w:rPr>
          <w:i/>
          <w:iCs/>
        </w:rPr>
        <w:t>Journal of Gender studies, </w:t>
      </w:r>
      <w:r w:rsidRPr="00065B8F">
        <w:t>31(7), pp. 852–862 Available at: </w:t>
      </w:r>
      <w:hyperlink r:id="rId28" w:tgtFrame="_blank" w:history="1">
        <w:r w:rsidRPr="00065B8F">
          <w:rPr>
            <w:rStyle w:val="Hyperlink"/>
          </w:rPr>
          <w:t>https://DOI.org/10.1080/09589236.2021.1979481</w:t>
        </w:r>
      </w:hyperlink>
      <w:r w:rsidRPr="00065B8F">
        <w:t>.</w:t>
      </w:r>
    </w:p>
    <w:p w14:paraId="161B75D2" w14:textId="77777777" w:rsidR="00065B8F" w:rsidRPr="00065B8F" w:rsidRDefault="00065B8F" w:rsidP="00065B8F">
      <w:r w:rsidRPr="00065B8F">
        <w:t>Goodfellow P, Wilkinson S, Hazel N, Bateman T, Liddle M, Wright S, and Factor F (2015) </w:t>
      </w:r>
      <w:r w:rsidRPr="00065B8F">
        <w:rPr>
          <w:i/>
          <w:iCs/>
        </w:rPr>
        <w:t>Effective resettlement of young people lessons from beyond youth custody. </w:t>
      </w:r>
      <w:r w:rsidRPr="00065B8F">
        <w:t>Available at: </w:t>
      </w:r>
      <w:hyperlink r:id="rId29" w:tgtFrame="_blank" w:history="1">
        <w:r w:rsidRPr="00065B8F">
          <w:rPr>
            <w:rStyle w:val="Hyperlink"/>
          </w:rPr>
          <w:t>https://www.beyondyouthcustody.net/wp-content/uploads/Effective-resettlement-of-young-people-lessons-from-Beyond-Youth-Custody.pdf</w:t>
        </w:r>
      </w:hyperlink>
      <w:r w:rsidRPr="00065B8F">
        <w:t> (Accessed: .</w:t>
      </w:r>
    </w:p>
    <w:p w14:paraId="3683BFB9" w14:textId="77777777" w:rsidR="00065B8F" w:rsidRPr="00065B8F" w:rsidRDefault="00065B8F" w:rsidP="00065B8F">
      <w:r w:rsidRPr="00065B8F">
        <w:lastRenderedPageBreak/>
        <w:t>Harrison K, L’Hoiry, X and Santorso S (2022) 'Exploring the impact of body-worn video on the everyday behaviours of police officers', </w:t>
      </w:r>
      <w:r w:rsidRPr="00065B8F">
        <w:rPr>
          <w:i/>
          <w:iCs/>
        </w:rPr>
        <w:t>The Police Journal: Theory, Practice and Principles, </w:t>
      </w:r>
      <w:r w:rsidRPr="00065B8F">
        <w:t>95(2), pp. 363–377 Available at: </w:t>
      </w:r>
      <w:hyperlink r:id="rId30" w:tgtFrame="_blank" w:history="1">
        <w:r w:rsidRPr="00065B8F">
          <w:rPr>
            <w:rStyle w:val="Hyperlink"/>
          </w:rPr>
          <w:t>https://doi.org/10.1177/0032258X211000834</w:t>
        </w:r>
      </w:hyperlink>
      <w:r w:rsidRPr="00065B8F">
        <w:t>.</w:t>
      </w:r>
    </w:p>
    <w:p w14:paraId="775EEC27" w14:textId="77777777" w:rsidR="00065B8F" w:rsidRPr="00065B8F" w:rsidRDefault="00065B8F" w:rsidP="00065B8F">
      <w:r w:rsidRPr="00065B8F">
        <w:t>Hassell K, &amp;. and Brand S (2009) 'An Examination of the Workplace Experiences of Police Patrol Officers: The Role of Race, Sex, and Sexual Orientation', 12(4), pp. 408–430 Available at: 10.1177/1098611109348473.</w:t>
      </w:r>
    </w:p>
    <w:p w14:paraId="0F968D1B" w14:textId="77777777" w:rsidR="00065B8F" w:rsidRPr="00065B8F" w:rsidRDefault="00065B8F" w:rsidP="00065B8F">
      <w:r w:rsidRPr="00065B8F">
        <w:t>HM Inspectorate of Probation (2023) </w:t>
      </w:r>
      <w:r w:rsidRPr="00065B8F">
        <w:rPr>
          <w:i/>
          <w:iCs/>
        </w:rPr>
        <w:t>The evidence base – youth justice services/Specific types of delivery/Prevention. </w:t>
      </w:r>
      <w:r w:rsidRPr="00065B8F">
        <w:t>HM Inspectorate of Probation. Available at: </w:t>
      </w:r>
      <w:hyperlink r:id="rId31" w:tgtFrame="_blank" w:history="1">
        <w:r w:rsidRPr="00065B8F">
          <w:rPr>
            <w:rStyle w:val="Hyperlink"/>
          </w:rPr>
          <w:t>https://www.justiceinspectorates.gov.uk/hmiprobation/research/the-evidence-base-youth-offending-services/specific-types-of-delivery/prevention/?form=MG0AV3</w:t>
        </w:r>
      </w:hyperlink>
      <w:r w:rsidRPr="00065B8F">
        <w:t> (Accessed: .</w:t>
      </w:r>
    </w:p>
    <w:p w14:paraId="1DAFFEE1" w14:textId="77777777" w:rsidR="00065B8F" w:rsidRPr="00065B8F" w:rsidRDefault="00065B8F" w:rsidP="00065B8F">
      <w:r w:rsidRPr="00065B8F">
        <w:t>Home Office (2018) </w:t>
      </w:r>
      <w:r w:rsidRPr="00065B8F">
        <w:rPr>
          <w:i/>
          <w:iCs/>
        </w:rPr>
        <w:t>Serious Violence Strategy. </w:t>
      </w:r>
      <w:r w:rsidRPr="00065B8F">
        <w:t>Available at: </w:t>
      </w:r>
      <w:hyperlink r:id="rId32" w:tgtFrame="_blank" w:history="1">
        <w:r w:rsidRPr="00065B8F">
          <w:rPr>
            <w:rStyle w:val="Hyperlink"/>
          </w:rPr>
          <w:t>https://assets.publishing.service.gov.uk/government/uploads/system/uploads/attachment_data/file/698009/serious-violence-strategy.pdf</w:t>
        </w:r>
      </w:hyperlink>
      <w:r w:rsidRPr="00065B8F">
        <w:t> (Accessed: .</w:t>
      </w:r>
    </w:p>
    <w:p w14:paraId="03D1CED1" w14:textId="77777777" w:rsidR="00065B8F" w:rsidRPr="00065B8F" w:rsidRDefault="00065B8F" w:rsidP="00065B8F">
      <w:r w:rsidRPr="00065B8F">
        <w:t xml:space="preserve">Jefferson, T. (2012) 'Policing the Riots: from Bristol and Brixton to Tottenham via Toxteth, Handsworth, </w:t>
      </w:r>
      <w:proofErr w:type="gramStart"/>
      <w:r w:rsidRPr="00065B8F">
        <w:t>etc</w:t>
      </w:r>
      <w:proofErr w:type="gramEnd"/>
      <w:r w:rsidRPr="00065B8F">
        <w:t>', </w:t>
      </w:r>
      <w:r w:rsidRPr="00065B8F">
        <w:rPr>
          <w:i/>
          <w:iCs/>
        </w:rPr>
        <w:t>Crime and Justice, </w:t>
      </w:r>
      <w:r w:rsidRPr="00065B8F">
        <w:t>Available at: 10.1080/09627251.2012.670995.</w:t>
      </w:r>
    </w:p>
    <w:p w14:paraId="22F7C992" w14:textId="77777777" w:rsidR="00065B8F" w:rsidRPr="00065B8F" w:rsidRDefault="00065B8F" w:rsidP="00065B8F">
      <w:r w:rsidRPr="00065B8F">
        <w:t>Justice Innovation (2019) </w:t>
      </w:r>
      <w:r w:rsidRPr="00065B8F">
        <w:rPr>
          <w:i/>
          <w:iCs/>
        </w:rPr>
        <w:t>Youth diversion evidence and practice, briefing: minimising labelling</w:t>
      </w:r>
      <w:r w:rsidRPr="00065B8F">
        <w:t>.</w:t>
      </w:r>
    </w:p>
    <w:p w14:paraId="16FCAEDF" w14:textId="77777777" w:rsidR="00065B8F" w:rsidRPr="00065B8F" w:rsidRDefault="00065B8F" w:rsidP="00065B8F">
      <w:r w:rsidRPr="00065B8F">
        <w:t>Kelly J (2025) </w:t>
      </w:r>
      <w:r w:rsidRPr="00065B8F">
        <w:rPr>
          <w:i/>
          <w:iCs/>
        </w:rPr>
        <w:t>Met officer sacked over racist and sexist messages. </w:t>
      </w:r>
      <w:r w:rsidRPr="00065B8F">
        <w:t>Available at: </w:t>
      </w:r>
      <w:hyperlink r:id="rId33" w:tgtFrame="_blank" w:history="1">
        <w:r w:rsidRPr="00065B8F">
          <w:rPr>
            <w:rStyle w:val="Hyperlink"/>
          </w:rPr>
          <w:t>https://www.bbc.co.uk/news/articles/cpdxl1gdjvxo</w:t>
        </w:r>
      </w:hyperlink>
      <w:r w:rsidRPr="00065B8F">
        <w:t> (Accessed: .</w:t>
      </w:r>
    </w:p>
    <w:p w14:paraId="76CD69C4" w14:textId="77777777" w:rsidR="00065B8F" w:rsidRPr="00065B8F" w:rsidRDefault="00065B8F" w:rsidP="00065B8F">
      <w:r w:rsidRPr="00065B8F">
        <w:t xml:space="preserve">Lamble, </w:t>
      </w:r>
      <w:proofErr w:type="gramStart"/>
      <w:r w:rsidRPr="00065B8F">
        <w:t>S.</w:t>
      </w:r>
      <w:proofErr w:type="gramEnd"/>
      <w:r w:rsidRPr="00065B8F">
        <w:t xml:space="preserve"> and McElhone M. (2023) 'Over-policed and under protected why does nothing change', </w:t>
      </w:r>
      <w:r w:rsidRPr="00065B8F">
        <w:rPr>
          <w:i/>
          <w:iCs/>
        </w:rPr>
        <w:t>Institute of Race Relations, </w:t>
      </w:r>
      <w:r w:rsidRPr="00065B8F">
        <w:t>26 April. Available at: </w:t>
      </w:r>
      <w:hyperlink r:id="rId34" w:tgtFrame="_blank" w:history="1">
        <w:r w:rsidRPr="00065B8F">
          <w:rPr>
            <w:rStyle w:val="Hyperlink"/>
          </w:rPr>
          <w:t>https://irr.org.uk/article/over-policed-and-under-protected-why-does-nothing-change/</w:t>
        </w:r>
      </w:hyperlink>
      <w:r w:rsidRPr="00065B8F">
        <w:t> (Accessed: .</w:t>
      </w:r>
    </w:p>
    <w:p w14:paraId="415F6C5B" w14:textId="77777777" w:rsidR="00065B8F" w:rsidRPr="00065B8F" w:rsidRDefault="00065B8F" w:rsidP="00065B8F">
      <w:r w:rsidRPr="00065B8F">
        <w:t>Lander, P. (2011) </w:t>
      </w:r>
      <w:r w:rsidRPr="00065B8F">
        <w:rPr>
          <w:i/>
          <w:iCs/>
        </w:rPr>
        <w:t>National Decision Model</w:t>
      </w:r>
      <w:r w:rsidRPr="00065B8F">
        <w:t>.</w:t>
      </w:r>
    </w:p>
    <w:p w14:paraId="04CCA51F" w14:textId="77777777" w:rsidR="00065B8F" w:rsidRPr="00065B8F" w:rsidRDefault="00065B8F" w:rsidP="00065B8F">
      <w:r w:rsidRPr="00065B8F">
        <w:t>LGBTQ+ </w:t>
      </w:r>
      <w:r w:rsidRPr="00065B8F">
        <w:rPr>
          <w:i/>
          <w:iCs/>
        </w:rPr>
        <w:t>A Brief timeline of LGBTQ+ laws in the UK. </w:t>
      </w:r>
      <w:r w:rsidRPr="00065B8F">
        <w:t>Available at: </w:t>
      </w:r>
      <w:hyperlink r:id="rId35" w:tgtFrame="_blank" w:history="1">
        <w:r w:rsidRPr="00065B8F">
          <w:rPr>
            <w:rStyle w:val="Hyperlink"/>
          </w:rPr>
          <w:t>https://lgbtqplus.org.uk/heritage/a-brief-timeline-of-lgbtq-laws-in-the-uk</w:t>
        </w:r>
      </w:hyperlink>
      <w:r w:rsidRPr="00065B8F">
        <w:t> (Accessed: .</w:t>
      </w:r>
    </w:p>
    <w:p w14:paraId="39E7435F" w14:textId="77777777" w:rsidR="00065B8F" w:rsidRPr="00065B8F" w:rsidRDefault="00065B8F" w:rsidP="00065B8F">
      <w:r w:rsidRPr="00065B8F">
        <w:t>London Museum </w:t>
      </w:r>
      <w:proofErr w:type="gramStart"/>
      <w:r w:rsidRPr="00065B8F">
        <w:rPr>
          <w:i/>
          <w:iCs/>
        </w:rPr>
        <w:t>The</w:t>
      </w:r>
      <w:proofErr w:type="gramEnd"/>
      <w:r w:rsidRPr="00065B8F">
        <w:rPr>
          <w:i/>
          <w:iCs/>
        </w:rPr>
        <w:t xml:space="preserve"> Metropolitan Police: From 1829 to today. </w:t>
      </w:r>
      <w:r w:rsidRPr="00065B8F">
        <w:t>Available at: </w:t>
      </w:r>
      <w:hyperlink r:id="rId36" w:tgtFrame="_blank" w:history="1">
        <w:r w:rsidRPr="00065B8F">
          <w:rPr>
            <w:rStyle w:val="Hyperlink"/>
          </w:rPr>
          <w:t>https://www.londonmuseum.org.uk/collections/london-stories/metropolitan-police-from-1829-to-today</w:t>
        </w:r>
      </w:hyperlink>
      <w:r w:rsidRPr="00065B8F">
        <w:t> (Accessed: .</w:t>
      </w:r>
    </w:p>
    <w:p w14:paraId="78105452" w14:textId="77777777" w:rsidR="00065B8F" w:rsidRPr="00065B8F" w:rsidRDefault="00065B8F" w:rsidP="00065B8F">
      <w:r w:rsidRPr="00065B8F">
        <w:t>Lord Scarman (1981) </w:t>
      </w:r>
      <w:r w:rsidRPr="00065B8F">
        <w:rPr>
          <w:i/>
          <w:iCs/>
        </w:rPr>
        <w:t>Lord Scarman Report. </w:t>
      </w:r>
      <w:r w:rsidRPr="00065B8F">
        <w:t>Available at: </w:t>
      </w:r>
      <w:hyperlink r:id="rId37" w:tgtFrame="_blank" w:history="1">
        <w:r w:rsidRPr="00065B8F">
          <w:rPr>
            <w:rStyle w:val="Hyperlink"/>
          </w:rPr>
          <w:t>https://hansard.parliament.uk/Lords/1981-11-25/debates/008514e8-e688-4dfe-ba60-777fee95e3e5/TheScarmanReport</w:t>
        </w:r>
      </w:hyperlink>
      <w:r w:rsidRPr="00065B8F">
        <w:t> (Accessed: .</w:t>
      </w:r>
    </w:p>
    <w:p w14:paraId="257FD290" w14:textId="77777777" w:rsidR="00065B8F" w:rsidRPr="00065B8F" w:rsidRDefault="00065B8F" w:rsidP="00065B8F">
      <w:r w:rsidRPr="00065B8F">
        <w:t>MacPherson W Sir (1999) </w:t>
      </w:r>
      <w:r w:rsidRPr="00065B8F">
        <w:rPr>
          <w:i/>
          <w:iCs/>
        </w:rPr>
        <w:t>The Stephen Lawrence Enquiry</w:t>
      </w:r>
      <w:r w:rsidRPr="00065B8F">
        <w:t>.</w:t>
      </w:r>
    </w:p>
    <w:p w14:paraId="33BDB30F" w14:textId="77777777" w:rsidR="00065B8F" w:rsidRPr="00065B8F" w:rsidRDefault="00065B8F" w:rsidP="00065B8F">
      <w:r w:rsidRPr="00065B8F">
        <w:t>Meyer S, and Mazerolle L (2014) 'Journal Article: Police-led partnership responses to high-risk youths and their families: challenges associated with forming successful and sustainable partnerships', </w:t>
      </w:r>
      <w:r w:rsidRPr="00065B8F">
        <w:rPr>
          <w:i/>
          <w:iCs/>
        </w:rPr>
        <w:t>Policing and Society, </w:t>
      </w:r>
      <w:r w:rsidRPr="00065B8F">
        <w:t>24(2), pp. 242–260 Available at: </w:t>
      </w:r>
      <w:hyperlink r:id="rId38" w:tgtFrame="_blank" w:history="1">
        <w:r w:rsidRPr="00065B8F">
          <w:rPr>
            <w:rStyle w:val="Hyperlink"/>
          </w:rPr>
          <w:t>https://doi.org/10.1080/10439463.2013.784295</w:t>
        </w:r>
      </w:hyperlink>
      <w:r w:rsidRPr="00065B8F">
        <w:t>.</w:t>
      </w:r>
    </w:p>
    <w:p w14:paraId="0F8B0AA3" w14:textId="77777777" w:rsidR="00065B8F" w:rsidRPr="00065B8F" w:rsidRDefault="00065B8F" w:rsidP="00065B8F">
      <w:r w:rsidRPr="00065B8F">
        <w:t>Miller, J., Quinton, P., Alexandrou, B. and Packham, D. (2020) 'Can police training reduce ethnic/racial disparities in stop and search? Evidence from a multisite UK trial', </w:t>
      </w:r>
      <w:r w:rsidRPr="00065B8F">
        <w:rPr>
          <w:i/>
          <w:iCs/>
        </w:rPr>
        <w:t>Criminology and Public Policy, </w:t>
      </w:r>
      <w:r w:rsidRPr="00065B8F">
        <w:t>19(4), pp. 1259–1287 Available at: </w:t>
      </w:r>
      <w:hyperlink r:id="rId39" w:tgtFrame="_blank" w:history="1">
        <w:r w:rsidRPr="00065B8F">
          <w:rPr>
            <w:rStyle w:val="Hyperlink"/>
          </w:rPr>
          <w:t>https://doi.org/10.1111/1745-9133.12524</w:t>
        </w:r>
      </w:hyperlink>
      <w:r w:rsidRPr="00065B8F">
        <w:t>.</w:t>
      </w:r>
    </w:p>
    <w:p w14:paraId="6423CDEE" w14:textId="77777777" w:rsidR="00065B8F" w:rsidRPr="00065B8F" w:rsidRDefault="00065B8F" w:rsidP="00065B8F">
      <w:r w:rsidRPr="00065B8F">
        <w:lastRenderedPageBreak/>
        <w:t>National Archives (2022) </w:t>
      </w:r>
      <w:r w:rsidRPr="00065B8F">
        <w:rPr>
          <w:i/>
          <w:iCs/>
        </w:rPr>
        <w:t>Records of the Independent Office for Police Conduct and Predecessors. </w:t>
      </w:r>
      <w:r w:rsidRPr="00065B8F">
        <w:t>Available at: </w:t>
      </w:r>
      <w:hyperlink r:id="rId40" w:tgtFrame="_blank" w:history="1">
        <w:r w:rsidRPr="00065B8F">
          <w:rPr>
            <w:rStyle w:val="Hyperlink"/>
          </w:rPr>
          <w:t>https://discovery.nationalarchives.gov.uk/details/r/C313</w:t>
        </w:r>
      </w:hyperlink>
      <w:r w:rsidRPr="00065B8F">
        <w:t> (Accessed: .</w:t>
      </w:r>
    </w:p>
    <w:p w14:paraId="4C9FFE93" w14:textId="77777777" w:rsidR="00065B8F" w:rsidRPr="00065B8F" w:rsidRDefault="00065B8F" w:rsidP="00065B8F">
      <w:r w:rsidRPr="00065B8F">
        <w:t>Office for National Statistics (2023) </w:t>
      </w:r>
      <w:r w:rsidRPr="00065B8F">
        <w:rPr>
          <w:i/>
          <w:iCs/>
        </w:rPr>
        <w:t>Male and female populations. </w:t>
      </w:r>
      <w:r w:rsidRPr="00065B8F">
        <w:t>Available at: </w:t>
      </w:r>
      <w:hyperlink r:id="rId41" w:tgtFrame="_blank" w:history="1">
        <w:r w:rsidRPr="00065B8F">
          <w:rPr>
            <w:rStyle w:val="Hyperlink"/>
          </w:rPr>
          <w:t>https://www.ethnicity-facts-figures.service.gov.uk/uk-population-by-ethnicity/demographics/male-and-female-populations/latest/</w:t>
        </w:r>
      </w:hyperlink>
      <w:r w:rsidRPr="00065B8F">
        <w:t> (Accessed: .</w:t>
      </w:r>
    </w:p>
    <w:p w14:paraId="30F62272" w14:textId="77777777" w:rsidR="00065B8F" w:rsidRPr="00065B8F" w:rsidRDefault="00065B8F" w:rsidP="00065B8F">
      <w:r w:rsidRPr="00065B8F">
        <w:t>Office for National Statistics (2021) </w:t>
      </w:r>
      <w:r w:rsidRPr="00065B8F">
        <w:rPr>
          <w:i/>
          <w:iCs/>
        </w:rPr>
        <w:t xml:space="preserve">Religion, </w:t>
      </w:r>
      <w:proofErr w:type="gramStart"/>
      <w:r w:rsidRPr="00065B8F">
        <w:rPr>
          <w:i/>
          <w:iCs/>
        </w:rPr>
        <w:t>England</w:t>
      </w:r>
      <w:proofErr w:type="gramEnd"/>
      <w:r w:rsidRPr="00065B8F">
        <w:rPr>
          <w:i/>
          <w:iCs/>
        </w:rPr>
        <w:t xml:space="preserve"> and Wales: Census 2021. </w:t>
      </w:r>
      <w:r w:rsidRPr="00065B8F">
        <w:t>Available at: </w:t>
      </w:r>
      <w:hyperlink r:id="rId42" w:tgtFrame="_blank" w:history="1">
        <w:r w:rsidRPr="00065B8F">
          <w:rPr>
            <w:rStyle w:val="Hyperlink"/>
          </w:rPr>
          <w:t>https://www.ons.gov.uk/peoplepopulationandcommunity/culturalidentity/religion/bulletins/religionenglandandwales/census2021?form=MG0AV3</w:t>
        </w:r>
      </w:hyperlink>
      <w:r w:rsidRPr="00065B8F">
        <w:t> (Accessed: .</w:t>
      </w:r>
    </w:p>
    <w:p w14:paraId="6D944F78" w14:textId="77777777" w:rsidR="00065B8F" w:rsidRPr="00065B8F" w:rsidRDefault="00065B8F" w:rsidP="00065B8F">
      <w:r w:rsidRPr="00065B8F">
        <w:t>Police Conduct </w:t>
      </w:r>
      <w:r w:rsidRPr="00065B8F">
        <w:rPr>
          <w:i/>
          <w:iCs/>
        </w:rPr>
        <w:t>Police Conduct. </w:t>
      </w:r>
      <w:r w:rsidRPr="00065B8F">
        <w:t>Available at: </w:t>
      </w:r>
      <w:hyperlink r:id="rId43" w:tgtFrame="_blank" w:history="1">
        <w:r w:rsidRPr="00065B8F">
          <w:rPr>
            <w:rStyle w:val="Hyperlink"/>
          </w:rPr>
          <w:t>https://www.policeconduct.gov.uk/about-us</w:t>
        </w:r>
      </w:hyperlink>
      <w:r w:rsidRPr="00065B8F">
        <w:t> (Accessed</w:t>
      </w:r>
      <w:proofErr w:type="gramStart"/>
      <w:r w:rsidRPr="00065B8F">
        <w:t>: .</w:t>
      </w:r>
      <w:proofErr w:type="gramEnd"/>
    </w:p>
    <w:p w14:paraId="6DB9A98C" w14:textId="77777777" w:rsidR="00065B8F" w:rsidRPr="00065B8F" w:rsidRDefault="00065B8F" w:rsidP="00065B8F">
      <w:r w:rsidRPr="00065B8F">
        <w:t>Police Scotland (2022) </w:t>
      </w:r>
      <w:r w:rsidRPr="00065B8F">
        <w:rPr>
          <w:i/>
          <w:iCs/>
        </w:rPr>
        <w:t>Positive public support for police use of Body Worn Video</w:t>
      </w:r>
      <w:r w:rsidRPr="00065B8F">
        <w:t>.</w:t>
      </w:r>
    </w:p>
    <w:p w14:paraId="06AA62EA" w14:textId="77777777" w:rsidR="00065B8F" w:rsidRPr="00065B8F" w:rsidRDefault="00065B8F" w:rsidP="00065B8F">
      <w:r w:rsidRPr="00065B8F">
        <w:t>Richards K (2011) 'What makes juvenile offenders different from adult offenders? Trends and issues in crime and criminal justice', </w:t>
      </w:r>
      <w:r w:rsidRPr="00065B8F">
        <w:rPr>
          <w:i/>
          <w:iCs/>
        </w:rPr>
        <w:t>Australian Institute of Criminology, </w:t>
      </w:r>
      <w:r w:rsidRPr="00065B8F">
        <w:t>409 Available at: </w:t>
      </w:r>
      <w:hyperlink r:id="rId44" w:tgtFrame="_blank" w:history="1">
        <w:r w:rsidRPr="00065B8F">
          <w:rPr>
            <w:rStyle w:val="Hyperlink"/>
          </w:rPr>
          <w:t>https://doi.org/10.52922/ti274705</w:t>
        </w:r>
      </w:hyperlink>
      <w:r w:rsidRPr="00065B8F">
        <w:t>.</w:t>
      </w:r>
    </w:p>
    <w:p w14:paraId="51A152A5" w14:textId="77777777" w:rsidR="00065B8F" w:rsidRPr="00065B8F" w:rsidRDefault="00065B8F" w:rsidP="00065B8F">
      <w:r w:rsidRPr="00065B8F">
        <w:t>Ross A, &amp;., Duckworth K, &amp;., Smith D, &amp;., Wyness G, &amp;. and Schoon I (2011) </w:t>
      </w:r>
      <w:r w:rsidRPr="00065B8F">
        <w:rPr>
          <w:i/>
          <w:iCs/>
        </w:rPr>
        <w:t>prevention and reduction a review of strategies for intervening early to prevent or reduce youth crime and antisocial behaviour, </w:t>
      </w:r>
      <w:r w:rsidRPr="00065B8F">
        <w:t>Department for Education. Available at: </w:t>
      </w:r>
      <w:hyperlink r:id="rId45" w:tgtFrame="_blank" w:history="1">
        <w:r w:rsidRPr="00065B8F">
          <w:rPr>
            <w:rStyle w:val="Hyperlink"/>
          </w:rPr>
          <w:t>https://assets.publishing.service.gov.uk/media/5a7a36f2e5274a34770e5114/DFE-RR111.pdf</w:t>
        </w:r>
      </w:hyperlink>
      <w:r w:rsidRPr="00065B8F">
        <w:t> (Accessed: .</w:t>
      </w:r>
    </w:p>
    <w:p w14:paraId="34EC6127" w14:textId="77777777" w:rsidR="00065B8F" w:rsidRPr="00065B8F" w:rsidRDefault="00065B8F" w:rsidP="00065B8F">
      <w:r w:rsidRPr="00065B8F">
        <w:t>Rumens N, &amp;. and Broomfield J (2012) 'Gay men in the police: identity disclosure and management issues', </w:t>
      </w:r>
      <w:r w:rsidRPr="00065B8F">
        <w:rPr>
          <w:i/>
          <w:iCs/>
        </w:rPr>
        <w:t>Human resource Management Journal, </w:t>
      </w:r>
      <w:r w:rsidRPr="00065B8F">
        <w:t>22(3), pp. 283–298 Available at: </w:t>
      </w:r>
      <w:hyperlink r:id="rId46" w:tgtFrame="_blank" w:history="1">
        <w:r w:rsidRPr="00065B8F">
          <w:rPr>
            <w:rStyle w:val="Hyperlink"/>
          </w:rPr>
          <w:t>https://DOI.org/10.1111/j.1748-8583.2011.00179.x</w:t>
        </w:r>
      </w:hyperlink>
      <w:r w:rsidRPr="00065B8F">
        <w:t>.</w:t>
      </w:r>
    </w:p>
    <w:p w14:paraId="6B57ED82" w14:textId="77777777" w:rsidR="00065B8F" w:rsidRPr="00065B8F" w:rsidRDefault="00065B8F" w:rsidP="00065B8F">
      <w:r w:rsidRPr="00065B8F">
        <w:t>Shieber, A. (2020) 'Police Complaints Reform', </w:t>
      </w:r>
      <w:r w:rsidRPr="00065B8F">
        <w:rPr>
          <w:i/>
          <w:iCs/>
        </w:rPr>
        <w:t>Kent University, </w:t>
      </w:r>
      <w:r w:rsidRPr="00065B8F">
        <w:t>Jan 31. Available at: </w:t>
      </w:r>
      <w:hyperlink r:id="rId47" w:tgtFrame="_blank" w:history="1">
        <w:r w:rsidRPr="00065B8F">
          <w:rPr>
            <w:rStyle w:val="Hyperlink"/>
          </w:rPr>
          <w:t>https://blogs.kent.ac.uk/criminaljusticenotes/2020/01/31/police-complaints-reform/</w:t>
        </w:r>
      </w:hyperlink>
      <w:r w:rsidRPr="00065B8F">
        <w:t> (Accessed: .</w:t>
      </w:r>
    </w:p>
    <w:p w14:paraId="273F73FD" w14:textId="77777777" w:rsidR="00065B8F" w:rsidRPr="00065B8F" w:rsidRDefault="00065B8F" w:rsidP="00065B8F">
      <w:r w:rsidRPr="00065B8F">
        <w:t>Sir MacPherson (1999) </w:t>
      </w:r>
      <w:r w:rsidRPr="00065B8F">
        <w:rPr>
          <w:i/>
          <w:iCs/>
        </w:rPr>
        <w:t>The Stephen Lawrence Enquiry. </w:t>
      </w:r>
      <w:r w:rsidRPr="00065B8F">
        <w:t>Available at: </w:t>
      </w:r>
      <w:hyperlink r:id="rId48" w:tgtFrame="_blank" w:history="1">
        <w:r w:rsidRPr="00065B8F">
          <w:rPr>
            <w:rStyle w:val="Hyperlink"/>
          </w:rPr>
          <w:t>https://assets.publishing.service.gov.uk/media/5a7c2af540f0b645ba3c7202/4262.pdf</w:t>
        </w:r>
      </w:hyperlink>
      <w:r w:rsidRPr="00065B8F">
        <w:t> (Accessed: .</w:t>
      </w:r>
    </w:p>
    <w:p w14:paraId="485169C8" w14:textId="77777777" w:rsidR="00065B8F" w:rsidRPr="00065B8F" w:rsidRDefault="00065B8F" w:rsidP="00065B8F">
      <w:r w:rsidRPr="00065B8F">
        <w:t>Spalek B, and Imtoual A (2007) ''Hard’ approaches to community engagement in the UK and Australia: Muslim communities and counter-terror responses.', </w:t>
      </w:r>
      <w:r w:rsidRPr="00065B8F">
        <w:rPr>
          <w:i/>
          <w:iCs/>
        </w:rPr>
        <w:t>Journal of Muslim minority affairs, </w:t>
      </w:r>
      <w:r w:rsidRPr="00065B8F">
        <w:t>27(2) Available at: 10.1080/13602000701536117.</w:t>
      </w:r>
    </w:p>
    <w:p w14:paraId="7653F252" w14:textId="77777777" w:rsidR="00065B8F" w:rsidRPr="00065B8F" w:rsidRDefault="00065B8F" w:rsidP="00065B8F">
      <w:r w:rsidRPr="00065B8F">
        <w:t>Spalek, B. (2010) 'Community policing, trust, and Muslim communities in relation to ‘New Terrorism’', </w:t>
      </w:r>
      <w:r w:rsidRPr="00065B8F">
        <w:rPr>
          <w:i/>
          <w:iCs/>
        </w:rPr>
        <w:t>Politics and policy, </w:t>
      </w:r>
      <w:r w:rsidRPr="00065B8F">
        <w:t>38(4), pp. 789–815 Available at: 10.1111/j.1747-1346.</w:t>
      </w:r>
      <w:proofErr w:type="gramStart"/>
      <w:r w:rsidRPr="00065B8F">
        <w:t>2010.00258.x,.</w:t>
      </w:r>
      <w:proofErr w:type="gramEnd"/>
    </w:p>
    <w:p w14:paraId="0D843DBC" w14:textId="77777777" w:rsidR="00065B8F" w:rsidRPr="00065B8F" w:rsidRDefault="00065B8F" w:rsidP="00065B8F">
      <w:r w:rsidRPr="00065B8F">
        <w:t>Spicer J, &amp;., Moyle L, &amp;. and Coomber R (2019) 'The variable and evolving nature of cuckooing as a form of criminal exploitation in street level drug markets,', </w:t>
      </w:r>
      <w:r w:rsidRPr="00065B8F">
        <w:rPr>
          <w:i/>
          <w:iCs/>
        </w:rPr>
        <w:t>Trends in organised crime, </w:t>
      </w:r>
      <w:r w:rsidRPr="00065B8F">
        <w:t>23.</w:t>
      </w:r>
    </w:p>
    <w:p w14:paraId="25411836" w14:textId="77777777" w:rsidR="00065B8F" w:rsidRPr="00065B8F" w:rsidRDefault="00065B8F" w:rsidP="00065B8F">
      <w:r w:rsidRPr="00065B8F">
        <w:t>Stephenson M, Jamieson J, McMahon G, Parsons C, Godfrey R, Flanagan K, Renshaw J, Bielby K, Adams M, and Sapsed E (2006) </w:t>
      </w:r>
      <w:r w:rsidRPr="00065B8F">
        <w:rPr>
          <w:i/>
          <w:iCs/>
        </w:rPr>
        <w:t>Barriers to engagement 2006. </w:t>
      </w:r>
      <w:r w:rsidRPr="00065B8F">
        <w:t>Available at: </w:t>
      </w:r>
      <w:hyperlink r:id="rId49" w:tgtFrame="_blank" w:history="1">
        <w:r w:rsidRPr="00065B8F">
          <w:rPr>
            <w:rStyle w:val="Hyperlink"/>
          </w:rPr>
          <w:t>https://assets.publishing.service.gov.uk/media/5a7dff1d40f0b62305b8020f/yjb-barriers-ETE-report.pdf</w:t>
        </w:r>
      </w:hyperlink>
      <w:r w:rsidRPr="00065B8F">
        <w:t> (Accessed: .</w:t>
      </w:r>
    </w:p>
    <w:p w14:paraId="4D4A8AF6" w14:textId="77777777" w:rsidR="00065B8F" w:rsidRPr="00065B8F" w:rsidRDefault="00065B8F" w:rsidP="00065B8F">
      <w:r w:rsidRPr="00065B8F">
        <w:lastRenderedPageBreak/>
        <w:t>The Traveller Movement (2016) </w:t>
      </w:r>
      <w:r w:rsidRPr="00065B8F">
        <w:rPr>
          <w:i/>
          <w:iCs/>
        </w:rPr>
        <w:t xml:space="preserve">Inclusion of </w:t>
      </w:r>
      <w:proofErr w:type="gramStart"/>
      <w:r w:rsidRPr="00065B8F">
        <w:rPr>
          <w:i/>
          <w:iCs/>
        </w:rPr>
        <w:t>Gypsies</w:t>
      </w:r>
      <w:proofErr w:type="gramEnd"/>
      <w:r w:rsidRPr="00065B8F">
        <w:rPr>
          <w:i/>
          <w:iCs/>
        </w:rPr>
        <w:t xml:space="preserve"> and Travellers in ethnic monitoring. </w:t>
      </w:r>
      <w:r w:rsidRPr="00065B8F">
        <w:t>Available at: </w:t>
      </w:r>
      <w:hyperlink r:id="rId50" w:tgtFrame="_blank" w:history="1">
        <w:r w:rsidRPr="00065B8F">
          <w:rPr>
            <w:rStyle w:val="Hyperlink"/>
          </w:rPr>
          <w:t>https://wp-main.travellermovement.org.uk/wp-content/uploads/2021/09/Gypsies-and-Travellers-in-Ethnic-Monitoring-Systems-of-Police-Forces.pdf</w:t>
        </w:r>
      </w:hyperlink>
      <w:r w:rsidRPr="00065B8F">
        <w:t> (Accessed: .</w:t>
      </w:r>
    </w:p>
    <w:p w14:paraId="3FC1D3D0" w14:textId="77777777" w:rsidR="00065B8F" w:rsidRPr="00065B8F" w:rsidRDefault="00065B8F" w:rsidP="00065B8F">
      <w:r w:rsidRPr="00065B8F">
        <w:t>The University of Law (2023) </w:t>
      </w:r>
      <w:r w:rsidRPr="00065B8F">
        <w:rPr>
          <w:i/>
          <w:iCs/>
        </w:rPr>
        <w:t>New findings reveal the harmful effects of under-representation in UK policing</w:t>
      </w:r>
      <w:r w:rsidRPr="00065B8F">
        <w:t>.</w:t>
      </w:r>
    </w:p>
    <w:p w14:paraId="09E7A13E" w14:textId="77777777" w:rsidR="00065B8F" w:rsidRPr="00065B8F" w:rsidRDefault="00065B8F" w:rsidP="00065B8F">
      <w:r w:rsidRPr="00065B8F">
        <w:t xml:space="preserve">Thompson A, and Nored </w:t>
      </w:r>
      <w:proofErr w:type="spellStart"/>
      <w:r w:rsidRPr="00065B8F">
        <w:t>L&amp;nbsp</w:t>
      </w:r>
      <w:proofErr w:type="spellEnd"/>
      <w:r w:rsidRPr="00065B8F">
        <w:t xml:space="preserve"> (2002) 'Law Enforcement Employment Discrimination Based on Sexual Orientation: A Selective Review of Case Law', </w:t>
      </w:r>
      <w:r w:rsidRPr="00065B8F">
        <w:rPr>
          <w:i/>
          <w:iCs/>
        </w:rPr>
        <w:t>American Journal of Criminal Justice, </w:t>
      </w:r>
      <w:r w:rsidRPr="00065B8F">
        <w:t>26(2), pp. 203–217.</w:t>
      </w:r>
    </w:p>
    <w:p w14:paraId="1621705D" w14:textId="77777777" w:rsidR="00065B8F" w:rsidRPr="00065B8F" w:rsidRDefault="00065B8F" w:rsidP="00065B8F">
      <w:r w:rsidRPr="00065B8F">
        <w:t>Tudor, S. (2023) </w:t>
      </w:r>
      <w:r w:rsidRPr="00065B8F">
        <w:rPr>
          <w:i/>
          <w:iCs/>
        </w:rPr>
        <w:t>Restoring Public Trust. </w:t>
      </w:r>
      <w:r w:rsidRPr="00065B8F">
        <w:t>Available at: </w:t>
      </w:r>
      <w:hyperlink r:id="rId51" w:tgtFrame="_blank" w:history="1">
        <w:r w:rsidRPr="00065B8F">
          <w:rPr>
            <w:rStyle w:val="Hyperlink"/>
          </w:rPr>
          <w:t>https://lordslibrary.parliament.uk/police-standards-and-culture-restoring-public-trust/</w:t>
        </w:r>
      </w:hyperlink>
      <w:r w:rsidRPr="00065B8F">
        <w:t> (Accessed: .</w:t>
      </w:r>
    </w:p>
    <w:p w14:paraId="1BE0530A" w14:textId="77777777" w:rsidR="00065B8F" w:rsidRPr="00065B8F" w:rsidRDefault="00065B8F" w:rsidP="00065B8F">
      <w:r w:rsidRPr="00065B8F">
        <w:t>UK Essays (2015) </w:t>
      </w:r>
      <w:r w:rsidRPr="00065B8F">
        <w:rPr>
          <w:i/>
          <w:iCs/>
        </w:rPr>
        <w:t>History of Police Interviewing in England and Wales Criminology Essay</w:t>
      </w:r>
      <w:r w:rsidRPr="00065B8F">
        <w:t>.</w:t>
      </w:r>
    </w:p>
    <w:p w14:paraId="07DE6367" w14:textId="77777777" w:rsidR="00065B8F" w:rsidRPr="00065B8F" w:rsidRDefault="00065B8F" w:rsidP="00065B8F">
      <w:r w:rsidRPr="00065B8F">
        <w:t>UK Government (2023) </w:t>
      </w:r>
      <w:r w:rsidRPr="00065B8F">
        <w:rPr>
          <w:i/>
          <w:iCs/>
        </w:rPr>
        <w:t>Code C - Revised Code of Practice for the Detention, Treatment and Questioning of Persons by Police Officers. </w:t>
      </w:r>
      <w:r w:rsidRPr="00065B8F">
        <w:t>Available at: </w:t>
      </w:r>
      <w:hyperlink r:id="rId52" w:tgtFrame="_blank" w:history="1">
        <w:r w:rsidRPr="00065B8F">
          <w:rPr>
            <w:rStyle w:val="Hyperlink"/>
          </w:rPr>
          <w:t>https://www.gov.uk/government/publications/pace-code-c-2023,</w:t>
        </w:r>
      </w:hyperlink>
      <w:r w:rsidRPr="00065B8F">
        <w:t> ISBN 978-1-5286-4487-7, E02999409 (Accessed: .</w:t>
      </w:r>
    </w:p>
    <w:p w14:paraId="799825CE" w14:textId="77777777" w:rsidR="00065B8F" w:rsidRPr="00065B8F" w:rsidRDefault="00065B8F" w:rsidP="00065B8F">
      <w:r w:rsidRPr="00065B8F">
        <w:t>UK Government (2011) </w:t>
      </w:r>
      <w:r w:rsidRPr="00065B8F">
        <w:rPr>
          <w:i/>
          <w:iCs/>
        </w:rPr>
        <w:t>Ending Gang and Youth Violence. </w:t>
      </w:r>
      <w:r w:rsidRPr="00065B8F">
        <w:t>Available at: </w:t>
      </w:r>
      <w:hyperlink r:id="rId53" w:tgtFrame="_blank" w:history="1">
        <w:r w:rsidRPr="00065B8F">
          <w:rPr>
            <w:rStyle w:val="Hyperlink"/>
          </w:rPr>
          <w:t>https://www.gov.uk/government/publications/ending-gang-and-youth-violence-cross-government-report</w:t>
        </w:r>
      </w:hyperlink>
      <w:r w:rsidRPr="00065B8F">
        <w:t> (Accessed: .</w:t>
      </w:r>
    </w:p>
    <w:p w14:paraId="5CEF434D" w14:textId="77777777" w:rsidR="00065B8F" w:rsidRPr="00065B8F" w:rsidRDefault="00065B8F" w:rsidP="00065B8F">
      <w:r w:rsidRPr="00065B8F">
        <w:t>Unison (2016) </w:t>
      </w:r>
      <w:r w:rsidRPr="00065B8F">
        <w:rPr>
          <w:i/>
          <w:iCs/>
        </w:rPr>
        <w:t>The Damage; A future at risk cuts in youth services. </w:t>
      </w:r>
      <w:r w:rsidRPr="00065B8F">
        <w:t>Available at: </w:t>
      </w:r>
      <w:hyperlink r:id="rId54" w:tgtFrame="_blank" w:history="1">
        <w:r w:rsidRPr="00065B8F">
          <w:rPr>
            <w:rStyle w:val="Hyperlink"/>
          </w:rPr>
          <w:t>www.unison.org.uk/content/uploads/2016/08/23996.pdf,</w:t>
        </w:r>
      </w:hyperlink>
      <w:r w:rsidRPr="00065B8F">
        <w:t> (Accessed: .</w:t>
      </w:r>
    </w:p>
    <w:p w14:paraId="61F5B75D" w14:textId="77777777" w:rsidR="00065B8F" w:rsidRPr="00065B8F" w:rsidRDefault="00065B8F" w:rsidP="00065B8F">
      <w:r w:rsidRPr="00065B8F">
        <w:t>Unknown </w:t>
      </w:r>
      <w:r w:rsidRPr="00065B8F">
        <w:rPr>
          <w:i/>
          <w:iCs/>
        </w:rPr>
        <w:t>When was the title "WPC" (Women Police Constable) dropped? </w:t>
      </w:r>
      <w:r w:rsidRPr="00065B8F">
        <w:t>Available at: </w:t>
      </w:r>
      <w:hyperlink r:id="rId55" w:tgtFrame="_blank" w:history="1">
        <w:r w:rsidRPr="00065B8F">
          <w:rPr>
            <w:rStyle w:val="Hyperlink"/>
          </w:rPr>
          <w:t>https://brainly.com/question/38571969</w:t>
        </w:r>
      </w:hyperlink>
      <w:r w:rsidRPr="00065B8F">
        <w:t> (Accessed</w:t>
      </w:r>
      <w:proofErr w:type="gramStart"/>
      <w:r w:rsidRPr="00065B8F">
        <w:t>: .</w:t>
      </w:r>
      <w:proofErr w:type="gramEnd"/>
    </w:p>
    <w:p w14:paraId="2A88552F" w14:textId="77777777" w:rsidR="00065B8F" w:rsidRPr="00065B8F" w:rsidRDefault="00065B8F" w:rsidP="00065B8F">
      <w:r w:rsidRPr="00065B8F">
        <w:t>Vaughan H (2025) </w:t>
      </w:r>
      <w:r w:rsidRPr="00065B8F">
        <w:rPr>
          <w:i/>
          <w:iCs/>
        </w:rPr>
        <w:t>The missed opportunities to stop Southport triple killer Axel Rudakubana. </w:t>
      </w:r>
      <w:r w:rsidRPr="00065B8F">
        <w:t>Available at: </w:t>
      </w:r>
      <w:hyperlink r:id="rId56" w:tgtFrame="_blank" w:history="1">
        <w:r w:rsidRPr="00065B8F">
          <w:rPr>
            <w:rStyle w:val="Hyperlink"/>
          </w:rPr>
          <w:t>https://news.sky.com/story/the-missed-opportunities-to-stop-southport-triple-killer-axel-rudakubana-13294495</w:t>
        </w:r>
      </w:hyperlink>
      <w:r w:rsidRPr="00065B8F">
        <w:t> (Accessed: .</w:t>
      </w:r>
    </w:p>
    <w:p w14:paraId="4B38C337" w14:textId="77777777" w:rsidR="00065B8F" w:rsidRPr="00065B8F" w:rsidRDefault="00065B8F" w:rsidP="00065B8F">
      <w:r w:rsidRPr="00065B8F">
        <w:t>Viuhko M (2019) 'Just trust me and you’ll make a fortune – relationships between offenders and victims of human trafficking', </w:t>
      </w:r>
      <w:r w:rsidRPr="00065B8F">
        <w:rPr>
          <w:i/>
          <w:iCs/>
        </w:rPr>
        <w:t>Nordic Journal of Criminology, </w:t>
      </w:r>
      <w:r w:rsidRPr="00065B8F">
        <w:t>20(2), pp. 196–212 Available at: </w:t>
      </w:r>
      <w:hyperlink r:id="rId57" w:tgtFrame="_blank" w:history="1">
        <w:r w:rsidRPr="00065B8F">
          <w:rPr>
            <w:rStyle w:val="Hyperlink"/>
          </w:rPr>
          <w:t>https://doi.org/</w:t>
        </w:r>
      </w:hyperlink>
      <w:r w:rsidRPr="00065B8F">
        <w:t> 0.1080/2578983X.2019.1591036.</w:t>
      </w:r>
    </w:p>
    <w:p w14:paraId="5BA5F856" w14:textId="77777777" w:rsidR="00065B8F" w:rsidRPr="00065B8F" w:rsidRDefault="00065B8F" w:rsidP="00065B8F">
      <w:r w:rsidRPr="00065B8F">
        <w:t>Waller I, &amp;. and Weiler R (1984) </w:t>
      </w:r>
      <w:r w:rsidRPr="00065B8F">
        <w:rPr>
          <w:i/>
          <w:iCs/>
        </w:rPr>
        <w:t>Crime Prevention Through Social Development</w:t>
      </w:r>
      <w:r w:rsidRPr="00065B8F">
        <w:t> Canadian Council on Social Development.</w:t>
      </w:r>
    </w:p>
    <w:p w14:paraId="0934CF8A" w14:textId="77777777" w:rsidR="00065B8F" w:rsidRPr="00065B8F" w:rsidRDefault="00065B8F" w:rsidP="00065B8F">
      <w:r w:rsidRPr="00065B8F">
        <w:t>Westmarland, L. and Rowe, M. (2016) 'Police Ethics and Integrity: Can a new code overturn the blue code?', </w:t>
      </w:r>
      <w:r w:rsidRPr="00065B8F">
        <w:rPr>
          <w:i/>
          <w:iCs/>
        </w:rPr>
        <w:t>Policing &amp; Society, </w:t>
      </w:r>
      <w:r w:rsidRPr="00065B8F">
        <w:t>28(7), pp. 854–870 Available at: </w:t>
      </w:r>
      <w:hyperlink r:id="rId58" w:tgtFrame="_blank" w:history="1">
        <w:r w:rsidRPr="00065B8F">
          <w:rPr>
            <w:rStyle w:val="Hyperlink"/>
          </w:rPr>
          <w:t>https://doi.org/10.1080/10439463.2016.1262365</w:t>
        </w:r>
      </w:hyperlink>
      <w:r w:rsidRPr="00065B8F">
        <w:t>.</w:t>
      </w:r>
    </w:p>
    <w:p w14:paraId="4A0AA1DF" w14:textId="77777777" w:rsidR="00065B8F" w:rsidRPr="00065B8F" w:rsidRDefault="00065B8F" w:rsidP="00065B8F">
      <w:r w:rsidRPr="00065B8F">
        <w:t>Young G (1976) </w:t>
      </w:r>
      <w:r w:rsidRPr="00065B8F">
        <w:rPr>
          <w:i/>
          <w:iCs/>
        </w:rPr>
        <w:t>Police Recruiting</w:t>
      </w:r>
      <w:r w:rsidRPr="00065B8F">
        <w:t>.</w:t>
      </w:r>
    </w:p>
    <w:p w14:paraId="14F0BF75" w14:textId="77777777" w:rsidR="00065B8F" w:rsidRPr="00065B8F" w:rsidRDefault="00065B8F" w:rsidP="00065B8F">
      <w:r w:rsidRPr="00065B8F">
        <w:t>Youth Justice Board (2024) </w:t>
      </w:r>
      <w:r w:rsidRPr="00065B8F">
        <w:rPr>
          <w:i/>
          <w:iCs/>
        </w:rPr>
        <w:t>Youth Justice Statistics: 2022 to 2023, Youth Justice Board</w:t>
      </w:r>
      <w:r w:rsidRPr="00065B8F">
        <w:t>.</w:t>
      </w:r>
    </w:p>
    <w:p w14:paraId="72ED9E01" w14:textId="77777777" w:rsidR="00065B8F" w:rsidRPr="00065B8F" w:rsidRDefault="00065B8F" w:rsidP="00065B8F">
      <w:r w:rsidRPr="00065B8F">
        <w:t>Youth Justice Board (2015) </w:t>
      </w:r>
      <w:r w:rsidRPr="00065B8F">
        <w:rPr>
          <w:i/>
          <w:iCs/>
        </w:rPr>
        <w:t xml:space="preserve">Youth offending teams: making the difference for children and young people, </w:t>
      </w:r>
      <w:proofErr w:type="gramStart"/>
      <w:r w:rsidRPr="00065B8F">
        <w:rPr>
          <w:i/>
          <w:iCs/>
        </w:rPr>
        <w:t>victims</w:t>
      </w:r>
      <w:proofErr w:type="gramEnd"/>
      <w:r w:rsidRPr="00065B8F">
        <w:rPr>
          <w:i/>
          <w:iCs/>
        </w:rPr>
        <w:t xml:space="preserve"> and communities. </w:t>
      </w:r>
      <w:r w:rsidRPr="00065B8F">
        <w:t xml:space="preserve">Available </w:t>
      </w:r>
      <w:r w:rsidRPr="00065B8F">
        <w:lastRenderedPageBreak/>
        <w:t>at: </w:t>
      </w:r>
      <w:hyperlink r:id="rId59" w:tgtFrame="_blank" w:history="1">
        <w:r w:rsidRPr="00065B8F">
          <w:rPr>
            <w:rStyle w:val="Hyperlink"/>
          </w:rPr>
          <w:t>https://assets.publishing.service.gov.uk/media/5a7f8dcbed915d74e33f725e/Board_Visits_Final_Report.pdf</w:t>
        </w:r>
      </w:hyperlink>
      <w:r w:rsidRPr="00065B8F">
        <w:t> (Accessed: .</w:t>
      </w:r>
    </w:p>
    <w:p w14:paraId="20D3768A" w14:textId="77777777" w:rsidR="00065B8F" w:rsidRPr="00065B8F" w:rsidRDefault="00065B8F" w:rsidP="00065B8F">
      <w:r w:rsidRPr="00065B8F">
        <w:t>Ysseldyk R, Matheson, K and Anisman H (2010) 'Religiosity as Identity Toward an Understanding of Religion from a Social Identity Perspective', </w:t>
      </w:r>
      <w:r w:rsidRPr="00065B8F">
        <w:rPr>
          <w:i/>
          <w:iCs/>
        </w:rPr>
        <w:t>Personality and Social Psychology Review, </w:t>
      </w:r>
      <w:r w:rsidRPr="00065B8F">
        <w:t>14(1) Available at: </w:t>
      </w:r>
      <w:hyperlink r:id="rId60" w:tgtFrame="_blank" w:history="1">
        <w:r w:rsidRPr="00065B8F">
          <w:rPr>
            <w:rStyle w:val="Hyperlink"/>
          </w:rPr>
          <w:t>https://doi.org/10.1177/1088868309349693</w:t>
        </w:r>
      </w:hyperlink>
      <w:r w:rsidRPr="00065B8F">
        <w:t>.</w:t>
      </w:r>
    </w:p>
    <w:p w14:paraId="6733A6A6" w14:textId="77777777" w:rsidR="00065B8F" w:rsidRPr="0062686F" w:rsidRDefault="00065B8F" w:rsidP="005B03DC"/>
    <w:sectPr w:rsidR="00065B8F" w:rsidRPr="0062686F">
      <w:headerReference w:type="default" r:id="rId6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E9AAF" w14:textId="77777777" w:rsidR="00255E58" w:rsidRDefault="00255E58" w:rsidP="002E26C2">
      <w:pPr>
        <w:spacing w:after="0" w:line="240" w:lineRule="auto"/>
      </w:pPr>
      <w:r>
        <w:separator/>
      </w:r>
    </w:p>
  </w:endnote>
  <w:endnote w:type="continuationSeparator" w:id="0">
    <w:p w14:paraId="204FF137" w14:textId="77777777" w:rsidR="00255E58" w:rsidRDefault="00255E58" w:rsidP="002E2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2692850"/>
      <w:docPartObj>
        <w:docPartGallery w:val="Page Numbers (Bottom of Page)"/>
        <w:docPartUnique/>
      </w:docPartObj>
    </w:sdtPr>
    <w:sdtContent>
      <w:sdt>
        <w:sdtPr>
          <w:id w:val="-1769616900"/>
          <w:docPartObj>
            <w:docPartGallery w:val="Page Numbers (Top of Page)"/>
            <w:docPartUnique/>
          </w:docPartObj>
        </w:sdtPr>
        <w:sdtContent>
          <w:p w14:paraId="58DBA6FD" w14:textId="4FCBCAAF" w:rsidR="0088164C" w:rsidRDefault="0088164C">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02D04316" w14:textId="77777777" w:rsidR="0088164C" w:rsidRDefault="008816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2F598" w14:textId="77777777" w:rsidR="00255E58" w:rsidRDefault="00255E58" w:rsidP="002E26C2">
      <w:pPr>
        <w:spacing w:after="0" w:line="240" w:lineRule="auto"/>
      </w:pPr>
      <w:r>
        <w:separator/>
      </w:r>
    </w:p>
  </w:footnote>
  <w:footnote w:type="continuationSeparator" w:id="0">
    <w:p w14:paraId="7585C19F" w14:textId="77777777" w:rsidR="00255E58" w:rsidRDefault="00255E58" w:rsidP="002E2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A332B" w14:textId="5B6A7E21" w:rsidR="002E26C2" w:rsidRDefault="002E26C2">
    <w:pPr>
      <w:pStyle w:val="Header"/>
    </w:pPr>
    <w:r>
      <w:t xml:space="preserve">Student Name: Christopher Gale </w:t>
    </w:r>
  </w:p>
  <w:p w14:paraId="0036B7DA" w14:textId="4907B4B2" w:rsidR="002E26C2" w:rsidRDefault="002E26C2">
    <w:pPr>
      <w:pStyle w:val="Header"/>
    </w:pPr>
    <w:r>
      <w:t>Candidate Number: 2320252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9654A"/>
    <w:multiLevelType w:val="hybridMultilevel"/>
    <w:tmpl w:val="1472BC0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75776"/>
    <w:multiLevelType w:val="hybridMultilevel"/>
    <w:tmpl w:val="3C68B94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234AA"/>
    <w:multiLevelType w:val="hybridMultilevel"/>
    <w:tmpl w:val="C99A9830"/>
    <w:lvl w:ilvl="0" w:tplc="4D80819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4C4C2E"/>
    <w:multiLevelType w:val="hybridMultilevel"/>
    <w:tmpl w:val="8D6270A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1F0409"/>
    <w:multiLevelType w:val="hybridMultilevel"/>
    <w:tmpl w:val="35BE39B8"/>
    <w:lvl w:ilvl="0" w:tplc="0B4A9B46">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932646"/>
    <w:multiLevelType w:val="hybridMultilevel"/>
    <w:tmpl w:val="182A424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1860C5"/>
    <w:multiLevelType w:val="hybridMultilevel"/>
    <w:tmpl w:val="4B94CB3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9416098">
    <w:abstractNumId w:val="5"/>
  </w:num>
  <w:num w:numId="2" w16cid:durableId="18359761">
    <w:abstractNumId w:val="0"/>
  </w:num>
  <w:num w:numId="3" w16cid:durableId="1919747657">
    <w:abstractNumId w:val="6"/>
  </w:num>
  <w:num w:numId="4" w16cid:durableId="622227103">
    <w:abstractNumId w:val="1"/>
  </w:num>
  <w:num w:numId="5" w16cid:durableId="469901487">
    <w:abstractNumId w:val="4"/>
  </w:num>
  <w:num w:numId="6" w16cid:durableId="1707215863">
    <w:abstractNumId w:val="3"/>
  </w:num>
  <w:num w:numId="7" w16cid:durableId="2029868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6C2"/>
    <w:rsid w:val="0000656D"/>
    <w:rsid w:val="00011FCD"/>
    <w:rsid w:val="00026BFF"/>
    <w:rsid w:val="000445DA"/>
    <w:rsid w:val="00061786"/>
    <w:rsid w:val="00065B8F"/>
    <w:rsid w:val="0008412B"/>
    <w:rsid w:val="00094DBE"/>
    <w:rsid w:val="00097CC6"/>
    <w:rsid w:val="000B5084"/>
    <w:rsid w:val="000D1430"/>
    <w:rsid w:val="000E6C90"/>
    <w:rsid w:val="00110945"/>
    <w:rsid w:val="00125127"/>
    <w:rsid w:val="00132656"/>
    <w:rsid w:val="001349FB"/>
    <w:rsid w:val="00164152"/>
    <w:rsid w:val="0016593A"/>
    <w:rsid w:val="0018109C"/>
    <w:rsid w:val="001863DA"/>
    <w:rsid w:val="00196802"/>
    <w:rsid w:val="001B552F"/>
    <w:rsid w:val="001C4ACD"/>
    <w:rsid w:val="001D17F9"/>
    <w:rsid w:val="001D2C17"/>
    <w:rsid w:val="001D3010"/>
    <w:rsid w:val="001F4F50"/>
    <w:rsid w:val="001F7B2A"/>
    <w:rsid w:val="002501FC"/>
    <w:rsid w:val="00253F2B"/>
    <w:rsid w:val="00255E58"/>
    <w:rsid w:val="00262E96"/>
    <w:rsid w:val="00273C31"/>
    <w:rsid w:val="00285087"/>
    <w:rsid w:val="002A514C"/>
    <w:rsid w:val="002A60B5"/>
    <w:rsid w:val="002A7EF2"/>
    <w:rsid w:val="002B75F5"/>
    <w:rsid w:val="002C4705"/>
    <w:rsid w:val="002E008A"/>
    <w:rsid w:val="002E26C2"/>
    <w:rsid w:val="002F1B65"/>
    <w:rsid w:val="00302198"/>
    <w:rsid w:val="00317683"/>
    <w:rsid w:val="00317D2D"/>
    <w:rsid w:val="003234AF"/>
    <w:rsid w:val="00336E7A"/>
    <w:rsid w:val="00347DDC"/>
    <w:rsid w:val="0035616D"/>
    <w:rsid w:val="00370F6C"/>
    <w:rsid w:val="0037615E"/>
    <w:rsid w:val="00392567"/>
    <w:rsid w:val="003C300E"/>
    <w:rsid w:val="004069C6"/>
    <w:rsid w:val="0041427C"/>
    <w:rsid w:val="00426E2B"/>
    <w:rsid w:val="00431DEF"/>
    <w:rsid w:val="00434C1F"/>
    <w:rsid w:val="00440AB9"/>
    <w:rsid w:val="00471D50"/>
    <w:rsid w:val="00472A3D"/>
    <w:rsid w:val="004756F6"/>
    <w:rsid w:val="004A1734"/>
    <w:rsid w:val="004B1D0A"/>
    <w:rsid w:val="004B2385"/>
    <w:rsid w:val="004E0EB9"/>
    <w:rsid w:val="004E51E4"/>
    <w:rsid w:val="00505A66"/>
    <w:rsid w:val="005314B0"/>
    <w:rsid w:val="005338FB"/>
    <w:rsid w:val="005474AD"/>
    <w:rsid w:val="005478E1"/>
    <w:rsid w:val="0056161A"/>
    <w:rsid w:val="00575595"/>
    <w:rsid w:val="005932E1"/>
    <w:rsid w:val="0059748E"/>
    <w:rsid w:val="005A4F6A"/>
    <w:rsid w:val="005B03DC"/>
    <w:rsid w:val="005B42EE"/>
    <w:rsid w:val="005C117A"/>
    <w:rsid w:val="005E70EE"/>
    <w:rsid w:val="00606559"/>
    <w:rsid w:val="00613E6B"/>
    <w:rsid w:val="00615984"/>
    <w:rsid w:val="00624449"/>
    <w:rsid w:val="00626782"/>
    <w:rsid w:val="0062686F"/>
    <w:rsid w:val="006365AA"/>
    <w:rsid w:val="00640BD6"/>
    <w:rsid w:val="00650FA6"/>
    <w:rsid w:val="00657239"/>
    <w:rsid w:val="006730DC"/>
    <w:rsid w:val="00681621"/>
    <w:rsid w:val="00683AA6"/>
    <w:rsid w:val="006A01E8"/>
    <w:rsid w:val="006B07B9"/>
    <w:rsid w:val="006C13A2"/>
    <w:rsid w:val="006D236C"/>
    <w:rsid w:val="006D78DD"/>
    <w:rsid w:val="006E0868"/>
    <w:rsid w:val="006F760C"/>
    <w:rsid w:val="007133D0"/>
    <w:rsid w:val="007358A0"/>
    <w:rsid w:val="007611C8"/>
    <w:rsid w:val="0076355D"/>
    <w:rsid w:val="00771D72"/>
    <w:rsid w:val="007738D1"/>
    <w:rsid w:val="007931A3"/>
    <w:rsid w:val="007A4039"/>
    <w:rsid w:val="007D14EF"/>
    <w:rsid w:val="007F3E05"/>
    <w:rsid w:val="007F51CD"/>
    <w:rsid w:val="0081320B"/>
    <w:rsid w:val="008254A3"/>
    <w:rsid w:val="008263BE"/>
    <w:rsid w:val="0083344D"/>
    <w:rsid w:val="008723DC"/>
    <w:rsid w:val="0088164C"/>
    <w:rsid w:val="00882BBF"/>
    <w:rsid w:val="008A1A88"/>
    <w:rsid w:val="008A36AB"/>
    <w:rsid w:val="008A638F"/>
    <w:rsid w:val="008C42B4"/>
    <w:rsid w:val="008D16C4"/>
    <w:rsid w:val="00904BE7"/>
    <w:rsid w:val="00922894"/>
    <w:rsid w:val="0094679C"/>
    <w:rsid w:val="009537BE"/>
    <w:rsid w:val="009651A7"/>
    <w:rsid w:val="009920BC"/>
    <w:rsid w:val="009A5161"/>
    <w:rsid w:val="009B3D59"/>
    <w:rsid w:val="009B68A5"/>
    <w:rsid w:val="009C1AD5"/>
    <w:rsid w:val="009D34D5"/>
    <w:rsid w:val="009E0860"/>
    <w:rsid w:val="009E7C99"/>
    <w:rsid w:val="00A02625"/>
    <w:rsid w:val="00A1091B"/>
    <w:rsid w:val="00A13BB3"/>
    <w:rsid w:val="00A146CC"/>
    <w:rsid w:val="00A204AC"/>
    <w:rsid w:val="00A62633"/>
    <w:rsid w:val="00A8027E"/>
    <w:rsid w:val="00A82DBA"/>
    <w:rsid w:val="00AA0D6E"/>
    <w:rsid w:val="00AA5503"/>
    <w:rsid w:val="00AB5525"/>
    <w:rsid w:val="00AB7031"/>
    <w:rsid w:val="00AC7B4E"/>
    <w:rsid w:val="00AF64A1"/>
    <w:rsid w:val="00B06320"/>
    <w:rsid w:val="00B12933"/>
    <w:rsid w:val="00B256C0"/>
    <w:rsid w:val="00B339FC"/>
    <w:rsid w:val="00B37244"/>
    <w:rsid w:val="00B37973"/>
    <w:rsid w:val="00B40271"/>
    <w:rsid w:val="00B43821"/>
    <w:rsid w:val="00B44C1C"/>
    <w:rsid w:val="00B47DFF"/>
    <w:rsid w:val="00B52211"/>
    <w:rsid w:val="00B66545"/>
    <w:rsid w:val="00B7141A"/>
    <w:rsid w:val="00B818BC"/>
    <w:rsid w:val="00B8311E"/>
    <w:rsid w:val="00B97770"/>
    <w:rsid w:val="00BA0CE6"/>
    <w:rsid w:val="00BA43BC"/>
    <w:rsid w:val="00BA592E"/>
    <w:rsid w:val="00BB52C1"/>
    <w:rsid w:val="00C078EA"/>
    <w:rsid w:val="00C17195"/>
    <w:rsid w:val="00C1726F"/>
    <w:rsid w:val="00C31DA9"/>
    <w:rsid w:val="00C418C6"/>
    <w:rsid w:val="00C47EB5"/>
    <w:rsid w:val="00C5178B"/>
    <w:rsid w:val="00C5191D"/>
    <w:rsid w:val="00C547A2"/>
    <w:rsid w:val="00C5746B"/>
    <w:rsid w:val="00C71523"/>
    <w:rsid w:val="00C94D4F"/>
    <w:rsid w:val="00CD68B8"/>
    <w:rsid w:val="00D357E7"/>
    <w:rsid w:val="00D53EBC"/>
    <w:rsid w:val="00D7123B"/>
    <w:rsid w:val="00D8341B"/>
    <w:rsid w:val="00D856D2"/>
    <w:rsid w:val="00DB33E1"/>
    <w:rsid w:val="00DB54EF"/>
    <w:rsid w:val="00E077BA"/>
    <w:rsid w:val="00E26301"/>
    <w:rsid w:val="00E3445E"/>
    <w:rsid w:val="00E3600E"/>
    <w:rsid w:val="00E44A79"/>
    <w:rsid w:val="00E51F13"/>
    <w:rsid w:val="00E55739"/>
    <w:rsid w:val="00E65469"/>
    <w:rsid w:val="00E67C34"/>
    <w:rsid w:val="00E73BC7"/>
    <w:rsid w:val="00E73D31"/>
    <w:rsid w:val="00E75E2D"/>
    <w:rsid w:val="00E76BF5"/>
    <w:rsid w:val="00E817DA"/>
    <w:rsid w:val="00EA1FE4"/>
    <w:rsid w:val="00EA7025"/>
    <w:rsid w:val="00EB39CC"/>
    <w:rsid w:val="00EB431D"/>
    <w:rsid w:val="00EF3A16"/>
    <w:rsid w:val="00EF69F7"/>
    <w:rsid w:val="00F25581"/>
    <w:rsid w:val="00F97F36"/>
    <w:rsid w:val="00FB7811"/>
    <w:rsid w:val="00FD1119"/>
    <w:rsid w:val="00FD4AFB"/>
    <w:rsid w:val="00FD53E3"/>
    <w:rsid w:val="00FE46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184E2"/>
  <w15:chartTrackingRefBased/>
  <w15:docId w15:val="{E4956893-2F11-4FB9-ABCB-9418EB33E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6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26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26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26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26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26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26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26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26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26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26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26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26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26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26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26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26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26C2"/>
    <w:rPr>
      <w:rFonts w:eastAsiaTheme="majorEastAsia" w:cstheme="majorBidi"/>
      <w:color w:val="272727" w:themeColor="text1" w:themeTint="D8"/>
    </w:rPr>
  </w:style>
  <w:style w:type="paragraph" w:styleId="Title">
    <w:name w:val="Title"/>
    <w:basedOn w:val="Normal"/>
    <w:next w:val="Normal"/>
    <w:link w:val="TitleChar"/>
    <w:uiPriority w:val="10"/>
    <w:qFormat/>
    <w:rsid w:val="002E26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26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26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26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26C2"/>
    <w:pPr>
      <w:spacing w:before="160"/>
      <w:jc w:val="center"/>
    </w:pPr>
    <w:rPr>
      <w:i/>
      <w:iCs/>
      <w:color w:val="404040" w:themeColor="text1" w:themeTint="BF"/>
    </w:rPr>
  </w:style>
  <w:style w:type="character" w:customStyle="1" w:styleId="QuoteChar">
    <w:name w:val="Quote Char"/>
    <w:basedOn w:val="DefaultParagraphFont"/>
    <w:link w:val="Quote"/>
    <w:uiPriority w:val="29"/>
    <w:rsid w:val="002E26C2"/>
    <w:rPr>
      <w:i/>
      <w:iCs/>
      <w:color w:val="404040" w:themeColor="text1" w:themeTint="BF"/>
    </w:rPr>
  </w:style>
  <w:style w:type="paragraph" w:styleId="ListParagraph">
    <w:name w:val="List Paragraph"/>
    <w:basedOn w:val="Normal"/>
    <w:uiPriority w:val="34"/>
    <w:qFormat/>
    <w:rsid w:val="002E26C2"/>
    <w:pPr>
      <w:ind w:left="720"/>
      <w:contextualSpacing/>
    </w:pPr>
  </w:style>
  <w:style w:type="character" w:styleId="IntenseEmphasis">
    <w:name w:val="Intense Emphasis"/>
    <w:basedOn w:val="DefaultParagraphFont"/>
    <w:uiPriority w:val="21"/>
    <w:qFormat/>
    <w:rsid w:val="002E26C2"/>
    <w:rPr>
      <w:i/>
      <w:iCs/>
      <w:color w:val="0F4761" w:themeColor="accent1" w:themeShade="BF"/>
    </w:rPr>
  </w:style>
  <w:style w:type="paragraph" w:styleId="IntenseQuote">
    <w:name w:val="Intense Quote"/>
    <w:basedOn w:val="Normal"/>
    <w:next w:val="Normal"/>
    <w:link w:val="IntenseQuoteChar"/>
    <w:uiPriority w:val="30"/>
    <w:qFormat/>
    <w:rsid w:val="002E26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26C2"/>
    <w:rPr>
      <w:i/>
      <w:iCs/>
      <w:color w:val="0F4761" w:themeColor="accent1" w:themeShade="BF"/>
    </w:rPr>
  </w:style>
  <w:style w:type="character" w:styleId="IntenseReference">
    <w:name w:val="Intense Reference"/>
    <w:basedOn w:val="DefaultParagraphFont"/>
    <w:uiPriority w:val="32"/>
    <w:qFormat/>
    <w:rsid w:val="002E26C2"/>
    <w:rPr>
      <w:b/>
      <w:bCs/>
      <w:smallCaps/>
      <w:color w:val="0F4761" w:themeColor="accent1" w:themeShade="BF"/>
      <w:spacing w:val="5"/>
    </w:rPr>
  </w:style>
  <w:style w:type="paragraph" w:styleId="Header">
    <w:name w:val="header"/>
    <w:basedOn w:val="Normal"/>
    <w:link w:val="HeaderChar"/>
    <w:uiPriority w:val="99"/>
    <w:unhideWhenUsed/>
    <w:rsid w:val="002E2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6C2"/>
  </w:style>
  <w:style w:type="paragraph" w:styleId="Footer">
    <w:name w:val="footer"/>
    <w:basedOn w:val="Normal"/>
    <w:link w:val="FooterChar"/>
    <w:uiPriority w:val="99"/>
    <w:unhideWhenUsed/>
    <w:rsid w:val="002E26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6C2"/>
  </w:style>
  <w:style w:type="character" w:styleId="Hyperlink">
    <w:name w:val="Hyperlink"/>
    <w:basedOn w:val="DefaultParagraphFont"/>
    <w:uiPriority w:val="99"/>
    <w:unhideWhenUsed/>
    <w:rsid w:val="0088164C"/>
    <w:rPr>
      <w:color w:val="467886" w:themeColor="hyperlink"/>
      <w:u w:val="single"/>
    </w:rPr>
  </w:style>
  <w:style w:type="character" w:styleId="UnresolvedMention">
    <w:name w:val="Unresolved Mention"/>
    <w:basedOn w:val="DefaultParagraphFont"/>
    <w:uiPriority w:val="99"/>
    <w:semiHidden/>
    <w:unhideWhenUsed/>
    <w:rsid w:val="0088164C"/>
    <w:rPr>
      <w:color w:val="605E5C"/>
      <w:shd w:val="clear" w:color="auto" w:fill="E1DFDD"/>
    </w:rPr>
  </w:style>
  <w:style w:type="paragraph" w:styleId="EndnoteText">
    <w:name w:val="endnote text"/>
    <w:basedOn w:val="Normal"/>
    <w:link w:val="EndnoteTextChar"/>
    <w:uiPriority w:val="99"/>
    <w:semiHidden/>
    <w:unhideWhenUsed/>
    <w:rsid w:val="00AB552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B5525"/>
    <w:rPr>
      <w:sz w:val="20"/>
      <w:szCs w:val="20"/>
    </w:rPr>
  </w:style>
  <w:style w:type="character" w:styleId="EndnoteReference">
    <w:name w:val="endnote reference"/>
    <w:basedOn w:val="DefaultParagraphFont"/>
    <w:uiPriority w:val="99"/>
    <w:semiHidden/>
    <w:unhideWhenUsed/>
    <w:rsid w:val="00AB5525"/>
    <w:rPr>
      <w:vertAlign w:val="superscript"/>
    </w:rPr>
  </w:style>
  <w:style w:type="paragraph" w:styleId="FootnoteText">
    <w:name w:val="footnote text"/>
    <w:basedOn w:val="Normal"/>
    <w:link w:val="FootnoteTextChar"/>
    <w:uiPriority w:val="99"/>
    <w:semiHidden/>
    <w:unhideWhenUsed/>
    <w:rsid w:val="008263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63BE"/>
    <w:rPr>
      <w:sz w:val="20"/>
      <w:szCs w:val="20"/>
    </w:rPr>
  </w:style>
  <w:style w:type="character" w:styleId="FootnoteReference">
    <w:name w:val="footnote reference"/>
    <w:basedOn w:val="DefaultParagraphFont"/>
    <w:uiPriority w:val="99"/>
    <w:semiHidden/>
    <w:unhideWhenUsed/>
    <w:rsid w:val="008263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3903">
      <w:bodyDiv w:val="1"/>
      <w:marLeft w:val="0"/>
      <w:marRight w:val="0"/>
      <w:marTop w:val="0"/>
      <w:marBottom w:val="0"/>
      <w:divBdr>
        <w:top w:val="none" w:sz="0" w:space="0" w:color="auto"/>
        <w:left w:val="none" w:sz="0" w:space="0" w:color="auto"/>
        <w:bottom w:val="none" w:sz="0" w:space="0" w:color="auto"/>
        <w:right w:val="none" w:sz="0" w:space="0" w:color="auto"/>
      </w:divBdr>
    </w:div>
    <w:div w:id="431751328">
      <w:bodyDiv w:val="1"/>
      <w:marLeft w:val="0"/>
      <w:marRight w:val="0"/>
      <w:marTop w:val="0"/>
      <w:marBottom w:val="0"/>
      <w:divBdr>
        <w:top w:val="none" w:sz="0" w:space="0" w:color="auto"/>
        <w:left w:val="none" w:sz="0" w:space="0" w:color="auto"/>
        <w:bottom w:val="none" w:sz="0" w:space="0" w:color="auto"/>
        <w:right w:val="none" w:sz="0" w:space="0" w:color="auto"/>
      </w:divBdr>
    </w:div>
    <w:div w:id="814106572">
      <w:bodyDiv w:val="1"/>
      <w:marLeft w:val="0"/>
      <w:marRight w:val="0"/>
      <w:marTop w:val="0"/>
      <w:marBottom w:val="0"/>
      <w:divBdr>
        <w:top w:val="none" w:sz="0" w:space="0" w:color="auto"/>
        <w:left w:val="none" w:sz="0" w:space="0" w:color="auto"/>
        <w:bottom w:val="none" w:sz="0" w:space="0" w:color="auto"/>
        <w:right w:val="none" w:sz="0" w:space="0" w:color="auto"/>
      </w:divBdr>
    </w:div>
    <w:div w:id="1555501955">
      <w:bodyDiv w:val="1"/>
      <w:marLeft w:val="0"/>
      <w:marRight w:val="0"/>
      <w:marTop w:val="0"/>
      <w:marBottom w:val="0"/>
      <w:divBdr>
        <w:top w:val="none" w:sz="0" w:space="0" w:color="auto"/>
        <w:left w:val="none" w:sz="0" w:space="0" w:color="auto"/>
        <w:bottom w:val="none" w:sz="0" w:space="0" w:color="auto"/>
        <w:right w:val="none" w:sz="0" w:space="0" w:color="auto"/>
      </w:divBdr>
    </w:div>
    <w:div w:id="1866942171">
      <w:bodyDiv w:val="1"/>
      <w:marLeft w:val="0"/>
      <w:marRight w:val="0"/>
      <w:marTop w:val="0"/>
      <w:marBottom w:val="0"/>
      <w:divBdr>
        <w:top w:val="none" w:sz="0" w:space="0" w:color="auto"/>
        <w:left w:val="none" w:sz="0" w:space="0" w:color="auto"/>
        <w:bottom w:val="none" w:sz="0" w:space="0" w:color="auto"/>
        <w:right w:val="none" w:sz="0" w:space="0" w:color="auto"/>
      </w:divBdr>
    </w:div>
    <w:div w:id="1877698766">
      <w:bodyDiv w:val="1"/>
      <w:marLeft w:val="0"/>
      <w:marRight w:val="0"/>
      <w:marTop w:val="0"/>
      <w:marBottom w:val="0"/>
      <w:divBdr>
        <w:top w:val="none" w:sz="0" w:space="0" w:color="auto"/>
        <w:left w:val="none" w:sz="0" w:space="0" w:color="auto"/>
        <w:bottom w:val="none" w:sz="0" w:space="0" w:color="auto"/>
        <w:right w:val="none" w:sz="0" w:space="0" w:color="auto"/>
      </w:divBdr>
    </w:div>
    <w:div w:id="2001031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011128711398029" TargetMode="External"/><Relationship Id="rId18" Type="http://schemas.openxmlformats.org/officeDocument/2006/relationships/hyperlink" Target="https://www.bodycamera.co.uk/pages/about-body-worn-video" TargetMode="External"/><Relationship Id="rId26" Type="http://schemas.openxmlformats.org/officeDocument/2006/relationships/hyperlink" Target="https://doi.org/10.1542/peds.111.3." TargetMode="External"/><Relationship Id="rId39" Type="http://schemas.openxmlformats.org/officeDocument/2006/relationships/hyperlink" Target="https://doi.org/10.1111/1745-9133.12524" TargetMode="External"/><Relationship Id="rId21" Type="http://schemas.openxmlformats.org/officeDocument/2006/relationships/hyperlink" Target="https://carelearning.org.uk/blog/safeguarding/what-are-multi-agency-safeguarding-hubs-mash/" TargetMode="External"/><Relationship Id="rId34" Type="http://schemas.openxmlformats.org/officeDocument/2006/relationships/hyperlink" Target="https://irr.org.uk/article/over-policed-and-under-protected-why-does-nothing-change/" TargetMode="External"/><Relationship Id="rId42" Type="http://schemas.openxmlformats.org/officeDocument/2006/relationships/hyperlink" Target="https://www.ons.gov.uk/peoplepopulationandcommunity/culturalidentity/religion/bulletins/religionenglandandwales/census2021?form=MG0AV3" TargetMode="External"/><Relationship Id="rId47" Type="http://schemas.openxmlformats.org/officeDocument/2006/relationships/hyperlink" Target="https://blogs.kent.ac.uk/criminaljusticenotes/2020/01/31/police-complaints-reform/" TargetMode="External"/><Relationship Id="rId50" Type="http://schemas.openxmlformats.org/officeDocument/2006/relationships/hyperlink" Target="https://wp-main.travellermovement.org.uk/wp-content/uploads/2021/09/Gypsies-and-Travellers-in-Ethnic-Monitoring-Systems-of-Police-Forces.pdf" TargetMode="External"/><Relationship Id="rId55" Type="http://schemas.openxmlformats.org/officeDocument/2006/relationships/hyperlink" Target="https://brainly.com/question/38571969"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80/15614263.2018.1428098" TargetMode="External"/><Relationship Id="rId20" Type="http://schemas.openxmlformats.org/officeDocument/2006/relationships/hyperlink" Target="https://doi.org/10.1080/10439463.2017.1339706" TargetMode="External"/><Relationship Id="rId29" Type="http://schemas.openxmlformats.org/officeDocument/2006/relationships/hyperlink" Target="https://www.beyondyouthcustody.net/wp-content/uploads/Effective-resettlement-of-young-people-lessons-from-Beyond-Youth-Custody.pdf" TargetMode="External"/><Relationship Id="rId41" Type="http://schemas.openxmlformats.org/officeDocument/2006/relationships/hyperlink" Target="https://www.ethnicity-facts-figures.service.gov.uk/uk-population-by-ethnicity/demographics/male-and-female-populations/latest/" TargetMode="External"/><Relationship Id="rId54" Type="http://schemas.openxmlformats.org/officeDocument/2006/relationships/hyperlink" Target="https://refworks.proquest.com/www.unison.org.uk/content/uploads/2016/08/23996.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improving-equality-diversity-and-inclusion" TargetMode="External"/><Relationship Id="rId24" Type="http://schemas.openxmlformats.org/officeDocument/2006/relationships/hyperlink" Target="https://www.college.police.uk/article/code-of-ethics" TargetMode="External"/><Relationship Id="rId32" Type="http://schemas.openxmlformats.org/officeDocument/2006/relationships/hyperlink" Target="https://assets.publishing.service.gov.uk/government/uploads/system/uploads/attachment_data/file/698009/serious-violence-strategy.pdf" TargetMode="External"/><Relationship Id="rId37" Type="http://schemas.openxmlformats.org/officeDocument/2006/relationships/hyperlink" Target="https://hansard.parliament.uk/Lords/1981-11-25/debates/008514e8-e688-4dfe-ba60-777fee95e3e5/TheScarmanReport" TargetMode="External"/><Relationship Id="rId40" Type="http://schemas.openxmlformats.org/officeDocument/2006/relationships/hyperlink" Target="https://discovery.nationalarchives.gov.uk/details/r/C313" TargetMode="External"/><Relationship Id="rId45" Type="http://schemas.openxmlformats.org/officeDocument/2006/relationships/hyperlink" Target="https://assets.publishing.service.gov.uk/media/5a7a36f2e5274a34770e5114/DFE-RR111.pdf" TargetMode="External"/><Relationship Id="rId53" Type="http://schemas.openxmlformats.org/officeDocument/2006/relationships/hyperlink" Target="https://www.gov.uk/government/publications/ending-gang-and-youth-violence-cross-government-report" TargetMode="External"/><Relationship Id="rId58" Type="http://schemas.openxmlformats.org/officeDocument/2006/relationships/hyperlink" Target="https://doi.org/10.1080/10439463.2016.1262365" TargetMode="External"/><Relationship Id="rId5" Type="http://schemas.openxmlformats.org/officeDocument/2006/relationships/webSettings" Target="webSettings.xml"/><Relationship Id="rId15" Type="http://schemas.openxmlformats.org/officeDocument/2006/relationships/hyperlink" Target="https://aym.org.uk/yots/" TargetMode="External"/><Relationship Id="rId23" Type="http://schemas.openxmlformats.org/officeDocument/2006/relationships/hyperlink" Target="https://doi.org/10.1177/0734016819846236" TargetMode="External"/><Relationship Id="rId28" Type="http://schemas.openxmlformats.org/officeDocument/2006/relationships/hyperlink" Target="https://doi.org/10.1080/09589236.2021.1979481" TargetMode="External"/><Relationship Id="rId36" Type="http://schemas.openxmlformats.org/officeDocument/2006/relationships/hyperlink" Target="https://www.londonmuseum.org.uk/collections/london-stories/metropolitan-police-from-1829-to-today" TargetMode="External"/><Relationship Id="rId49" Type="http://schemas.openxmlformats.org/officeDocument/2006/relationships/hyperlink" Target="https://assets.publishing.service.gov.uk/media/5a7dff1d40f0b62305b8020f/yjb-barriers-ETE-report.pdf" TargetMode="External"/><Relationship Id="rId57" Type="http://schemas.openxmlformats.org/officeDocument/2006/relationships/hyperlink" Target="https://doi.org/" TargetMode="External"/><Relationship Id="rId61" Type="http://schemas.openxmlformats.org/officeDocument/2006/relationships/header" Target="header1.xml"/><Relationship Id="rId10" Type="http://schemas.openxmlformats.org/officeDocument/2006/relationships/hyperlink" Target="https://www.legislation.gov.uk/ukpga/1989/41/contents" TargetMode="External"/><Relationship Id="rId19" Type="http://schemas.openxmlformats.org/officeDocument/2006/relationships/hyperlink" Target="https://doi.org/10." TargetMode="External"/><Relationship Id="rId31" Type="http://schemas.openxmlformats.org/officeDocument/2006/relationships/hyperlink" Target="https://www.justiceinspectorates.gov.uk/hmiprobation/research/the-evidence-base-youth-offending-services/specific-types-of-delivery/prevention/?form=MG0AV3" TargetMode="External"/><Relationship Id="rId44" Type="http://schemas.openxmlformats.org/officeDocument/2006/relationships/hyperlink" Target="https://doi.org/10.52922/ti274705" TargetMode="External"/><Relationship Id="rId52" Type="http://schemas.openxmlformats.org/officeDocument/2006/relationships/hyperlink" Target="https://www.gov.uk/government/publications/pace-code-c-2023," TargetMode="External"/><Relationship Id="rId60" Type="http://schemas.openxmlformats.org/officeDocument/2006/relationships/hyperlink" Target="https://doi.org/10.1177/1088868309349693"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doi.org/10.1002/jcop.22767" TargetMode="External"/><Relationship Id="rId22" Type="http://schemas.openxmlformats.org/officeDocument/2006/relationships/hyperlink" Target="http://www.equalityhumanrights.com/publication/research-report-72-impact-counter-terrorism-measures-muslim-community" TargetMode="External"/><Relationship Id="rId27" Type="http://schemas.openxmlformats.org/officeDocument/2006/relationships/hyperlink" Target="https://www.spiceworks.com/hr/diversity-inclusion/guest-article/the-definition-of-diversity-in-the-workplace-has-changed-heres-what-that-means-for-your-business" TargetMode="External"/><Relationship Id="rId30" Type="http://schemas.openxmlformats.org/officeDocument/2006/relationships/hyperlink" Target="https://doi.org/10.1177/0032258X211000834" TargetMode="External"/><Relationship Id="rId35" Type="http://schemas.openxmlformats.org/officeDocument/2006/relationships/hyperlink" Target="https://lgbtqplus.org.uk/heritage/a-brief-timeline-of-lgbtq-laws-in-the-uk" TargetMode="External"/><Relationship Id="rId43" Type="http://schemas.openxmlformats.org/officeDocument/2006/relationships/hyperlink" Target="https://www.policeconduct.gov.uk/about-us" TargetMode="External"/><Relationship Id="rId48" Type="http://schemas.openxmlformats.org/officeDocument/2006/relationships/hyperlink" Target="https://assets.publishing.service.gov.uk/media/5a7c2af540f0b645ba3c7202/4262.pdf" TargetMode="External"/><Relationship Id="rId56" Type="http://schemas.openxmlformats.org/officeDocument/2006/relationships/hyperlink" Target="https://news.sky.com/story/the-missed-opportunities-to-stop-southport-triple-killer-axel-rudakubana-13294495" TargetMode="External"/><Relationship Id="rId64" Type="http://schemas.openxmlformats.org/officeDocument/2006/relationships/theme" Target="theme/theme1.xml"/><Relationship Id="rId8" Type="http://schemas.openxmlformats.org/officeDocument/2006/relationships/hyperlink" Target="https://www.legislation.gov.uk/ukpga/2015/30/contents" TargetMode="External"/><Relationship Id="rId51" Type="http://schemas.openxmlformats.org/officeDocument/2006/relationships/hyperlink" Target="https://lordslibrary.parliament.uk/police-standards-and-culture-restoring-public-trust/" TargetMode="External"/><Relationship Id="rId3" Type="http://schemas.openxmlformats.org/officeDocument/2006/relationships/styles" Target="styles.xml"/><Relationship Id="rId12" Type="http://schemas.openxmlformats.org/officeDocument/2006/relationships/hyperlink" Target="https://researchbriefings.files.parliament.uk/documents/SN00634/SN00634.pdf" TargetMode="External"/><Relationship Id="rId17" Type="http://schemas.openxmlformats.org/officeDocument/2006/relationships/hyperlink" Target="https://www.london.gov.uk/sites/default/files/london_lost_youth_services_sian_berry_jan2017.pdf" TargetMode="External"/><Relationship Id="rId25" Type="http://schemas.openxmlformats.org/officeDocument/2006/relationships/hyperlink" Target="https://doi.org/10.3828/rs.2022.5" TargetMode="External"/><Relationship Id="rId33" Type="http://schemas.openxmlformats.org/officeDocument/2006/relationships/hyperlink" Target="https://www.bbc.co.uk/news/articles/cpdxl1gdjvxo" TargetMode="External"/><Relationship Id="rId38" Type="http://schemas.openxmlformats.org/officeDocument/2006/relationships/hyperlink" Target="https://doi.org/10.1080/10439463.2013.784295" TargetMode="External"/><Relationship Id="rId46" Type="http://schemas.openxmlformats.org/officeDocument/2006/relationships/hyperlink" Target="https://doi.org/10.1111/j.1748-8583.2011.00179.x" TargetMode="External"/><Relationship Id="rId59" Type="http://schemas.openxmlformats.org/officeDocument/2006/relationships/hyperlink" Target="https://assets.publishing.service.gov.uk/media/5a7f8dcbed915d74e33f725e/Board_Visits_Final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55AAD-A46A-423D-859F-9144601A1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7068</Words>
  <Characters>40294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Gale, Christopher</dc:creator>
  <cp:keywords/>
  <dc:description/>
  <cp:lastModifiedBy>Gale, Christopher</cp:lastModifiedBy>
  <cp:revision>4</cp:revision>
  <dcterms:created xsi:type="dcterms:W3CDTF">2025-01-27T13:06:00Z</dcterms:created>
  <dcterms:modified xsi:type="dcterms:W3CDTF">2025-01-27T16:08:00Z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2025-01-22T12:43:08Z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bd81f0d5-63c1-48a4-9ab0-92f2d2e1e86e</vt:lpwstr>
  </property>
  <property fmtid="{D5CDD505-2E9C-101B-9397-08002B2CF9AE}" pid="8" name="MSIP_Label_f2acd28b-79a3-4a0f-b0ff-4b75658b1549_ContentBits">
    <vt:lpwstr>0</vt:lpwstr>
  </property>
</Properties>
</file>