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rtl w:val="0"/>
        </w:rPr>
      </w:r>
    </w:p>
    <w:p w:rsidR="00000000" w:rsidDel="00000000" w:rsidP="00000000" w:rsidRDefault="00000000" w:rsidRPr="00000000" w14:paraId="00000003">
      <w:pPr>
        <w:jc w:val="center"/>
        <w:rPr>
          <w:b w:val="1"/>
          <w:bCs w:val="1"/>
          <w:sz w:val="52"/>
          <w:szCs w:val="52"/>
        </w:rPr>
      </w:pPr>
      <w:r w:rsidDel="00000000" w:rsidR="00000000" w:rsidRPr="00000000">
        <w:rPr>
          <w:rtl w:val="0"/>
        </w:rPr>
      </w:r>
    </w:p>
    <w:p w:rsidR="00000000" w:rsidDel="00000000" w:rsidP="00000000" w:rsidRDefault="00000000" w:rsidRPr="00000000" w14:paraId="00000004">
      <w:pPr>
        <w:jc w:val="center"/>
        <w:rPr>
          <w:b w:val="1"/>
          <w:bCs w:val="1"/>
          <w:sz w:val="52"/>
          <w:szCs w:val="52"/>
        </w:rPr>
      </w:pPr>
      <w:r w:rsidDel="00000000" w:rsidR="00000000" w:rsidRPr="00000000">
        <w:rPr>
          <w:b w:val="1"/>
          <w:bCs w:val="1"/>
          <w:sz w:val="52"/>
          <w:szCs w:val="52"/>
          <w:rtl w:val="0"/>
        </w:rPr>
        <w:t xml:space="preserve">ELENA OPREA</w:t>
      </w:r>
    </w:p>
    <w:p w:rsidR="00000000" w:rsidDel="00000000" w:rsidP="00000000" w:rsidRDefault="00000000" w:rsidRPr="00000000" w14:paraId="00000005">
      <w:pPr>
        <w:jc w:val="center"/>
        <w:rPr>
          <w:b w:val="1"/>
          <w:bCs w:val="1"/>
          <w:sz w:val="52"/>
          <w:szCs w:val="52"/>
        </w:rPr>
      </w:pPr>
      <w:r w:rsidDel="00000000" w:rsidR="00000000" w:rsidRPr="00000000">
        <w:rPr>
          <w:b w:val="1"/>
          <w:bCs w:val="1"/>
          <w:sz w:val="52"/>
          <w:szCs w:val="52"/>
          <w:rtl w:val="0"/>
        </w:rPr>
        <w:t xml:space="preserve">Student ID: 2322804</w:t>
      </w:r>
    </w:p>
    <w:p w:rsidR="00000000" w:rsidDel="00000000" w:rsidP="00000000" w:rsidRDefault="00000000" w:rsidRPr="00000000" w14:paraId="00000006">
      <w:pPr>
        <w:jc w:val="center"/>
        <w:rPr>
          <w:b w:val="1"/>
          <w:bCs w:val="1"/>
          <w:sz w:val="52"/>
          <w:szCs w:val="52"/>
        </w:rPr>
      </w:pPr>
      <w:r w:rsidDel="00000000" w:rsidR="00000000" w:rsidRPr="00000000">
        <w:rPr>
          <w:b w:val="1"/>
          <w:bCs w:val="1"/>
          <w:sz w:val="52"/>
          <w:szCs w:val="52"/>
          <w:rtl w:val="0"/>
        </w:rPr>
        <w:t xml:space="preserve">Module Code: BMHP6029</w:t>
      </w:r>
    </w:p>
    <w:p w:rsidR="00000000" w:rsidDel="00000000" w:rsidP="00000000" w:rsidRDefault="00000000" w:rsidRPr="00000000" w14:paraId="00000007">
      <w:pPr>
        <w:spacing w:before="120" w:lineRule="auto"/>
        <w:jc w:val="center"/>
        <w:rPr>
          <w:b w:val="1"/>
          <w:bCs w:val="1"/>
          <w:sz w:val="52"/>
          <w:szCs w:val="52"/>
        </w:rPr>
      </w:pPr>
      <w:r w:rsidDel="00000000" w:rsidR="00000000" w:rsidRPr="00000000">
        <w:rPr>
          <w:b w:val="1"/>
          <w:bCs w:val="1"/>
          <w:sz w:val="52"/>
          <w:szCs w:val="52"/>
          <w:rtl w:val="0"/>
        </w:rPr>
        <w:t xml:space="preserve">Module Title:</w:t>
      </w:r>
      <w:r w:rsidDel="00000000" w:rsidR="00000000" w:rsidRPr="00000000">
        <w:rPr>
          <w:rFonts w:ascii="Arial" w:cs="Arial" w:eastAsia="Arial" w:hAnsi="Arial"/>
          <w:b w:val="1"/>
          <w:bCs w:val="1"/>
          <w:sz w:val="22"/>
          <w:szCs w:val="22"/>
          <w:rtl w:val="0"/>
        </w:rPr>
        <w:t xml:space="preserve"> </w:t>
      </w:r>
      <w:r w:rsidDel="00000000" w:rsidR="00000000" w:rsidRPr="00000000">
        <w:rPr>
          <w:b w:val="1"/>
          <w:bCs w:val="1"/>
          <w:sz w:val="52"/>
          <w:szCs w:val="52"/>
          <w:rtl w:val="0"/>
        </w:rPr>
        <w:t xml:space="preserve">Component 2: Written Assignment (Report)</w:t>
      </w:r>
    </w:p>
    <w:p w:rsidR="00000000" w:rsidDel="00000000" w:rsidP="00000000" w:rsidRDefault="00000000" w:rsidRPr="00000000" w14:paraId="00000008">
      <w:pPr>
        <w:pStyle w:val="Title"/>
        <w:pBdr>
          <w:bottom w:color="156082" w:space="3" w:sz="8" w:val="single"/>
        </w:pBdr>
        <w:spacing w:after="0" w:lineRule="auto"/>
        <w:jc w:val="center"/>
        <w:rPr/>
      </w:pPr>
      <w:r w:rsidDel="00000000" w:rsidR="00000000" w:rsidRPr="00000000">
        <w:rPr>
          <w:rtl w:val="0"/>
        </w:rPr>
        <w:t xml:space="preserve">Lecturer:Kennedy Obohwemu</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Title"/>
        <w:pBdr>
          <w:bottom w:color="156082" w:space="3" w:sz="8" w:val="single"/>
        </w:pBdr>
        <w:spacing w:after="0" w:lineRule="auto"/>
        <w:jc w:val="center"/>
        <w:rPr/>
      </w:pPr>
      <w:r w:rsidDel="00000000" w:rsidR="00000000" w:rsidRPr="00000000">
        <w:rPr>
          <w:rtl w:val="0"/>
        </w:rPr>
      </w:r>
    </w:p>
    <w:p w:rsidR="00000000" w:rsidDel="00000000" w:rsidP="00000000" w:rsidRDefault="00000000" w:rsidRPr="00000000" w14:paraId="0000000B">
      <w:pPr>
        <w:pStyle w:val="Title"/>
        <w:pBdr>
          <w:bottom w:color="156082" w:space="3" w:sz="8" w:val="single"/>
        </w:pBdr>
        <w:spacing w:after="0" w:lineRule="auto"/>
        <w:jc w:val="center"/>
        <w:rPr/>
      </w:pPr>
      <w:r w:rsidDel="00000000" w:rsidR="00000000" w:rsidRPr="00000000">
        <w:rPr>
          <w:rtl w:val="0"/>
        </w:rPr>
      </w:r>
    </w:p>
    <w:p w:rsidR="00000000" w:rsidDel="00000000" w:rsidP="00000000" w:rsidRDefault="00000000" w:rsidRPr="00000000" w14:paraId="0000000C">
      <w:pPr>
        <w:pStyle w:val="Title"/>
        <w:pBdr>
          <w:bottom w:color="156082" w:space="3" w:sz="8" w:val="single"/>
        </w:pBdr>
        <w:spacing w:after="0" w:lineRule="auto"/>
        <w:jc w:val="center"/>
        <w:rPr/>
      </w:pPr>
      <w:r w:rsidDel="00000000" w:rsidR="00000000" w:rsidRPr="00000000">
        <w:rPr>
          <w:rtl w:val="0"/>
        </w:rPr>
      </w:r>
    </w:p>
    <w:p w:rsidR="00000000" w:rsidDel="00000000" w:rsidP="00000000" w:rsidRDefault="00000000" w:rsidRPr="00000000" w14:paraId="0000000D">
      <w:pPr>
        <w:pStyle w:val="Title"/>
        <w:pBdr>
          <w:bottom w:color="156082" w:space="3" w:sz="8" w:val="single"/>
        </w:pBdr>
        <w:jc w:val="cente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Title"/>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Table of Contents</w:t>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Play" w:cs="Play" w:eastAsia="Play" w:hAnsi="Play"/>
          <w:b w:val="1"/>
          <w:bCs w:val="1"/>
          <w:i w:val="0"/>
          <w:iCs w:val="0"/>
          <w:smallCaps w:val="0"/>
          <w:strike w:val="0"/>
          <w:color w:val="0f4761"/>
          <w:sz w:val="28"/>
          <w:szCs w:val="28"/>
          <w:u w:val="none"/>
          <w:shd w:fill="auto" w:val="clear"/>
          <w:vertAlign w:val="baseline"/>
        </w:rPr>
      </w:pPr>
      <w:r w:rsidDel="00000000" w:rsidR="00000000" w:rsidRPr="00000000">
        <w:rPr>
          <w:rFonts w:ascii="Play" w:cs="Play" w:eastAsia="Play" w:hAnsi="Play"/>
          <w:b w:val="1"/>
          <w:bCs w:val="1"/>
          <w:i w:val="0"/>
          <w:iCs w:val="0"/>
          <w:smallCaps w:val="0"/>
          <w:strike w:val="0"/>
          <w:color w:val="0f4761"/>
          <w:sz w:val="28"/>
          <w:szCs w:val="28"/>
          <w:u w:val="none"/>
          <w:shd w:fill="auto" w:val="clear"/>
          <w:vertAlign w:val="baseline"/>
          <w:rtl w:val="0"/>
        </w:rPr>
        <w:t xml:space="preserve">Contents</w:t>
      </w:r>
    </w:p>
    <w:sdt>
      <w:sdtPr>
        <w:id w:val="543712383"/>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btujsz6x8e0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80vyq1anlt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ICD-11 classification and language</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sy069gsyv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Diagnostic criteria and diagnostic process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jpqr0qn12o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Treatment approaches in evidence and in guidelines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5up2rni3y4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Rehabilitation and longer-term support</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euy8dpcthij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Current debates and emerging issues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77idgpti472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Recommendations</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3hr9l9g2zl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15u3zzduq7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References</w:t>
              <w:tab/>
              <w:t xml:space="preserve">9</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Title"/>
        <w:spacing w:after="0" w:lineRule="auto"/>
        <w:jc w:val="center"/>
        <w:rPr/>
      </w:pPr>
      <w:r w:rsidDel="00000000" w:rsidR="00000000" w:rsidRPr="00000000">
        <w:rPr>
          <w:rtl w:val="0"/>
        </w:rPr>
      </w:r>
    </w:p>
    <w:p w:rsidR="00000000" w:rsidDel="00000000" w:rsidP="00000000" w:rsidRDefault="00000000" w:rsidRPr="00000000" w14:paraId="0000001E">
      <w:pPr>
        <w:pStyle w:val="Title"/>
        <w:spacing w:after="0" w:lineRule="auto"/>
        <w:jc w:val="center"/>
        <w:rPr/>
      </w:pPr>
      <w:r w:rsidDel="00000000" w:rsidR="00000000" w:rsidRPr="00000000">
        <w:rPr>
          <w:rtl w:val="0"/>
        </w:rPr>
      </w:r>
    </w:p>
    <w:p w:rsidR="00000000" w:rsidDel="00000000" w:rsidP="00000000" w:rsidRDefault="00000000" w:rsidRPr="00000000" w14:paraId="0000001F">
      <w:pPr>
        <w:pStyle w:val="Title"/>
        <w:spacing w:after="0" w:lineRule="auto"/>
        <w:jc w:val="center"/>
        <w:rPr/>
      </w:pPr>
      <w:r w:rsidDel="00000000" w:rsidR="00000000" w:rsidRPr="00000000">
        <w:rPr>
          <w:rtl w:val="0"/>
        </w:rPr>
      </w:r>
    </w:p>
    <w:p w:rsidR="00000000" w:rsidDel="00000000" w:rsidP="00000000" w:rsidRDefault="00000000" w:rsidRPr="00000000" w14:paraId="00000020">
      <w:pPr>
        <w:pStyle w:val="Title"/>
        <w:spacing w:after="0" w:lineRule="auto"/>
        <w:jc w:val="center"/>
        <w:rPr/>
      </w:pPr>
      <w:r w:rsidDel="00000000" w:rsidR="00000000" w:rsidRPr="00000000">
        <w:rPr>
          <w:rtl w:val="0"/>
        </w:rPr>
      </w:r>
    </w:p>
    <w:p w:rsidR="00000000" w:rsidDel="00000000" w:rsidP="00000000" w:rsidRDefault="00000000" w:rsidRPr="00000000" w14:paraId="00000021">
      <w:pPr>
        <w:pStyle w:val="Title"/>
        <w:spacing w:after="0" w:lineRule="auto"/>
        <w:jc w:val="center"/>
        <w:rPr/>
      </w:pPr>
      <w:r w:rsidDel="00000000" w:rsidR="00000000" w:rsidRPr="00000000">
        <w:rPr>
          <w:rtl w:val="0"/>
        </w:rPr>
      </w:r>
    </w:p>
    <w:p w:rsidR="00000000" w:rsidDel="00000000" w:rsidP="00000000" w:rsidRDefault="00000000" w:rsidRPr="00000000" w14:paraId="00000022">
      <w:pPr>
        <w:pStyle w:val="Title"/>
        <w:spacing w:after="0" w:lineRule="auto"/>
        <w:jc w:val="center"/>
        <w:rPr/>
      </w:pPr>
      <w:r w:rsidDel="00000000" w:rsidR="00000000" w:rsidRPr="00000000">
        <w:rPr>
          <w:rtl w:val="0"/>
        </w:rPr>
      </w:r>
    </w:p>
    <w:p w:rsidR="00000000" w:rsidDel="00000000" w:rsidP="00000000" w:rsidRDefault="00000000" w:rsidRPr="00000000" w14:paraId="00000023">
      <w:pPr>
        <w:pStyle w:val="Title"/>
        <w:spacing w:after="0" w:lineRule="auto"/>
        <w:jc w:val="center"/>
        <w:rPr/>
      </w:pPr>
      <w:r w:rsidDel="00000000" w:rsidR="00000000" w:rsidRPr="00000000">
        <w:rPr>
          <w:rtl w:val="0"/>
        </w:rPr>
      </w:r>
    </w:p>
    <w:p w:rsidR="00000000" w:rsidDel="00000000" w:rsidP="00000000" w:rsidRDefault="00000000" w:rsidRPr="00000000" w14:paraId="00000024">
      <w:pPr>
        <w:pStyle w:val="Title"/>
        <w:spacing w:after="0" w:lineRule="auto"/>
        <w:jc w:val="center"/>
        <w:rPr/>
      </w:pPr>
      <w:r w:rsidDel="00000000" w:rsidR="00000000" w:rsidRPr="00000000">
        <w:rPr>
          <w:rtl w:val="0"/>
        </w:rPr>
      </w:r>
    </w:p>
    <w:p w:rsidR="00000000" w:rsidDel="00000000" w:rsidP="00000000" w:rsidRDefault="00000000" w:rsidRPr="00000000" w14:paraId="00000025">
      <w:pPr>
        <w:pStyle w:val="Title"/>
        <w:spacing w:after="0" w:lineRule="auto"/>
        <w:rPr/>
      </w:pPr>
      <w:r w:rsidDel="00000000" w:rsidR="00000000" w:rsidRPr="00000000">
        <w:rPr>
          <w:rtl w:val="0"/>
        </w:rPr>
      </w:r>
    </w:p>
    <w:p w:rsidR="00000000" w:rsidDel="00000000" w:rsidP="00000000" w:rsidRDefault="00000000" w:rsidRPr="00000000" w14:paraId="00000026">
      <w:pPr>
        <w:pStyle w:val="Title"/>
        <w:jc w:val="center"/>
        <w:rPr>
          <w:color w:val="215e99"/>
        </w:rPr>
      </w:pPr>
      <w:r w:rsidDel="00000000" w:rsidR="00000000" w:rsidRPr="00000000">
        <w:rPr>
          <w:color w:val="215e99"/>
          <w:rtl w:val="0"/>
        </w:rPr>
        <w:t xml:space="preserve">Attention Deficit Hyperactivity Disorder (ADHD) in ICD-11: Classification, Diagnosis, Treatment, Rehabilitation and Current Debates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rPr/>
      </w:pPr>
      <w:bookmarkStart w:colFirst="0" w:colLast="0" w:name="_heading=h.btujsz6x8e0i" w:id="0"/>
      <w:bookmarkEnd w:id="0"/>
      <w:r w:rsidDel="00000000" w:rsidR="00000000" w:rsidRPr="00000000">
        <w:rPr>
          <w:rtl w:val="0"/>
        </w:rPr>
        <w:t xml:space="preserve">1. Introduction</w:t>
      </w:r>
    </w:p>
    <w:p w:rsidR="00000000" w:rsidDel="00000000" w:rsidP="00000000" w:rsidRDefault="00000000" w:rsidRPr="00000000" w14:paraId="00000029">
      <w:pPr>
        <w:spacing w:after="0" w:lineRule="auto"/>
        <w:rPr/>
      </w:pPr>
      <w:r w:rsidDel="00000000" w:rsidR="00000000" w:rsidRPr="00000000">
        <w:rPr>
          <w:rtl w:val="0"/>
        </w:rPr>
        <w:t xml:space="preserve"> </w:t>
        <w:tab/>
        <w:t xml:space="preserve">Because it lies at the intersection of genetics, education, societal expectations and public policy, attention deficit hyperactivity disorder (ADHD) is one of the most contentious diagnoses in contemporary psychiatry. While providers report lengthy waiting lists and an increase in prescriptions, adults in the UK are increasingly requesting assessments (NHS Digital, 2025). The classification of ADHD in ICD-11 Chapter 6 (Mental, Behavioural or Neurodevelopmental Disorders) is critically examined in this research. The emphasis is on how ADHD is defined by ICD-11, how diagnoses are made in practice and what typical forms of treatment and rehabilitation entail. To remain up to date, the discussion is based on recent scholarly works as well as UK policy sources. Regarding stigma and who is deemed "deserving" of assistance in services, classification terminology is also important.</w:t>
      </w:r>
    </w:p>
    <w:p w:rsidR="00000000" w:rsidDel="00000000" w:rsidP="00000000" w:rsidRDefault="00000000" w:rsidRPr="00000000" w14:paraId="0000002A">
      <w:pPr>
        <w:pStyle w:val="Heading1"/>
        <w:rPr/>
      </w:pPr>
      <w:bookmarkStart w:colFirst="0" w:colLast="0" w:name="_heading=h.a80vyq1anlte" w:id="1"/>
      <w:bookmarkEnd w:id="1"/>
      <w:r w:rsidDel="00000000" w:rsidR="00000000" w:rsidRPr="00000000">
        <w:rPr>
          <w:rtl w:val="0"/>
        </w:rPr>
        <w:t xml:space="preserve">2. ICD-11 classification and language</w:t>
      </w:r>
    </w:p>
    <w:p w:rsidR="00000000" w:rsidDel="00000000" w:rsidP="00000000" w:rsidRDefault="00000000" w:rsidRPr="00000000" w14:paraId="0000002B">
      <w:pPr>
        <w:spacing w:after="0" w:lineRule="auto"/>
        <w:rPr/>
      </w:pPr>
      <w:r w:rsidDel="00000000" w:rsidR="00000000" w:rsidRPr="00000000">
        <w:rPr>
          <w:rtl w:val="0"/>
        </w:rPr>
        <w:t xml:space="preserve"> </w:t>
        <w:tab/>
        <w:t xml:space="preserve">A primarily medical frame associated with impairment and service entitlement is indicated using the word "disorder" in the title of ICD-11, which places ADHD under Neurodevelopmental disorders and codes it as 6A05 (WHO, 2019; van Elst et al., 2025). A consistent pattern of inattention and/or hyperactivity-impulsivity that lasts for at least six months and directly impairs social, professional, or academic functioning is highlighted in the definitional description (NHS Digital, 2025). Because it raises the diagnostic bar above typical variance and necessitates a real-world impact in day-to-day living, the impairment language is crucial. </w:t>
        <w:br w:type="textWrapping"/>
        <w:t xml:space="preserve">ICD-11 resembles a more child-centred and limited category (Open University, 2024). ICD-11 uses DSM-5 symptoms instead of ICD-10. To create presentations like mainly inattentive, predominantly hyperactive-impulsive and combination presentation, ICD-10 employed the term "hyperkinetic disorder," which requires both hyperactivity and inattention (RCPsych, 2022; van Elst et al., 2025). Since many adults primarily report executive dysfunction and inattentive symptoms, while overt hyperactivity may be less obvious in a clinic setting, this transition has an impact on adult treatments. </w:t>
      </w:r>
    </w:p>
    <w:p w:rsidR="00000000" w:rsidDel="00000000" w:rsidP="00000000" w:rsidRDefault="00000000" w:rsidRPr="00000000" w14:paraId="0000002C">
      <w:pPr>
        <w:pStyle w:val="Heading1"/>
        <w:rPr/>
      </w:pPr>
      <w:bookmarkStart w:colFirst="0" w:colLast="0" w:name="_heading=h.3sy069gsyv5" w:id="2"/>
      <w:bookmarkEnd w:id="2"/>
      <w:r w:rsidDel="00000000" w:rsidR="00000000" w:rsidRPr="00000000">
        <w:rPr>
          <w:rtl w:val="0"/>
        </w:rPr>
        <w:t xml:space="preserve">3. Diagnostic criteria and diagnostic process</w:t>
      </w:r>
    </w:p>
    <w:p w:rsidR="00000000" w:rsidDel="00000000" w:rsidP="00000000" w:rsidRDefault="00000000" w:rsidRPr="00000000" w14:paraId="0000002D">
      <w:pPr>
        <w:spacing w:after="0" w:lineRule="auto"/>
        <w:rPr/>
      </w:pPr>
      <w:r w:rsidDel="00000000" w:rsidR="00000000" w:rsidRPr="00000000">
        <w:rPr>
          <w:rtl w:val="0"/>
        </w:rPr>
        <w:t xml:space="preserve"> </w:t>
        <w:tab/>
        <w:t xml:space="preserve">To minimise artificial cut-offs and give doctors more leeway to take age and context into account, ICD-11 employs flexible terminology, such as "several symptoms," as opposed to rigid symptom counts (Gomez and Stavropoulos, 2023). Pervasiveness in various contexts, durability across time, childhood onset and clinically substantial impairment are essential diagnostic criteria (RCPsych, 2022). Even if a person seeks therapeutic attention later, ICD-11 states that there should be evidence of substantial symptoms prior to the age of 12 (NHS Digital, 2025). Because of this, evaluating a child's or adult's developmental history is crucial. </w:t>
        <w:br w:type="textWrapping"/>
        <w:t xml:space="preserve"> </w:t>
        <w:tab/>
        <w:t xml:space="preserve">Usually, the diagnostic procedure consists of several steps. Using a comprehensive clinical and psychosocial evaluation, developmental history and data from several settings when feasible, NICE advises a clinician with ADHD expertise to make the diagnosis (NICE, 2018). Assessment can be aided by rating scales, but a single questionnaire shouldn't be the basis for diagnosis. One drawback is that there isn't a commonly used set that is directly mapped to ICD-11 terminology and most validated scales were developed around DSM levels. This can make research and audit less consistent (Gomez and Stavropoulos, 2023). Since ADHD symptoms can vary depending on the structure and reward in various contexts, doctors frequently correlate self-report scales with school records, employment input and collateral family history. </w:t>
        <w:br w:type="textWrapping"/>
        <w:t xml:space="preserve"> </w:t>
        <w:tab/>
        <w:t xml:space="preserve">Due to overlapping symptoms with anxiety, depression, bipolar illness, substance use disorders and sleep problems, differential diagnosis is challenging. Careful boundary work is necessary when hyperactivity in adolescent or adulthood appears suddenly, as this may indicate other causes, such as bipolar or psychotic disorders (RCPsych, 2022). "Making" and compensatory tactics are frequently used in adult evaluation, particularly in women and those with high academic achievement who achieved their goals through hard work and unofficial coping (RCPsych, 2022). Impairment assessments should cover more ground than academic grades because there is evidence connecting adult ADHD to wider outcomes like relationship stress, occupational instability and unintentional injury (Dobrosavljevic and Sajatovic, 2023; Cortese, 2025). </w:t>
      </w:r>
    </w:p>
    <w:p w:rsidR="00000000" w:rsidDel="00000000" w:rsidP="00000000" w:rsidRDefault="00000000" w:rsidRPr="00000000" w14:paraId="0000002E">
      <w:pPr>
        <w:pStyle w:val="Heading1"/>
        <w:rPr/>
      </w:pPr>
      <w:bookmarkStart w:colFirst="0" w:colLast="0" w:name="_heading=h.hjpqr0qn12ok" w:id="3"/>
      <w:bookmarkEnd w:id="3"/>
      <w:r w:rsidDel="00000000" w:rsidR="00000000" w:rsidRPr="00000000">
        <w:rPr>
          <w:rtl w:val="0"/>
        </w:rPr>
        <w:t xml:space="preserve">4. Treatment approaches in evidence and in guidelines</w:t>
      </w:r>
    </w:p>
    <w:p w:rsidR="00000000" w:rsidDel="00000000" w:rsidP="00000000" w:rsidRDefault="00000000" w:rsidRPr="00000000" w14:paraId="0000002F">
      <w:pPr>
        <w:spacing w:after="0" w:lineRule="auto"/>
        <w:rPr/>
      </w:pPr>
      <w:r w:rsidDel="00000000" w:rsidR="00000000" w:rsidRPr="00000000">
        <w:rPr>
          <w:rtl w:val="0"/>
        </w:rPr>
        <w:t xml:space="preserve"> </w:t>
        <w:tab/>
        <w:t xml:space="preserve">Since ICD-11 does not code treatment, national guidelines and local pathways typically guide care rather than ICD text. When disability is still substantial, NICE suggests a phased strategy that combines medication with psychoeducation, environmental modifications and functioning support (NICE, 2018). Methylphenidate and amphetamine preparations are stimulants, while atomoxetine and, in certain situations, guanfacine are non-stimulants. </w:t>
        <w:br w:type="textWrapping"/>
        <w:t xml:space="preserve">Both stimulant and non-stimulant medications are effective, according to comparative reviews, while stimulants typically have greater symptom effects. According to a recent component network meta-analysis conducted on adults, atomoxetine and stimulants both significantly reduce symptoms when compared to a placebo, albeit the tolerability profiles of each chemical vary (Ostinelli et al., 2025). Symptom control does not always convert into participation and life satisfaction, according to another meta-analysis that indicated gains in quality of life, although with smaller impact sizes than symptom change (Bellato et al., 2025). Planning for rehabilitation requires consideration of this finding. </w:t>
        <w:br w:type="textWrapping"/>
        <w:t xml:space="preserve"> </w:t>
        <w:tab/>
        <w:t xml:space="preserve">Side effects, contraindications and the necessity for monitoring place restrictions on medication. Risks to the heart are frequently discussed. Recent summaries of extensive research have reported modest average increases in heart rate and blood pressure for atomoxetine and stimulants, with a focus on individual risk assessment and monitoring (The Guardian, 2025). This is in keeping with recommended practice, which calls for baseline physical examinations and ongoing observation (NICE, 2018). However, sleeplessness, changes in appetite, anxiety, or social stigma can all lead to cessation. In certain nations, supply issues have also interrupted continuity, raising stress levels and the possibility of symptom recurrence (Weber, 2025; The Guardian, 2024). </w:t>
        <w:br w:type="textWrapping"/>
        <w:t xml:space="preserve"> </w:t>
        <w:tab/>
        <w:t xml:space="preserve">Because impairment is heavily influenced by routines, pressures at work and co-occurring anxiety or depression, non-pharmacological interventions are required. Planning, time management, emotional control and harmful beliefs are the main focuses of CBT modified for ADHD. CBT-based therapies may lessen symptoms of ADHD and enhance related outcomes, according to recent meta-analytic studies. However, many trials involve participants who also take medication, which makes clear comparisons difficult (BPS, 2023; Liu et al., 2026). Combining care may make sense as therapy teaches coping mechanisms that endure through life transitions and medication may enhance attentiveness. </w:t>
      </w:r>
    </w:p>
    <w:p w:rsidR="00000000" w:rsidDel="00000000" w:rsidP="00000000" w:rsidRDefault="00000000" w:rsidRPr="00000000" w14:paraId="00000030">
      <w:pPr>
        <w:pStyle w:val="Heading1"/>
        <w:rPr/>
      </w:pPr>
      <w:bookmarkStart w:colFirst="0" w:colLast="0" w:name="_heading=h.b5up2rni3y4x" w:id="4"/>
      <w:bookmarkEnd w:id="4"/>
      <w:r w:rsidDel="00000000" w:rsidR="00000000" w:rsidRPr="00000000">
        <w:rPr>
          <w:rtl w:val="0"/>
        </w:rPr>
        <w:t xml:space="preserve">5. Rehabilitation and longer-term support</w:t>
      </w:r>
    </w:p>
    <w:p w:rsidR="00000000" w:rsidDel="00000000" w:rsidP="00000000" w:rsidRDefault="00000000" w:rsidRPr="00000000" w14:paraId="00000031">
      <w:pPr>
        <w:spacing w:after="0" w:lineRule="auto"/>
        <w:rPr/>
      </w:pPr>
      <w:r w:rsidDel="00000000" w:rsidR="00000000" w:rsidRPr="00000000">
        <w:rPr>
          <w:rtl w:val="0"/>
        </w:rPr>
        <w:t xml:space="preserve"> </w:t>
        <w:tab/>
        <w:t xml:space="preserve">Since many persons with ADHD have challenges from childhood and require skills and environmental support rather than "returning" to a previous baseline, rehabilitation for ADHD frequently takes the form of functional rehabilitation. Rehabilitation becomes the conversion of a diagnosis into daily support since ICD-11 mandates that clinicians consider functioning across settings (WHO, 2019). According to NICE (2018), assistance for education and employment encompasses coaching, planned routines, acceptable adaptations and communication with businesses, schools and universities. </w:t>
        <w:br w:type="textWrapping"/>
        <w:t xml:space="preserve"> </w:t>
        <w:tab/>
        <w:t xml:space="preserve">Parent education and school interventions are crucial for kids and teens because they lessen conflict and enhance behavioural self-control in controlled environments. Vocational assistance is frequently required for individuals. The need for specialised services that can offer medication titration, psychoeducation, comorbidity management and connections with primary care for long-term follow-up is highlighted in RCPsych guidelines (RCPsych, 2022). Rehabilitation results are weakened when services are dispersed because patients may slip between the child and adult systems or between diagnosis clinics and continuing care. Routine data demonstrating an increase in demand for evaluation and treatment demonstrates capacity concerns (NHS Digital, 2025). </w:t>
        <w:br w:type="textWrapping"/>
        <w:t xml:space="preserve"> </w:t>
        <w:tab/>
        <w:t xml:space="preserve">Safety and involvement should be part of rehabilitation results. Although these designs cannot establish causality because treatment is not randomised, observational register studies indicate ADHD medication is linked to decreases in outcomes including suicidal behaviour and transportation accidents (The Guardian, 2025). Rehabilitation is further complicated by comorbidity with substance use disorders. According to reviews, prescribing necessitates meticulous evaluation and oversight, and assistance ought to tackle substance abuse head-on rather than ignoring it as a secondary concern (Cortese, 2025). </w:t>
      </w:r>
    </w:p>
    <w:p w:rsidR="00000000" w:rsidDel="00000000" w:rsidP="00000000" w:rsidRDefault="00000000" w:rsidRPr="00000000" w14:paraId="00000032">
      <w:pPr>
        <w:pStyle w:val="Heading1"/>
        <w:rPr/>
      </w:pPr>
      <w:bookmarkStart w:colFirst="0" w:colLast="0" w:name="_heading=h.euy8dpcthijv" w:id="5"/>
      <w:bookmarkEnd w:id="5"/>
      <w:r w:rsidDel="00000000" w:rsidR="00000000" w:rsidRPr="00000000">
        <w:rPr>
          <w:rtl w:val="0"/>
        </w:rPr>
        <w:t xml:space="preserve">6. Current debates and emerging issues</w:t>
      </w:r>
    </w:p>
    <w:p w:rsidR="00000000" w:rsidDel="00000000" w:rsidP="00000000" w:rsidRDefault="00000000" w:rsidRPr="00000000" w14:paraId="00000033">
      <w:pPr>
        <w:spacing w:after="0" w:lineRule="auto"/>
        <w:rPr/>
      </w:pPr>
      <w:r w:rsidDel="00000000" w:rsidR="00000000" w:rsidRPr="00000000">
        <w:rPr>
          <w:rtl w:val="0"/>
        </w:rPr>
        <w:t xml:space="preserve"> </w:t>
        <w:tab/>
        <w:t xml:space="preserve">The potential overdiagnosis of adults is a hot topic of discussion. A market for quick evaluations, social media material and heightened public awareness can all drive increased diagnoses. According to scholarly opinion, rapid increases in diagnosis and the prescription of stimulants, coupled with shortages, may indicate that certain evaluations are arbitrary or influenced by patient expectations (Weber, 2025). However, increased diagnoses are not always "false positives" because to previous under-recognition in adults and girls (Abdelnour et al., 2022). Misuse and diversion are also policy issues. Reports have detailed how shortages of stimulants can promote illicit markets and fake medications, raise the risk of damage and limit access for people on long-term prescriptions (The Guardian, 2024). </w:t>
        <w:br w:type="textWrapping"/>
        <w:t xml:space="preserve"> </w:t>
        <w:tab/>
        <w:t xml:space="preserve">The use of telehealth prescriptions is debatable. Weak governance can result in dangerous prescribing and public mistrust, as seen by the criminal charges brought against telehealth executives for alleged Adderall fraud (Reuters, 2024). However, overprescribing is not always a result of telehealth. Although telehealth-only clinicians might exhibit distinct patterns, analyses from large health systems revealed no significant variations in prescribing rates between in-person and virtual initial visits (Axios, 2023). The practical lesson for UK practice is that strong standards are more important than appointment structure and commissioners may need to look at quality indicators in addition to throughput. </w:t>
        <w:br w:type="textWrapping"/>
        <w:t xml:space="preserve"> </w:t>
        <w:tab/>
        <w:t xml:space="preserve">Neurodivergence is linked to debate as well. According to neurodiversity perspectives, disability frequently results from inflexible circumstances rather than just the brain and ADHD features are a component of human variation (Casanova, 2021; Nicolosi et al., 2025). This perspective questions the wording of "disorder" in ICD-11. However, when ADHD co-occurs with poverty, trauma, or learning issues, it can conceal serious impairment, necessitating both medical treatment and social changes (Nicolosi et al., 2025). ICD-11's concept of "outside the limits of normal variation" attempts to establish a cutoff point, but it is still debatable because "normal" is partially a social construct. </w:t>
      </w:r>
    </w:p>
    <w:p w:rsidR="00000000" w:rsidDel="00000000" w:rsidP="00000000" w:rsidRDefault="00000000" w:rsidRPr="00000000" w14:paraId="00000034">
      <w:pPr>
        <w:pStyle w:val="Heading1"/>
        <w:rPr/>
      </w:pPr>
      <w:bookmarkStart w:colFirst="0" w:colLast="0" w:name="_heading=h.77idgpti472a" w:id="6"/>
      <w:bookmarkEnd w:id="6"/>
      <w:r w:rsidDel="00000000" w:rsidR="00000000" w:rsidRPr="00000000">
        <w:rPr>
          <w:rtl w:val="0"/>
        </w:rPr>
        <w:t xml:space="preserve">7. Recommendations</w:t>
      </w:r>
    </w:p>
    <w:p w:rsidR="00000000" w:rsidDel="00000000" w:rsidP="00000000" w:rsidRDefault="00000000" w:rsidRPr="00000000" w14:paraId="00000035">
      <w:pPr>
        <w:spacing w:after="0" w:lineRule="auto"/>
        <w:rPr/>
      </w:pPr>
      <w:r w:rsidDel="00000000" w:rsidR="00000000" w:rsidRPr="00000000">
        <w:rPr>
          <w:rtl w:val="0"/>
        </w:rPr>
        <w:t xml:space="preserve"> </w:t>
        <w:tab/>
        <w:t xml:space="preserve">Improving physicians' and students' access to ICD-11-related diagnostic information in useful formats is the first suggestion. To lessen provider variation, national organisations should offer open summaries that relate ICD-11 language to assessment procedures and differential diagnostic prompts (WHO, 2019; NICE, 2018). </w:t>
        <w:br w:type="textWrapping"/>
        <w:t xml:space="preserve"> </w:t>
        <w:tab/>
        <w:t xml:space="preserve">Strengthening adult diagnostic pathways with minimal requirements is the second suggestion. Documented developmental history, evidence from several settings, comorbidity screening and a clear examination of alternative hypotheses, such as trauma and sleep disorders, should all be part of assessments. When employed, this promotes safer telehealth and lowers the risk of overdiagnosis while preserving access for people with actual disability (Weber, 2025; Reuters, 2024). </w:t>
        <w:br w:type="textWrapping"/>
        <w:t xml:space="preserve"> </w:t>
        <w:tab/>
        <w:t xml:space="preserve">A third suggestion is that rather than being viewed as an elective after medication, rehabilitation need to be commissioned as a fundamental component of ADHD care. Because quality of life does not always improve with symptom reduction, reviews should incorporate functional outcomes including safety, employment stability and involvement in school (Bellato et al., 2025). Research should assess combination vs single-modality care using outcomes that matter to adults, not just symptom counts and services should expand access to coaching-style and CBT-based interventions (BPS, 2023; Liu et al., 2026). </w:t>
        <w:br w:type="textWrapping"/>
        <w:t xml:space="preserve"> </w:t>
        <w:tab/>
        <w:t xml:space="preserve">One last suggestion relates to neurodiversity and language. ICD-11 could maintain the impairment level required for health coding while adding parallel explanatory material that acknowledges neurodivergent identity viewpoints. For future updates to rely on evidence rather than opinion, research should examine whether language changes have an impact on stigma, help-seeking and clinician behaviour (Casanova, 2021; van Elst et al., 2025). </w:t>
      </w:r>
    </w:p>
    <w:p w:rsidR="00000000" w:rsidDel="00000000" w:rsidP="00000000" w:rsidRDefault="00000000" w:rsidRPr="00000000" w14:paraId="00000036">
      <w:pPr>
        <w:pStyle w:val="Heading1"/>
        <w:rPr/>
      </w:pPr>
      <w:bookmarkStart w:colFirst="0" w:colLast="0" w:name="_heading=h.i3hr9l9g2zld" w:id="7"/>
      <w:bookmarkEnd w:id="7"/>
      <w:r w:rsidDel="00000000" w:rsidR="00000000" w:rsidRPr="00000000">
        <w:rPr>
          <w:rtl w:val="0"/>
        </w:rPr>
        <w:t xml:space="preserve">8. Conclusion</w:t>
      </w:r>
    </w:p>
    <w:p w:rsidR="00000000" w:rsidDel="00000000" w:rsidP="00000000" w:rsidRDefault="00000000" w:rsidRPr="00000000" w14:paraId="00000037">
      <w:pPr>
        <w:rPr/>
      </w:pPr>
      <w:r w:rsidDel="00000000" w:rsidR="00000000" w:rsidRPr="00000000">
        <w:rPr>
          <w:rtl w:val="0"/>
        </w:rPr>
        <w:t xml:space="preserve">ADHD in ICD-11 is framed as a neurodevelopmental disorder defined by persistent inattention and/or hyperactivity-impulsivity that causes clinically significant impairment. Compared with ICD-10, ICD-11 is more lifespan-oriented and includes presentations that fit contemporary practice. Diagnosis requires careful history-taking and differential diagnosis, especially in adults where symptoms can be masked and comorbidity is common. Evidence supports medication and psychological interventions, yet limitations include side effects, monitoring demands, service capacity problems and disruptions caused by medication shortages. Current debates show that classification affects access to care, service organization and the public meaning of neurodivergence. Future practice should protect robust diagnostic standards while expanding rehabilitation and using language that is respectful without hiding impairment.</w:t>
      </w:r>
    </w:p>
    <w:p w:rsidR="00000000" w:rsidDel="00000000" w:rsidP="00000000" w:rsidRDefault="00000000" w:rsidRPr="00000000" w14:paraId="00000038">
      <w:pPr>
        <w:pStyle w:val="Heading1"/>
        <w:rPr/>
      </w:pPr>
      <w:bookmarkStart w:colFirst="0" w:colLast="0" w:name="_heading=h.g15u3zzduq78" w:id="8"/>
      <w:bookmarkEnd w:id="8"/>
      <w:r w:rsidDel="00000000" w:rsidR="00000000" w:rsidRPr="00000000">
        <w:rPr>
          <w:rtl w:val="0"/>
        </w:rPr>
        <w:t xml:space="preserve">9. References</w:t>
      </w:r>
    </w:p>
    <w:p w:rsidR="00000000" w:rsidDel="00000000" w:rsidP="00000000" w:rsidRDefault="00000000" w:rsidRPr="00000000" w14:paraId="00000039">
      <w:pPr>
        <w:rPr/>
      </w:pPr>
      <w:r w:rsidDel="00000000" w:rsidR="00000000" w:rsidRPr="00000000">
        <w:rPr>
          <w:rtl w:val="0"/>
        </w:rPr>
        <w:t xml:space="preserve">Abdelnour, E., Jansen, M., Goldstein, B.I. and others (2022) ‘ADHD Diagnostic Trends: Increased Recognition or Overdiagnosis?’, Current Psychiatry Reports, 24(12). Available at: https://pmc.ncbi.nlm.nih.gov/articles/PMC9616454/ (Accessed: 19 February 2026).</w:t>
      </w:r>
    </w:p>
    <w:p w:rsidR="00000000" w:rsidDel="00000000" w:rsidP="00000000" w:rsidRDefault="00000000" w:rsidRPr="00000000" w14:paraId="0000003A">
      <w:pPr>
        <w:rPr/>
      </w:pPr>
      <w:r w:rsidDel="00000000" w:rsidR="00000000" w:rsidRPr="00000000">
        <w:rPr>
          <w:rtl w:val="0"/>
        </w:rPr>
        <w:t xml:space="preserve">Axios (2023) ‘Telehealth didn’t drive up ADHD prescriptions at large health centers: study’, 17 August. Available at: https://www.axios.com/2023/08/17/adhd-prescribing-shortage-telehealth (Accessed: 19 February 2026).</w:t>
      </w:r>
    </w:p>
    <w:p w:rsidR="00000000" w:rsidDel="00000000" w:rsidP="00000000" w:rsidRDefault="00000000" w:rsidRPr="00000000" w14:paraId="0000003B">
      <w:pPr>
        <w:rPr/>
      </w:pPr>
      <w:r w:rsidDel="00000000" w:rsidR="00000000" w:rsidRPr="00000000">
        <w:rPr>
          <w:rtl w:val="0"/>
        </w:rPr>
        <w:t xml:space="preserve">Bellato, A., Ostinelli, E.G., Masi, G. and others (2025) ‘Systematic Review and Meta-Analysis: Effects of ADHD Medication on Quality of Life’, Journal of the American Academy of Child and Adolescent Psychiatry. Available at: https://www.sciencedirect.com/science/article/pii/S0890856724003046 (Accessed: 19 February 2026).</w:t>
      </w:r>
    </w:p>
    <w:p w:rsidR="00000000" w:rsidDel="00000000" w:rsidP="00000000" w:rsidRDefault="00000000" w:rsidRPr="00000000" w14:paraId="0000003C">
      <w:pPr>
        <w:rPr/>
      </w:pPr>
      <w:r w:rsidDel="00000000" w:rsidR="00000000" w:rsidRPr="00000000">
        <w:rPr>
          <w:rtl w:val="0"/>
        </w:rPr>
        <w:t xml:space="preserve">British Psychological Society (BPS) (2023) ‘Effectiveness of cognitive behavioural-based interventions for adults with ADHD: a meta-analysis’, Psychology and Psychotherapy: Theory, Research and Practice. Available at: https://bpspsychub.onlinelibrary.wiley.com/doi/10.1111/papt.12455 (Accessed: 19 February 2026).</w:t>
      </w:r>
    </w:p>
    <w:p w:rsidR="00000000" w:rsidDel="00000000" w:rsidP="00000000" w:rsidRDefault="00000000" w:rsidRPr="00000000" w14:paraId="0000003D">
      <w:pPr>
        <w:rPr/>
      </w:pPr>
      <w:r w:rsidDel="00000000" w:rsidR="00000000" w:rsidRPr="00000000">
        <w:rPr>
          <w:rtl w:val="0"/>
        </w:rPr>
        <w:t xml:space="preserve">Casanova, E.L. (2021) ‘A sociological treatment exploring the medical model in disability and neurodiversity debates’, Evidence &amp; Policy, 17(2). Available at: https://bristoluniversitypressdigital.com/abstract/journals/evp/17/2/article-p363.xml (Accessed: 19 February 2026).</w:t>
      </w:r>
    </w:p>
    <w:p w:rsidR="00000000" w:rsidDel="00000000" w:rsidP="00000000" w:rsidRDefault="00000000" w:rsidRPr="00000000" w14:paraId="0000003E">
      <w:pPr>
        <w:rPr/>
      </w:pPr>
      <w:r w:rsidDel="00000000" w:rsidR="00000000" w:rsidRPr="00000000">
        <w:rPr>
          <w:rtl w:val="0"/>
        </w:rPr>
        <w:t xml:space="preserve">Cortese, S. (2025) ‘Attention-deficit/hyperactivity disorder (ADHD) in adults’, World Psychiatry. Available at: https://pmc.ncbi.nlm.nih.gov/articles/PMC12434367/ (Accessed: 19 February 2026).</w:t>
      </w:r>
    </w:p>
    <w:p w:rsidR="00000000" w:rsidDel="00000000" w:rsidP="00000000" w:rsidRDefault="00000000" w:rsidRPr="00000000" w14:paraId="0000003F">
      <w:pPr>
        <w:rPr/>
      </w:pPr>
      <w:r w:rsidDel="00000000" w:rsidR="00000000" w:rsidRPr="00000000">
        <w:rPr>
          <w:rtl w:val="0"/>
        </w:rPr>
        <w:t xml:space="preserve">Dobrosavljevic, M. and Sajatovic, M. (2023) ‘The diagnosis and treatment of attention-deficit hyperactivity disorder (ADHD) in older adults’, Expert Review of Neurotherapeutics. Available at: https://www.tandfonline.com/doi/full/10.1080/14737175.2023.2250913 (Accessed: 19 February 2026).</w:t>
      </w:r>
    </w:p>
    <w:p w:rsidR="00000000" w:rsidDel="00000000" w:rsidP="00000000" w:rsidRDefault="00000000" w:rsidRPr="00000000" w14:paraId="00000040">
      <w:pPr>
        <w:rPr/>
      </w:pPr>
      <w:r w:rsidDel="00000000" w:rsidR="00000000" w:rsidRPr="00000000">
        <w:rPr>
          <w:rtl w:val="0"/>
        </w:rPr>
        <w:t xml:space="preserve">Gomez, R. and Stavropoulos, V. (2023) ‘Differences between DSM-5-TR and ICD-11 revisions for attention deficit hyperactivity disorder’, World Journal of Psychiatry, 13(5). Available at: https://pmc.ncbi.nlm.nih.gov/articles/PMC10251354/ (Accessed: 19 February 2026).</w:t>
      </w:r>
    </w:p>
    <w:p w:rsidR="00000000" w:rsidDel="00000000" w:rsidP="00000000" w:rsidRDefault="00000000" w:rsidRPr="00000000" w14:paraId="00000041">
      <w:pPr>
        <w:rPr/>
      </w:pPr>
      <w:r w:rsidDel="00000000" w:rsidR="00000000" w:rsidRPr="00000000">
        <w:rPr>
          <w:rtl w:val="0"/>
        </w:rPr>
        <w:t xml:space="preserve">Liu, Y., Zhang, X., Chen, Y. and others (2026) ‘A meta-analysis of the intervention effect of cognitive behavioral therapy for adult ADHD’, Journal of Affective Disorders. Available at: https://www.sciencedirect.com/science/article/abs/pii/S0165032725025492 (Accessed: 19 February 2026).</w:t>
      </w:r>
    </w:p>
    <w:p w:rsidR="00000000" w:rsidDel="00000000" w:rsidP="00000000" w:rsidRDefault="00000000" w:rsidRPr="00000000" w14:paraId="00000042">
      <w:pPr>
        <w:rPr/>
      </w:pPr>
      <w:r w:rsidDel="00000000" w:rsidR="00000000" w:rsidRPr="00000000">
        <w:rPr>
          <w:rtl w:val="0"/>
        </w:rPr>
        <w:t xml:space="preserve">NHS Digital (2025) ‘Survey of Mental Health and Wellbeing, England 2023–24: Attention deficit hyperactivity disorder’, 27 November. Available at: https://digital.nhs.uk/data-and-information/publications/statistical/adult-psychiatric-morbidity-survey/survey-of-mental-health-and-wellbeing-england-2023-24/attention-deficit-hyperactivity-disorder (Accessed: 19 February 2026).</w:t>
      </w:r>
    </w:p>
    <w:p w:rsidR="00000000" w:rsidDel="00000000" w:rsidP="00000000" w:rsidRDefault="00000000" w:rsidRPr="00000000" w14:paraId="00000043">
      <w:pPr>
        <w:rPr/>
      </w:pPr>
      <w:r w:rsidDel="00000000" w:rsidR="00000000" w:rsidRPr="00000000">
        <w:rPr>
          <w:rtl w:val="0"/>
        </w:rPr>
        <w:t xml:space="preserve">NICE (2018) ‘Attention deficit hyperactivity disorder: diagnosis and management (NG87)’, National Institute for Health and Care Excellence. Last reviewed 7 May 2025. Available at: https://www.nice.org.uk/guidance/ng87 (Accessed: 19 February 2026).</w:t>
      </w:r>
    </w:p>
    <w:p w:rsidR="00000000" w:rsidDel="00000000" w:rsidP="00000000" w:rsidRDefault="00000000" w:rsidRPr="00000000" w14:paraId="00000044">
      <w:pPr>
        <w:rPr/>
      </w:pPr>
      <w:r w:rsidDel="00000000" w:rsidR="00000000" w:rsidRPr="00000000">
        <w:rPr>
          <w:rtl w:val="0"/>
        </w:rPr>
        <w:t xml:space="preserve">Nicolosi, M., Wright, P.I., Skinner, A.L. and others (2025) ‘Neurodiversity: A Behavior Analyst’s Perspective’, Behavior Analysis in Practice. Available at: https://pmc.ncbi.nlm.nih.gov/articles/PMC12411333/ (Accessed: 19 February 2026).</w:t>
      </w:r>
    </w:p>
    <w:p w:rsidR="00000000" w:rsidDel="00000000" w:rsidP="00000000" w:rsidRDefault="00000000" w:rsidRPr="00000000" w14:paraId="00000045">
      <w:pPr>
        <w:rPr/>
      </w:pPr>
      <w:r w:rsidDel="00000000" w:rsidR="00000000" w:rsidRPr="00000000">
        <w:rPr>
          <w:rtl w:val="0"/>
        </w:rPr>
        <w:t xml:space="preserve">Ostinelli, E.G., Cortese, S. and others (2025) ‘Medications for adults with ADHD: a systematic review and component network meta-analysis’, The Lancet Psychiatry. Available at: https://www.thelancet.com/journals/lanpsy/article/PIIS2215-0366%2824%2900360-2/fulltext (Accessed: 19 February 2026).</w:t>
      </w:r>
    </w:p>
    <w:p w:rsidR="00000000" w:rsidDel="00000000" w:rsidP="00000000" w:rsidRDefault="00000000" w:rsidRPr="00000000" w14:paraId="00000046">
      <w:pPr>
        <w:rPr/>
      </w:pPr>
      <w:r w:rsidDel="00000000" w:rsidR="00000000" w:rsidRPr="00000000">
        <w:rPr>
          <w:rtl w:val="0"/>
        </w:rPr>
        <w:t xml:space="preserve">Open University (2024) ‘Diagnosing ADHD with ICD-10 and ICD-11’, OpenLearn. Available at: https://www.open.edu/openlearn/health-sports-psychology/understanding-adhd/content-section-1.3.2 (Accessed: 19 February 2026).</w:t>
      </w:r>
    </w:p>
    <w:p w:rsidR="00000000" w:rsidDel="00000000" w:rsidP="00000000" w:rsidRDefault="00000000" w:rsidRPr="00000000" w14:paraId="00000047">
      <w:pPr>
        <w:rPr/>
      </w:pPr>
      <w:r w:rsidDel="00000000" w:rsidR="00000000" w:rsidRPr="00000000">
        <w:rPr>
          <w:rtl w:val="0"/>
        </w:rPr>
        <w:t xml:space="preserve">RCPsych (2022) ‘Attention deficit hyperactivity disorder (ADHD) in adults: Good practice guidelines (CR235)’, Royal College of Psychiatrists. Available at: https://www.rcpsych.ac.uk/docs/default-source/improving-care/better-mh-policy/college-reports/cr235-adhd-in-adults---good-practice-guidance.pdf (Accessed: 19 February 2026).</w:t>
      </w:r>
    </w:p>
    <w:p w:rsidR="00000000" w:rsidDel="00000000" w:rsidP="00000000" w:rsidRDefault="00000000" w:rsidRPr="00000000" w14:paraId="00000048">
      <w:pPr>
        <w:rPr/>
      </w:pPr>
      <w:r w:rsidDel="00000000" w:rsidR="00000000" w:rsidRPr="00000000">
        <w:rPr>
          <w:rtl w:val="0"/>
        </w:rPr>
        <w:t xml:space="preserve">Reuters (2024) ‘US charges executives at ADHD startup in Adderall fraud’, 13 June. Available at: https://www.reuters.com/business/healthcare-pharmaceuticals/us-charges-executives-adhd-startup-adderall-fraud-2024-06-13/ (Accessed: 19 February 2026).</w:t>
      </w:r>
    </w:p>
    <w:p w:rsidR="00000000" w:rsidDel="00000000" w:rsidP="00000000" w:rsidRDefault="00000000" w:rsidRPr="00000000" w14:paraId="00000049">
      <w:pPr>
        <w:rPr/>
      </w:pPr>
      <w:r w:rsidDel="00000000" w:rsidR="00000000" w:rsidRPr="00000000">
        <w:rPr>
          <w:rtl w:val="0"/>
        </w:rPr>
        <w:t xml:space="preserve">The Guardian (2024) ‘Amid a national shortage, the US Adderall black market is booming’, 17 January. Available at: https://www.theguardian.com/world/2024/jan/17/adderall-black-market-shortage-adhd-patients (Accessed: 19 February 2026).</w:t>
      </w:r>
    </w:p>
    <w:p w:rsidR="00000000" w:rsidDel="00000000" w:rsidP="00000000" w:rsidRDefault="00000000" w:rsidRPr="00000000" w14:paraId="0000004A">
      <w:pPr>
        <w:rPr/>
      </w:pPr>
      <w:r w:rsidDel="00000000" w:rsidR="00000000" w:rsidRPr="00000000">
        <w:rPr>
          <w:rtl w:val="0"/>
        </w:rPr>
        <w:t xml:space="preserve">The Guardian (2025) ‘Benefits of ADHD medication outweigh health risks, study finds’, 6 April. Available at: https://www.theguardian.com/society/2025/apr/06/adhd-medication-drugs-risks-benefits-children-study (Accessed: 19 February 2026).</w:t>
      </w:r>
    </w:p>
    <w:p w:rsidR="00000000" w:rsidDel="00000000" w:rsidP="00000000" w:rsidRDefault="00000000" w:rsidRPr="00000000" w14:paraId="0000004B">
      <w:pPr>
        <w:rPr/>
      </w:pPr>
      <w:r w:rsidDel="00000000" w:rsidR="00000000" w:rsidRPr="00000000">
        <w:rPr>
          <w:rtl w:val="0"/>
        </w:rPr>
        <w:t xml:space="preserve">van Elst, L.T., Pick, M. and others (2025) ‘The reclassification of neurodevelopmental disorders in ICD-11’, European Archives of Psychiatry and Clinical Neuroscience. Available at: https://pmc.ncbi.nlm.nih.gov/articles/PMC12638323/ (Accessed: 19 February 2026).</w:t>
      </w:r>
    </w:p>
    <w:p w:rsidR="00000000" w:rsidDel="00000000" w:rsidP="00000000" w:rsidRDefault="00000000" w:rsidRPr="00000000" w14:paraId="0000004C">
      <w:pPr>
        <w:rPr/>
      </w:pPr>
      <w:r w:rsidDel="00000000" w:rsidR="00000000" w:rsidRPr="00000000">
        <w:rPr>
          <w:rtl w:val="0"/>
        </w:rPr>
        <w:t xml:space="preserve">Weber, S.R. (2025) ‘Commentary on Sources of Attention-Deficit/Hyperactivity Disorder Overdiagnosis’, Psychiatric Times. Available at: https://pmc.ncbi.nlm.nih.gov/articles/PMC12469559/ (Accessed: 19 February 2026).</w:t>
      </w:r>
    </w:p>
    <w:p w:rsidR="00000000" w:rsidDel="00000000" w:rsidP="00000000" w:rsidRDefault="00000000" w:rsidRPr="00000000" w14:paraId="0000004D">
      <w:pPr>
        <w:rPr/>
      </w:pPr>
      <w:r w:rsidDel="00000000" w:rsidR="00000000" w:rsidRPr="00000000">
        <w:rPr>
          <w:rtl w:val="0"/>
        </w:rPr>
        <w:t xml:space="preserve">World Health Organization (WHO) (2019) ‘ICD-11: International Classification of Diseases 11th Revision’, World Health Organization. Available at: https://icd.who.int/ (Accessed: 19 February 2026).</w:t>
      </w:r>
    </w:p>
    <w:p w:rsidR="00000000" w:rsidDel="00000000" w:rsidP="00000000" w:rsidRDefault="00000000" w:rsidRPr="00000000" w14:paraId="0000004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lay">
    <w:embedRegular w:fontKey="{00000000-0000-0000-0000-000000000000}" r:id="rId1" w:subsetted="0"/>
    <w:embedBold w:fontKey="{00000000-0000-0000-0000-000000000000}" r:id="rId2" w:subsetted="0"/>
  </w:font>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2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rPr>
  </w:style>
  <w:style w:type="paragraph" w:styleId="Heading6">
    <w:name w:val="heading 6"/>
    <w:basedOn w:val="Normal"/>
    <w:next w:val="Normal"/>
    <w:pPr>
      <w:keepNext w:val="1"/>
      <w:keepLines w:val="1"/>
      <w:spacing w:after="0" w:before="40" w:line="278.00000000000006"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79217E"/>
    <w:pPr>
      <w:keepNext w:val="1"/>
      <w:keepLines w:val="1"/>
      <w:spacing w:after="0" w:before="40" w:line="278" w:lineRule="auto"/>
      <w:outlineLvl w:val="6"/>
    </w:pPr>
    <w:rPr>
      <w:rFonts w:asciiTheme="minorHAnsi" w:cstheme="majorBidi" w:eastAsiaTheme="majorEastAsia" w:hAnsiTheme="minorHAnsi"/>
      <w:color w:val="595959" w:themeColor="text1" w:themeTint="0000A6"/>
      <w:kern w:val="2"/>
      <w:szCs w:val="24"/>
      <w:lang w:val="en-GB"/>
    </w:rPr>
  </w:style>
  <w:style w:type="paragraph" w:styleId="Heading8">
    <w:name w:val="heading 8"/>
    <w:basedOn w:val="Normal"/>
    <w:next w:val="Normal"/>
    <w:link w:val="Heading8Char"/>
    <w:uiPriority w:val="9"/>
    <w:semiHidden w:val="1"/>
    <w:unhideWhenUsed w:val="1"/>
    <w:qFormat w:val="1"/>
    <w:rsid w:val="0079217E"/>
    <w:pPr>
      <w:keepNext w:val="1"/>
      <w:keepLines w:val="1"/>
      <w:spacing w:after="0" w:line="278" w:lineRule="auto"/>
      <w:outlineLvl w:val="7"/>
    </w:pPr>
    <w:rPr>
      <w:rFonts w:asciiTheme="minorHAnsi" w:cstheme="majorBidi" w:eastAsiaTheme="majorEastAsia" w:hAnsiTheme="minorHAnsi"/>
      <w:i w:val="1"/>
      <w:iCs w:val="1"/>
      <w:color w:val="272727" w:themeColor="text1" w:themeTint="0000D8"/>
      <w:kern w:val="2"/>
      <w:szCs w:val="24"/>
      <w:lang w:val="en-GB"/>
    </w:rPr>
  </w:style>
  <w:style w:type="paragraph" w:styleId="Heading9">
    <w:name w:val="heading 9"/>
    <w:basedOn w:val="Normal"/>
    <w:next w:val="Normal"/>
    <w:link w:val="Heading9Char"/>
    <w:uiPriority w:val="9"/>
    <w:semiHidden w:val="1"/>
    <w:unhideWhenUsed w:val="1"/>
    <w:qFormat w:val="1"/>
    <w:rsid w:val="0079217E"/>
    <w:pPr>
      <w:keepNext w:val="1"/>
      <w:keepLines w:val="1"/>
      <w:spacing w:after="0" w:line="278" w:lineRule="auto"/>
      <w:outlineLvl w:val="8"/>
    </w:pPr>
    <w:rPr>
      <w:rFonts w:asciiTheme="minorHAnsi" w:cstheme="majorBidi" w:eastAsiaTheme="majorEastAsia" w:hAnsiTheme="minorHAnsi"/>
      <w:color w:val="272727" w:themeColor="text1" w:themeTint="0000D8"/>
      <w:kern w:val="2"/>
      <w:szCs w:val="24"/>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9217E"/>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79217E"/>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79217E"/>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79217E"/>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9217E"/>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9217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9217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9217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9217E"/>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9217E"/>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9217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9217E"/>
    <w:pPr>
      <w:spacing w:after="160" w:before="160" w:line="278" w:lineRule="auto"/>
      <w:jc w:val="center"/>
    </w:pPr>
    <w:rPr>
      <w:rFonts w:asciiTheme="minorHAnsi" w:eastAsiaTheme="minorHAnsi" w:hAnsiTheme="minorHAnsi"/>
      <w:i w:val="1"/>
      <w:iCs w:val="1"/>
      <w:color w:val="404040" w:themeColor="text1" w:themeTint="0000BF"/>
      <w:kern w:val="2"/>
      <w:szCs w:val="24"/>
      <w:lang w:val="en-GB"/>
    </w:rPr>
  </w:style>
  <w:style w:type="character" w:styleId="QuoteChar" w:customStyle="1">
    <w:name w:val="Quote Char"/>
    <w:basedOn w:val="DefaultParagraphFont"/>
    <w:link w:val="Quote"/>
    <w:uiPriority w:val="29"/>
    <w:rsid w:val="0079217E"/>
    <w:rPr>
      <w:i w:val="1"/>
      <w:iCs w:val="1"/>
      <w:color w:val="404040" w:themeColor="text1" w:themeTint="0000BF"/>
    </w:rPr>
  </w:style>
  <w:style w:type="paragraph" w:styleId="ListParagraph">
    <w:name w:val="List Paragraph"/>
    <w:basedOn w:val="Normal"/>
    <w:uiPriority w:val="34"/>
    <w:qFormat w:val="1"/>
    <w:rsid w:val="0079217E"/>
    <w:pPr>
      <w:spacing w:after="160" w:line="278" w:lineRule="auto"/>
      <w:ind w:left="720"/>
      <w:contextualSpacing w:val="1"/>
    </w:pPr>
    <w:rPr>
      <w:rFonts w:asciiTheme="minorHAnsi" w:eastAsiaTheme="minorHAnsi" w:hAnsiTheme="minorHAnsi"/>
      <w:kern w:val="2"/>
      <w:szCs w:val="24"/>
      <w:lang w:val="en-GB"/>
    </w:rPr>
  </w:style>
  <w:style w:type="character" w:styleId="IntenseEmphasis">
    <w:name w:val="Intense Emphasis"/>
    <w:basedOn w:val="DefaultParagraphFont"/>
    <w:uiPriority w:val="21"/>
    <w:qFormat w:val="1"/>
    <w:rsid w:val="0079217E"/>
    <w:rPr>
      <w:i w:val="1"/>
      <w:iCs w:val="1"/>
      <w:color w:val="0f4761" w:themeColor="accent1" w:themeShade="0000BF"/>
    </w:rPr>
  </w:style>
  <w:style w:type="paragraph" w:styleId="IntenseQuote">
    <w:name w:val="Intense Quote"/>
    <w:basedOn w:val="Normal"/>
    <w:next w:val="Normal"/>
    <w:link w:val="IntenseQuoteChar"/>
    <w:uiPriority w:val="30"/>
    <w:qFormat w:val="1"/>
    <w:rsid w:val="0079217E"/>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asciiTheme="minorHAnsi" w:eastAsiaTheme="minorHAnsi" w:hAnsiTheme="minorHAnsi"/>
      <w:i w:val="1"/>
      <w:iCs w:val="1"/>
      <w:color w:val="0f4761" w:themeColor="accent1" w:themeShade="0000BF"/>
      <w:kern w:val="2"/>
      <w:szCs w:val="24"/>
      <w:lang w:val="en-GB"/>
    </w:rPr>
  </w:style>
  <w:style w:type="character" w:styleId="IntenseQuoteChar" w:customStyle="1">
    <w:name w:val="Intense Quote Char"/>
    <w:basedOn w:val="DefaultParagraphFont"/>
    <w:link w:val="IntenseQuote"/>
    <w:uiPriority w:val="30"/>
    <w:rsid w:val="0079217E"/>
    <w:rPr>
      <w:i w:val="1"/>
      <w:iCs w:val="1"/>
      <w:color w:val="0f4761" w:themeColor="accent1" w:themeShade="0000BF"/>
    </w:rPr>
  </w:style>
  <w:style w:type="character" w:styleId="IntenseReference">
    <w:name w:val="Intense Reference"/>
    <w:basedOn w:val="DefaultParagraphFont"/>
    <w:uiPriority w:val="32"/>
    <w:qFormat w:val="1"/>
    <w:rsid w:val="0079217E"/>
    <w:rPr>
      <w:b w:val="1"/>
      <w:bCs w:val="1"/>
      <w:smallCaps w:val="1"/>
      <w:color w:val="0f4761" w:themeColor="accent1" w:themeShade="0000BF"/>
      <w:spacing w:val="5"/>
    </w:rPr>
  </w:style>
  <w:style w:type="paragraph" w:styleId="TOCHeading">
    <w:name w:val="TOC Heading"/>
    <w:basedOn w:val="Heading1"/>
    <w:next w:val="Normal"/>
    <w:uiPriority w:val="39"/>
    <w:unhideWhenUsed w:val="1"/>
    <w:qFormat w:val="1"/>
    <w:rsid w:val="00C100B6"/>
    <w:pPr>
      <w:spacing w:after="0" w:before="480" w:line="360" w:lineRule="auto"/>
      <w:outlineLvl w:val="9"/>
    </w:pPr>
    <w:rPr>
      <w:b w:val="1"/>
      <w:bCs w:val="1"/>
      <w:kern w:val="0"/>
      <w:sz w:val="28"/>
      <w:szCs w:val="28"/>
      <w:lang w:val="en-US"/>
    </w:rPr>
  </w:style>
  <w:style w:type="paragraph" w:styleId="TOC1">
    <w:name w:val="toc 1"/>
    <w:basedOn w:val="Normal"/>
    <w:next w:val="Normal"/>
    <w:autoRedefine w:val="1"/>
    <w:uiPriority w:val="39"/>
    <w:unhideWhenUsed w:val="1"/>
    <w:rsid w:val="00C100B6"/>
    <w:pPr>
      <w:spacing w:after="100"/>
    </w:pPr>
  </w:style>
  <w:style w:type="character" w:styleId="Hyperlink">
    <w:name w:val="Hyperlink"/>
    <w:basedOn w:val="DefaultParagraphFont"/>
    <w:uiPriority w:val="99"/>
    <w:unhideWhenUsed w:val="1"/>
    <w:rsid w:val="00C100B6"/>
    <w:rPr>
      <w:color w:val="467886" w:themeColor="hyperlink"/>
      <w:u w:val="single"/>
    </w:rPr>
  </w:style>
  <w:style w:type="paragraph" w:styleId="Subtitle">
    <w:name w:val="Subtitle"/>
    <w:basedOn w:val="Normal"/>
    <w:next w:val="Normal"/>
    <w:pPr>
      <w:spacing w:after="160" w:line="278.00000000000006"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EFeRix1iuMRbOaM/4NhJx06V5A==">CgMxLjAyDmguYnR1anN6Nng4ZTBpMg5oLmE4MHZ5cTFhbmx0ZTINaC4zc3kwNjlnc3l2NTIOaC5oanBxcjBxbjEyb2syDmguYjV1cDJybmkzeTR4Mg5oLmV1eThkcGN0aGlqdjIOaC43N2lkZ3B0aTQ3MmEyDmguaTNocjlsOWcyemxkMg5oLmcxNXUzenpkdXE3ODgAciExeDQtUlMtS2hSdHNYTkl2NGR6S1BMdEpRMWxHNjQ3SVI=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2026-02-19T18:47:00Z</dcterms:created>
</cp:coreProperties>
</file>