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2FFEC" w14:textId="77777777" w:rsidR="004E0D9E" w:rsidRDefault="004E0D9E" w:rsidP="004E0D9E">
      <w:pPr>
        <w:rPr>
          <w:b/>
          <w:bCs/>
          <w:sz w:val="40"/>
          <w:szCs w:val="36"/>
          <w:lang w:val="bg-BG"/>
        </w:rPr>
      </w:pPr>
    </w:p>
    <w:p w14:paraId="7410C5BE" w14:textId="77777777" w:rsidR="004E0D9E" w:rsidRDefault="004E0D9E" w:rsidP="004E0D9E">
      <w:pPr>
        <w:jc w:val="center"/>
        <w:rPr>
          <w:b/>
          <w:bCs/>
          <w:sz w:val="40"/>
          <w:szCs w:val="36"/>
        </w:rPr>
      </w:pPr>
    </w:p>
    <w:p w14:paraId="427EEF07" w14:textId="77777777" w:rsidR="00A46FF6" w:rsidRDefault="00A46FF6" w:rsidP="004E0D9E">
      <w:pPr>
        <w:jc w:val="center"/>
        <w:rPr>
          <w:b/>
          <w:bCs/>
          <w:sz w:val="40"/>
          <w:szCs w:val="36"/>
        </w:rPr>
      </w:pPr>
    </w:p>
    <w:p w14:paraId="3B8E401A" w14:textId="25984037" w:rsidR="004E0D9E" w:rsidRDefault="004E0D9E" w:rsidP="004E0D9E">
      <w:pPr>
        <w:jc w:val="center"/>
        <w:rPr>
          <w:b/>
          <w:bCs/>
          <w:sz w:val="28"/>
          <w:szCs w:val="24"/>
        </w:rPr>
      </w:pPr>
      <w:r>
        <w:rPr>
          <w:b/>
          <w:bCs/>
          <w:sz w:val="28"/>
          <w:szCs w:val="24"/>
        </w:rPr>
        <w:t>LCBB4001</w:t>
      </w:r>
    </w:p>
    <w:p w14:paraId="5CE45412" w14:textId="6FE0DC39" w:rsidR="00F202E7" w:rsidRPr="00F202E7" w:rsidRDefault="00F202E7" w:rsidP="00F202E7">
      <w:pPr>
        <w:jc w:val="center"/>
        <w:rPr>
          <w:b/>
          <w:bCs/>
          <w:sz w:val="40"/>
          <w:szCs w:val="36"/>
        </w:rPr>
      </w:pPr>
      <w:r>
        <w:rPr>
          <w:b/>
          <w:bCs/>
          <w:sz w:val="40"/>
          <w:szCs w:val="36"/>
        </w:rPr>
        <w:t>Accounting Fundamentals</w:t>
      </w:r>
    </w:p>
    <w:p w14:paraId="5B3E0521" w14:textId="77777777" w:rsidR="004E0D9E" w:rsidRDefault="004E0D9E" w:rsidP="004E0D9E">
      <w:pPr>
        <w:jc w:val="center"/>
        <w:rPr>
          <w:b/>
          <w:bCs/>
          <w:sz w:val="40"/>
          <w:szCs w:val="36"/>
        </w:rPr>
      </w:pPr>
      <w:r>
        <w:rPr>
          <w:b/>
          <w:bCs/>
          <w:sz w:val="40"/>
          <w:szCs w:val="36"/>
        </w:rPr>
        <w:t>Assignment- A1</w:t>
      </w:r>
    </w:p>
    <w:p w14:paraId="0F5C00DE" w14:textId="77777777" w:rsidR="004973A2" w:rsidRDefault="004973A2" w:rsidP="004E0D9E">
      <w:pPr>
        <w:jc w:val="center"/>
        <w:rPr>
          <w:b/>
          <w:bCs/>
          <w:sz w:val="40"/>
          <w:szCs w:val="36"/>
        </w:rPr>
      </w:pPr>
    </w:p>
    <w:p w14:paraId="4BBC13AC" w14:textId="77777777" w:rsidR="004973A2" w:rsidRDefault="004973A2" w:rsidP="004E0D9E">
      <w:pPr>
        <w:jc w:val="center"/>
        <w:rPr>
          <w:b/>
          <w:bCs/>
          <w:sz w:val="40"/>
          <w:szCs w:val="36"/>
        </w:rPr>
      </w:pPr>
    </w:p>
    <w:p w14:paraId="31E988F2" w14:textId="68768386" w:rsidR="004973A2" w:rsidRDefault="004973A2" w:rsidP="004E0D9E">
      <w:pPr>
        <w:jc w:val="center"/>
        <w:rPr>
          <w:b/>
          <w:bCs/>
          <w:sz w:val="40"/>
          <w:szCs w:val="36"/>
        </w:rPr>
      </w:pPr>
    </w:p>
    <w:p w14:paraId="25A097CE" w14:textId="1CEC716F" w:rsidR="00F32A3F" w:rsidRDefault="00F32A3F" w:rsidP="004E0D9E">
      <w:pPr>
        <w:jc w:val="center"/>
        <w:rPr>
          <w:b/>
          <w:bCs/>
          <w:sz w:val="40"/>
          <w:szCs w:val="36"/>
        </w:rPr>
      </w:pPr>
    </w:p>
    <w:p w14:paraId="35C8809F" w14:textId="77777777" w:rsidR="00F32A3F" w:rsidRDefault="00F32A3F" w:rsidP="004E0D9E">
      <w:pPr>
        <w:jc w:val="center"/>
        <w:rPr>
          <w:b/>
          <w:bCs/>
          <w:sz w:val="40"/>
          <w:szCs w:val="36"/>
        </w:rPr>
      </w:pPr>
    </w:p>
    <w:p w14:paraId="56BA1E4E" w14:textId="0C362A90" w:rsidR="004973A2" w:rsidRDefault="004973A2" w:rsidP="009C685A">
      <w:pPr>
        <w:jc w:val="left"/>
        <w:rPr>
          <w:b/>
          <w:bCs/>
          <w:szCs w:val="24"/>
          <w:lang w:val="bg-BG"/>
        </w:rPr>
      </w:pPr>
    </w:p>
    <w:p w14:paraId="070124D4" w14:textId="778DEA6A" w:rsidR="00302035" w:rsidRPr="009C685A" w:rsidRDefault="00302035" w:rsidP="009C685A">
      <w:pPr>
        <w:jc w:val="left"/>
        <w:rPr>
          <w:b/>
          <w:bCs/>
          <w:szCs w:val="24"/>
        </w:rPr>
      </w:pPr>
    </w:p>
    <w:p w14:paraId="75579B1A" w14:textId="77777777" w:rsidR="004E0D9E" w:rsidRDefault="004E0D9E" w:rsidP="004E0D9E">
      <w:pPr>
        <w:spacing w:line="256" w:lineRule="auto"/>
        <w:jc w:val="left"/>
        <w:rPr>
          <w:rFonts w:ascii="Arial" w:hAnsi="Arial"/>
          <w:b/>
        </w:rPr>
      </w:pPr>
    </w:p>
    <w:p w14:paraId="3CE625AA" w14:textId="77777777" w:rsidR="004E0D9E" w:rsidRDefault="004E0D9E" w:rsidP="004E0D9E">
      <w:pPr>
        <w:spacing w:line="256" w:lineRule="auto"/>
        <w:jc w:val="left"/>
        <w:rPr>
          <w:rFonts w:ascii="Arial" w:hAnsi="Arial"/>
          <w:b/>
        </w:rPr>
      </w:pPr>
    </w:p>
    <w:p w14:paraId="643FAFEA" w14:textId="77777777" w:rsidR="004E0D9E" w:rsidRDefault="004E0D9E" w:rsidP="004E0D9E">
      <w:pPr>
        <w:spacing w:line="256" w:lineRule="auto"/>
        <w:jc w:val="left"/>
        <w:rPr>
          <w:rFonts w:ascii="Arial" w:hAnsi="Arial"/>
          <w:b/>
        </w:rPr>
      </w:pPr>
    </w:p>
    <w:p w14:paraId="7A4C96F2" w14:textId="77777777" w:rsidR="004E0D9E" w:rsidRDefault="004E0D9E" w:rsidP="004E0D9E">
      <w:pPr>
        <w:spacing w:line="256" w:lineRule="auto"/>
        <w:jc w:val="left"/>
        <w:rPr>
          <w:rFonts w:ascii="Arial" w:hAnsi="Arial"/>
          <w:b/>
        </w:rPr>
      </w:pPr>
    </w:p>
    <w:p w14:paraId="6747B42D" w14:textId="77777777" w:rsidR="004E0D9E" w:rsidRDefault="004E0D9E" w:rsidP="004E0D9E">
      <w:pPr>
        <w:spacing w:line="256" w:lineRule="auto"/>
        <w:jc w:val="left"/>
        <w:rPr>
          <w:rFonts w:ascii="Arial" w:hAnsi="Arial"/>
          <w:b/>
        </w:rPr>
      </w:pPr>
    </w:p>
    <w:p w14:paraId="44D822B3" w14:textId="77777777" w:rsidR="004E0D9E" w:rsidRDefault="004E0D9E" w:rsidP="004E0D9E">
      <w:pPr>
        <w:spacing w:line="256" w:lineRule="auto"/>
        <w:jc w:val="left"/>
        <w:rPr>
          <w:rFonts w:ascii="Arial" w:hAnsi="Arial"/>
          <w:b/>
        </w:rPr>
      </w:pPr>
    </w:p>
    <w:p w14:paraId="32B80CA3" w14:textId="77777777" w:rsidR="004E0D9E" w:rsidRDefault="004E0D9E" w:rsidP="004E0D9E">
      <w:pPr>
        <w:spacing w:line="256" w:lineRule="auto"/>
        <w:jc w:val="left"/>
        <w:rPr>
          <w:rFonts w:ascii="Arial" w:hAnsi="Arial"/>
          <w:b/>
        </w:rPr>
      </w:pPr>
    </w:p>
    <w:p w14:paraId="5F33FFAE" w14:textId="77777777" w:rsidR="004E0D9E" w:rsidRDefault="004E0D9E" w:rsidP="004E0D9E">
      <w:pPr>
        <w:spacing w:line="256" w:lineRule="auto"/>
        <w:jc w:val="left"/>
        <w:rPr>
          <w:rFonts w:ascii="Arial" w:hAnsi="Arial"/>
          <w:b/>
        </w:rPr>
      </w:pPr>
    </w:p>
    <w:p w14:paraId="68E49B5D" w14:textId="77777777" w:rsidR="004E0D9E" w:rsidRDefault="004E0D9E" w:rsidP="004E0D9E">
      <w:pPr>
        <w:spacing w:line="256" w:lineRule="auto"/>
        <w:jc w:val="left"/>
        <w:rPr>
          <w:rFonts w:ascii="Arial" w:hAnsi="Arial"/>
          <w:b/>
        </w:rPr>
      </w:pPr>
    </w:p>
    <w:p w14:paraId="252920DE" w14:textId="0270F1FE" w:rsidR="004E0D9E" w:rsidRDefault="004E0D9E" w:rsidP="004E0D9E">
      <w:pPr>
        <w:rPr>
          <w:i/>
          <w:iCs/>
        </w:rPr>
      </w:pPr>
      <w:r>
        <w:rPr>
          <w:i/>
          <w:iCs/>
        </w:rPr>
        <w:t xml:space="preserve">Student </w:t>
      </w:r>
      <w:proofErr w:type="gramStart"/>
      <w:r>
        <w:rPr>
          <w:i/>
          <w:iCs/>
        </w:rPr>
        <w:t>Name:</w:t>
      </w:r>
      <w:proofErr w:type="spellStart"/>
      <w:r w:rsidR="00153E7B">
        <w:rPr>
          <w:i/>
          <w:iCs/>
          <w:lang w:val="bg-BG"/>
        </w:rPr>
        <w:t>Sevila</w:t>
      </w:r>
      <w:proofErr w:type="spellEnd"/>
      <w:proofErr w:type="gramEnd"/>
      <w:r w:rsidR="00153E7B">
        <w:rPr>
          <w:i/>
          <w:iCs/>
          <w:lang w:val="bg-BG"/>
        </w:rPr>
        <w:t xml:space="preserve"> </w:t>
      </w:r>
      <w:proofErr w:type="spellStart"/>
      <w:r w:rsidR="00153E7B">
        <w:rPr>
          <w:i/>
          <w:iCs/>
          <w:lang w:val="bg-BG"/>
        </w:rPr>
        <w:t>Gorahmedova</w:t>
      </w:r>
      <w:proofErr w:type="spellEnd"/>
      <w:r w:rsidR="00153E7B">
        <w:rPr>
          <w:i/>
          <w:iCs/>
          <w:lang w:val="bg-BG"/>
        </w:rPr>
        <w:t xml:space="preserve"> </w:t>
      </w:r>
    </w:p>
    <w:p w14:paraId="1440DF18" w14:textId="77777777" w:rsidR="00403BDA" w:rsidRDefault="004E0D9E" w:rsidP="00AC383F">
      <w:pPr>
        <w:rPr>
          <w:i/>
          <w:iCs/>
          <w:lang w:val="bg-BG"/>
        </w:rPr>
      </w:pPr>
      <w:r>
        <w:rPr>
          <w:i/>
          <w:iCs/>
        </w:rPr>
        <w:t>Student ID:</w:t>
      </w:r>
      <w:r w:rsidR="00153E7B">
        <w:rPr>
          <w:i/>
          <w:iCs/>
          <w:lang w:val="bg-BG"/>
        </w:rPr>
        <w:t>2113595</w:t>
      </w:r>
    </w:p>
    <w:p w14:paraId="07A0856D" w14:textId="77777777" w:rsidR="00403BDA" w:rsidRDefault="00403BDA" w:rsidP="00AC383F">
      <w:pPr>
        <w:rPr>
          <w:i/>
          <w:iCs/>
          <w:lang w:val="bg-BG"/>
        </w:rPr>
      </w:pPr>
    </w:p>
    <w:p w14:paraId="7EF49385" w14:textId="77777777" w:rsidR="00403BDA" w:rsidRDefault="00403BDA" w:rsidP="00AC383F">
      <w:pPr>
        <w:rPr>
          <w:i/>
          <w:iCs/>
          <w:lang w:val="bg-BG"/>
        </w:rPr>
      </w:pPr>
    </w:p>
    <w:p w14:paraId="41EBC43D" w14:textId="77777777" w:rsidR="00403BDA" w:rsidRDefault="00403BDA" w:rsidP="00AC383F">
      <w:pPr>
        <w:rPr>
          <w:i/>
          <w:iCs/>
          <w:lang w:val="bg-BG"/>
        </w:rPr>
      </w:pPr>
    </w:p>
    <w:p w14:paraId="45CB01F0" w14:textId="77777777" w:rsidR="00403BDA" w:rsidRDefault="00403BDA" w:rsidP="00AC383F">
      <w:pPr>
        <w:rPr>
          <w:i/>
          <w:iCs/>
          <w:lang w:val="bg-BG"/>
        </w:rPr>
      </w:pPr>
    </w:p>
    <w:p w14:paraId="23B48DF4" w14:textId="77777777" w:rsidR="00403BDA" w:rsidRDefault="00403BDA" w:rsidP="00AC383F">
      <w:pPr>
        <w:rPr>
          <w:i/>
          <w:iCs/>
          <w:lang w:val="bg-BG"/>
        </w:rPr>
      </w:pPr>
    </w:p>
    <w:p w14:paraId="35DEB592" w14:textId="18161F1E" w:rsidR="004959DA" w:rsidRPr="00AC383F" w:rsidRDefault="004E0D9E" w:rsidP="00AC383F">
      <w:pPr>
        <w:rPr>
          <w:rFonts w:eastAsiaTheme="majorEastAsia" w:cstheme="majorBidi"/>
          <w:color w:val="365F91" w:themeColor="accent1" w:themeShade="BF"/>
          <w:sz w:val="32"/>
          <w:szCs w:val="32"/>
        </w:rPr>
      </w:pPr>
      <w:r>
        <w:br w:type="page"/>
      </w:r>
    </w:p>
    <w:sdt>
      <w:sdtPr>
        <w:rPr>
          <w:rFonts w:ascii="Times New Roman" w:eastAsia="Calibri" w:hAnsi="Times New Roman" w:cs="Vrinda"/>
          <w:b w:val="0"/>
          <w:bCs w:val="0"/>
          <w:color w:val="auto"/>
          <w:sz w:val="24"/>
          <w:szCs w:val="22"/>
          <w:lang w:val="en-GB" w:eastAsia="en-US"/>
        </w:rPr>
        <w:id w:val="1894461492"/>
        <w:docPartObj>
          <w:docPartGallery w:val="Table of Contents"/>
          <w:docPartUnique/>
        </w:docPartObj>
      </w:sdtPr>
      <w:sdtEndPr>
        <w:rPr>
          <w:noProof/>
        </w:rPr>
      </w:sdtEndPr>
      <w:sdtContent>
        <w:p w14:paraId="3BE88279" w14:textId="77777777" w:rsidR="004959DA" w:rsidRDefault="004959DA" w:rsidP="004959DA">
          <w:pPr>
            <w:pStyle w:val="a4"/>
            <w:jc w:val="center"/>
          </w:pPr>
          <w:r>
            <w:t>Table of Contents</w:t>
          </w:r>
        </w:p>
        <w:p w14:paraId="2AE5B6FF" w14:textId="57E7E04C" w:rsidR="00BF1779" w:rsidRDefault="004959DA">
          <w:pPr>
            <w:pStyle w:val="11"/>
            <w:tabs>
              <w:tab w:val="right" w:leader="dot" w:pos="9017"/>
            </w:tabs>
            <w:rPr>
              <w:rFonts w:asciiTheme="minorHAnsi" w:eastAsiaTheme="minorEastAsia" w:hAnsiTheme="minorHAnsi"/>
              <w:noProof/>
              <w:sz w:val="22"/>
              <w:szCs w:val="28"/>
              <w:lang w:val="en-US" w:bidi="bn-BD"/>
            </w:rPr>
          </w:pPr>
          <w:r>
            <w:fldChar w:fldCharType="begin"/>
          </w:r>
          <w:r>
            <w:instrText xml:space="preserve"> TOC \o "1-3" \h \z \u </w:instrText>
          </w:r>
          <w:r>
            <w:fldChar w:fldCharType="separate"/>
          </w:r>
          <w:hyperlink w:anchor="_Toc111407403" w:history="1">
            <w:r w:rsidR="00BF1779" w:rsidRPr="002824CE">
              <w:rPr>
                <w:rStyle w:val="a5"/>
                <w:noProof/>
                <w:shd w:val="clear" w:color="auto" w:fill="FFFFFF"/>
              </w:rPr>
              <w:t>Introduction</w:t>
            </w:r>
            <w:r w:rsidR="00BF1779">
              <w:rPr>
                <w:noProof/>
                <w:webHidden/>
              </w:rPr>
              <w:tab/>
            </w:r>
            <w:r w:rsidR="00BF1779">
              <w:rPr>
                <w:noProof/>
                <w:webHidden/>
              </w:rPr>
              <w:fldChar w:fldCharType="begin"/>
            </w:r>
            <w:r w:rsidR="00BF1779">
              <w:rPr>
                <w:noProof/>
                <w:webHidden/>
              </w:rPr>
              <w:instrText xml:space="preserve"> PAGEREF _Toc111407403 \h </w:instrText>
            </w:r>
            <w:r w:rsidR="00BF1779">
              <w:rPr>
                <w:noProof/>
                <w:webHidden/>
              </w:rPr>
            </w:r>
            <w:r w:rsidR="00BF1779">
              <w:rPr>
                <w:noProof/>
                <w:webHidden/>
              </w:rPr>
              <w:fldChar w:fldCharType="separate"/>
            </w:r>
            <w:r w:rsidR="00BF1779">
              <w:rPr>
                <w:noProof/>
                <w:webHidden/>
              </w:rPr>
              <w:t>3</w:t>
            </w:r>
            <w:r w:rsidR="00BF1779">
              <w:rPr>
                <w:noProof/>
                <w:webHidden/>
              </w:rPr>
              <w:fldChar w:fldCharType="end"/>
            </w:r>
          </w:hyperlink>
        </w:p>
        <w:p w14:paraId="49AA15AD" w14:textId="41027506" w:rsidR="00BF1779" w:rsidRDefault="003F3186">
          <w:pPr>
            <w:pStyle w:val="11"/>
            <w:tabs>
              <w:tab w:val="right" w:leader="dot" w:pos="9017"/>
            </w:tabs>
            <w:rPr>
              <w:rFonts w:asciiTheme="minorHAnsi" w:eastAsiaTheme="minorEastAsia" w:hAnsiTheme="minorHAnsi"/>
              <w:noProof/>
              <w:sz w:val="22"/>
              <w:szCs w:val="28"/>
              <w:lang w:val="en-US" w:bidi="bn-BD"/>
            </w:rPr>
          </w:pPr>
          <w:hyperlink w:anchor="_Toc111407404" w:history="1">
            <w:r w:rsidR="00BF1779" w:rsidRPr="002824CE">
              <w:rPr>
                <w:rStyle w:val="a5"/>
                <w:noProof/>
                <w:shd w:val="clear" w:color="auto" w:fill="FFFFFF"/>
              </w:rPr>
              <w:t>QUESTION-1</w:t>
            </w:r>
            <w:r w:rsidR="00BF1779">
              <w:rPr>
                <w:noProof/>
                <w:webHidden/>
              </w:rPr>
              <w:tab/>
            </w:r>
            <w:r w:rsidR="00BF1779">
              <w:rPr>
                <w:noProof/>
                <w:webHidden/>
              </w:rPr>
              <w:fldChar w:fldCharType="begin"/>
            </w:r>
            <w:r w:rsidR="00BF1779">
              <w:rPr>
                <w:noProof/>
                <w:webHidden/>
              </w:rPr>
              <w:instrText xml:space="preserve"> PAGEREF _Toc111407404 \h </w:instrText>
            </w:r>
            <w:r w:rsidR="00BF1779">
              <w:rPr>
                <w:noProof/>
                <w:webHidden/>
              </w:rPr>
            </w:r>
            <w:r w:rsidR="00BF1779">
              <w:rPr>
                <w:noProof/>
                <w:webHidden/>
              </w:rPr>
              <w:fldChar w:fldCharType="separate"/>
            </w:r>
            <w:r w:rsidR="00BF1779">
              <w:rPr>
                <w:noProof/>
                <w:webHidden/>
              </w:rPr>
              <w:t>4</w:t>
            </w:r>
            <w:r w:rsidR="00BF1779">
              <w:rPr>
                <w:noProof/>
                <w:webHidden/>
              </w:rPr>
              <w:fldChar w:fldCharType="end"/>
            </w:r>
          </w:hyperlink>
        </w:p>
        <w:p w14:paraId="1D0E5ACD" w14:textId="0A2BAFD2" w:rsidR="00BF1779" w:rsidRDefault="003F3186">
          <w:pPr>
            <w:pStyle w:val="21"/>
            <w:tabs>
              <w:tab w:val="right" w:leader="dot" w:pos="9017"/>
            </w:tabs>
            <w:rPr>
              <w:rFonts w:asciiTheme="minorHAnsi" w:eastAsiaTheme="minorEastAsia" w:hAnsiTheme="minorHAnsi"/>
              <w:noProof/>
              <w:sz w:val="22"/>
              <w:szCs w:val="28"/>
              <w:lang w:val="en-US" w:bidi="bn-BD"/>
            </w:rPr>
          </w:pPr>
          <w:hyperlink w:anchor="_Toc111407405" w:history="1">
            <w:r w:rsidR="00BF1779" w:rsidRPr="002824CE">
              <w:rPr>
                <w:rStyle w:val="a5"/>
                <w:noProof/>
                <w:shd w:val="clear" w:color="auto" w:fill="FFFFFF"/>
              </w:rPr>
              <w:t>A) Preparing income statement</w:t>
            </w:r>
            <w:r w:rsidR="00BF1779">
              <w:rPr>
                <w:noProof/>
                <w:webHidden/>
              </w:rPr>
              <w:tab/>
            </w:r>
            <w:r w:rsidR="00BF1779">
              <w:rPr>
                <w:noProof/>
                <w:webHidden/>
              </w:rPr>
              <w:fldChar w:fldCharType="begin"/>
            </w:r>
            <w:r w:rsidR="00BF1779">
              <w:rPr>
                <w:noProof/>
                <w:webHidden/>
              </w:rPr>
              <w:instrText xml:space="preserve"> PAGEREF _Toc111407405 \h </w:instrText>
            </w:r>
            <w:r w:rsidR="00BF1779">
              <w:rPr>
                <w:noProof/>
                <w:webHidden/>
              </w:rPr>
            </w:r>
            <w:r w:rsidR="00BF1779">
              <w:rPr>
                <w:noProof/>
                <w:webHidden/>
              </w:rPr>
              <w:fldChar w:fldCharType="separate"/>
            </w:r>
            <w:r w:rsidR="00BF1779">
              <w:rPr>
                <w:noProof/>
                <w:webHidden/>
              </w:rPr>
              <w:t>4</w:t>
            </w:r>
            <w:r w:rsidR="00BF1779">
              <w:rPr>
                <w:noProof/>
                <w:webHidden/>
              </w:rPr>
              <w:fldChar w:fldCharType="end"/>
            </w:r>
          </w:hyperlink>
        </w:p>
        <w:p w14:paraId="4ABE32DA" w14:textId="1DB17B49" w:rsidR="00BF1779" w:rsidRDefault="003F3186">
          <w:pPr>
            <w:pStyle w:val="21"/>
            <w:tabs>
              <w:tab w:val="right" w:leader="dot" w:pos="9017"/>
            </w:tabs>
            <w:rPr>
              <w:rFonts w:asciiTheme="minorHAnsi" w:eastAsiaTheme="minorEastAsia" w:hAnsiTheme="minorHAnsi"/>
              <w:noProof/>
              <w:sz w:val="22"/>
              <w:szCs w:val="28"/>
              <w:lang w:val="en-US" w:bidi="bn-BD"/>
            </w:rPr>
          </w:pPr>
          <w:hyperlink w:anchor="_Toc111407406" w:history="1">
            <w:r w:rsidR="00BF1779" w:rsidRPr="002824CE">
              <w:rPr>
                <w:rStyle w:val="a5"/>
                <w:noProof/>
                <w:shd w:val="clear" w:color="auto" w:fill="FFFFFF"/>
              </w:rPr>
              <w:t>B) Reason for balancing Balance sheet</w:t>
            </w:r>
            <w:r w:rsidR="00BF1779">
              <w:rPr>
                <w:noProof/>
                <w:webHidden/>
              </w:rPr>
              <w:tab/>
            </w:r>
            <w:r w:rsidR="00BF1779">
              <w:rPr>
                <w:noProof/>
                <w:webHidden/>
              </w:rPr>
              <w:fldChar w:fldCharType="begin"/>
            </w:r>
            <w:r w:rsidR="00BF1779">
              <w:rPr>
                <w:noProof/>
                <w:webHidden/>
              </w:rPr>
              <w:instrText xml:space="preserve"> PAGEREF _Toc111407406 \h </w:instrText>
            </w:r>
            <w:r w:rsidR="00BF1779">
              <w:rPr>
                <w:noProof/>
                <w:webHidden/>
              </w:rPr>
            </w:r>
            <w:r w:rsidR="00BF1779">
              <w:rPr>
                <w:noProof/>
                <w:webHidden/>
              </w:rPr>
              <w:fldChar w:fldCharType="separate"/>
            </w:r>
            <w:r w:rsidR="00BF1779">
              <w:rPr>
                <w:noProof/>
                <w:webHidden/>
              </w:rPr>
              <w:t>7</w:t>
            </w:r>
            <w:r w:rsidR="00BF1779">
              <w:rPr>
                <w:noProof/>
                <w:webHidden/>
              </w:rPr>
              <w:fldChar w:fldCharType="end"/>
            </w:r>
          </w:hyperlink>
        </w:p>
        <w:p w14:paraId="7DB1C0DD" w14:textId="25F15C9C" w:rsidR="00BF1779" w:rsidRDefault="003F3186">
          <w:pPr>
            <w:pStyle w:val="11"/>
            <w:tabs>
              <w:tab w:val="right" w:leader="dot" w:pos="9017"/>
            </w:tabs>
            <w:rPr>
              <w:rFonts w:asciiTheme="minorHAnsi" w:eastAsiaTheme="minorEastAsia" w:hAnsiTheme="minorHAnsi"/>
              <w:noProof/>
              <w:sz w:val="22"/>
              <w:szCs w:val="28"/>
              <w:lang w:val="en-US" w:bidi="bn-BD"/>
            </w:rPr>
          </w:pPr>
          <w:hyperlink w:anchor="_Toc111407407" w:history="1">
            <w:r w:rsidR="00BF1779" w:rsidRPr="002824CE">
              <w:rPr>
                <w:rStyle w:val="a5"/>
                <w:noProof/>
                <w:shd w:val="clear" w:color="auto" w:fill="FFFFFF"/>
              </w:rPr>
              <w:t>QUESTION-2</w:t>
            </w:r>
            <w:r w:rsidR="00BF1779">
              <w:rPr>
                <w:noProof/>
                <w:webHidden/>
              </w:rPr>
              <w:tab/>
            </w:r>
            <w:r w:rsidR="00BF1779">
              <w:rPr>
                <w:noProof/>
                <w:webHidden/>
              </w:rPr>
              <w:fldChar w:fldCharType="begin"/>
            </w:r>
            <w:r w:rsidR="00BF1779">
              <w:rPr>
                <w:noProof/>
                <w:webHidden/>
              </w:rPr>
              <w:instrText xml:space="preserve"> PAGEREF _Toc111407407 \h </w:instrText>
            </w:r>
            <w:r w:rsidR="00BF1779">
              <w:rPr>
                <w:noProof/>
                <w:webHidden/>
              </w:rPr>
            </w:r>
            <w:r w:rsidR="00BF1779">
              <w:rPr>
                <w:noProof/>
                <w:webHidden/>
              </w:rPr>
              <w:fldChar w:fldCharType="separate"/>
            </w:r>
            <w:r w:rsidR="00BF1779">
              <w:rPr>
                <w:noProof/>
                <w:webHidden/>
              </w:rPr>
              <w:t>9</w:t>
            </w:r>
            <w:r w:rsidR="00BF1779">
              <w:rPr>
                <w:noProof/>
                <w:webHidden/>
              </w:rPr>
              <w:fldChar w:fldCharType="end"/>
            </w:r>
          </w:hyperlink>
        </w:p>
        <w:p w14:paraId="2740DF2A" w14:textId="10348EFB" w:rsidR="00BF1779" w:rsidRDefault="003F3186">
          <w:pPr>
            <w:pStyle w:val="21"/>
            <w:tabs>
              <w:tab w:val="right" w:leader="dot" w:pos="9017"/>
            </w:tabs>
            <w:rPr>
              <w:rFonts w:asciiTheme="minorHAnsi" w:eastAsiaTheme="minorEastAsia" w:hAnsiTheme="minorHAnsi"/>
              <w:noProof/>
              <w:sz w:val="22"/>
              <w:szCs w:val="28"/>
              <w:lang w:val="en-US" w:bidi="bn-BD"/>
            </w:rPr>
          </w:pPr>
          <w:hyperlink w:anchor="_Toc111407408" w:history="1">
            <w:r w:rsidR="00BF1779" w:rsidRPr="002824CE">
              <w:rPr>
                <w:rStyle w:val="a5"/>
                <w:noProof/>
                <w:shd w:val="clear" w:color="auto" w:fill="FFFFFF"/>
              </w:rPr>
              <w:t xml:space="preserve">A) Calculating the Financial Ratios </w:t>
            </w:r>
            <w:r w:rsidR="00BF1779" w:rsidRPr="002824CE">
              <w:rPr>
                <w:rStyle w:val="a5"/>
                <w:noProof/>
              </w:rPr>
              <w:t>Sweets plc</w:t>
            </w:r>
            <w:r w:rsidR="00BF1779">
              <w:rPr>
                <w:noProof/>
                <w:webHidden/>
              </w:rPr>
              <w:tab/>
            </w:r>
            <w:r w:rsidR="00BF1779">
              <w:rPr>
                <w:noProof/>
                <w:webHidden/>
              </w:rPr>
              <w:fldChar w:fldCharType="begin"/>
            </w:r>
            <w:r w:rsidR="00BF1779">
              <w:rPr>
                <w:noProof/>
                <w:webHidden/>
              </w:rPr>
              <w:instrText xml:space="preserve"> PAGEREF _Toc111407408 \h </w:instrText>
            </w:r>
            <w:r w:rsidR="00BF1779">
              <w:rPr>
                <w:noProof/>
                <w:webHidden/>
              </w:rPr>
            </w:r>
            <w:r w:rsidR="00BF1779">
              <w:rPr>
                <w:noProof/>
                <w:webHidden/>
              </w:rPr>
              <w:fldChar w:fldCharType="separate"/>
            </w:r>
            <w:r w:rsidR="00BF1779">
              <w:rPr>
                <w:noProof/>
                <w:webHidden/>
              </w:rPr>
              <w:t>9</w:t>
            </w:r>
            <w:r w:rsidR="00BF1779">
              <w:rPr>
                <w:noProof/>
                <w:webHidden/>
              </w:rPr>
              <w:fldChar w:fldCharType="end"/>
            </w:r>
          </w:hyperlink>
        </w:p>
        <w:p w14:paraId="7EBE11EA" w14:textId="4087CA91" w:rsidR="00BF1779" w:rsidRDefault="003F3186">
          <w:pPr>
            <w:pStyle w:val="21"/>
            <w:tabs>
              <w:tab w:val="right" w:leader="dot" w:pos="9017"/>
            </w:tabs>
            <w:rPr>
              <w:rFonts w:asciiTheme="minorHAnsi" w:eastAsiaTheme="minorEastAsia" w:hAnsiTheme="minorHAnsi"/>
              <w:noProof/>
              <w:sz w:val="22"/>
              <w:szCs w:val="28"/>
              <w:lang w:val="en-US" w:bidi="bn-BD"/>
            </w:rPr>
          </w:pPr>
          <w:hyperlink w:anchor="_Toc111407409" w:history="1">
            <w:r w:rsidR="00BF1779" w:rsidRPr="002824CE">
              <w:rPr>
                <w:rStyle w:val="a5"/>
                <w:noProof/>
              </w:rPr>
              <w:t>B) Comment on Ratio analysis</w:t>
            </w:r>
            <w:r w:rsidR="00BF1779">
              <w:rPr>
                <w:noProof/>
                <w:webHidden/>
              </w:rPr>
              <w:tab/>
            </w:r>
            <w:r w:rsidR="00BF1779">
              <w:rPr>
                <w:noProof/>
                <w:webHidden/>
              </w:rPr>
              <w:fldChar w:fldCharType="begin"/>
            </w:r>
            <w:r w:rsidR="00BF1779">
              <w:rPr>
                <w:noProof/>
                <w:webHidden/>
              </w:rPr>
              <w:instrText xml:space="preserve"> PAGEREF _Toc111407409 \h </w:instrText>
            </w:r>
            <w:r w:rsidR="00BF1779">
              <w:rPr>
                <w:noProof/>
                <w:webHidden/>
              </w:rPr>
            </w:r>
            <w:r w:rsidR="00BF1779">
              <w:rPr>
                <w:noProof/>
                <w:webHidden/>
              </w:rPr>
              <w:fldChar w:fldCharType="separate"/>
            </w:r>
            <w:r w:rsidR="00BF1779">
              <w:rPr>
                <w:noProof/>
                <w:webHidden/>
              </w:rPr>
              <w:t>13</w:t>
            </w:r>
            <w:r w:rsidR="00BF1779">
              <w:rPr>
                <w:noProof/>
                <w:webHidden/>
              </w:rPr>
              <w:fldChar w:fldCharType="end"/>
            </w:r>
          </w:hyperlink>
        </w:p>
        <w:p w14:paraId="5CC23F08" w14:textId="4E854FA1" w:rsidR="00BF1779" w:rsidRDefault="003F3186">
          <w:pPr>
            <w:pStyle w:val="11"/>
            <w:tabs>
              <w:tab w:val="right" w:leader="dot" w:pos="9017"/>
            </w:tabs>
            <w:rPr>
              <w:rFonts w:asciiTheme="minorHAnsi" w:eastAsiaTheme="minorEastAsia" w:hAnsiTheme="minorHAnsi"/>
              <w:noProof/>
              <w:sz w:val="22"/>
              <w:szCs w:val="28"/>
              <w:lang w:val="en-US" w:bidi="bn-BD"/>
            </w:rPr>
          </w:pPr>
          <w:hyperlink w:anchor="_Toc111407410" w:history="1">
            <w:r w:rsidR="00BF1779" w:rsidRPr="002824CE">
              <w:rPr>
                <w:rStyle w:val="a5"/>
                <w:noProof/>
              </w:rPr>
              <w:t>Conclusion</w:t>
            </w:r>
            <w:r w:rsidR="00BF1779">
              <w:rPr>
                <w:noProof/>
                <w:webHidden/>
              </w:rPr>
              <w:tab/>
            </w:r>
            <w:r w:rsidR="00BF1779">
              <w:rPr>
                <w:noProof/>
                <w:webHidden/>
              </w:rPr>
              <w:fldChar w:fldCharType="begin"/>
            </w:r>
            <w:r w:rsidR="00BF1779">
              <w:rPr>
                <w:noProof/>
                <w:webHidden/>
              </w:rPr>
              <w:instrText xml:space="preserve"> PAGEREF _Toc111407410 \h </w:instrText>
            </w:r>
            <w:r w:rsidR="00BF1779">
              <w:rPr>
                <w:noProof/>
                <w:webHidden/>
              </w:rPr>
            </w:r>
            <w:r w:rsidR="00BF1779">
              <w:rPr>
                <w:noProof/>
                <w:webHidden/>
              </w:rPr>
              <w:fldChar w:fldCharType="separate"/>
            </w:r>
            <w:r w:rsidR="00BF1779">
              <w:rPr>
                <w:noProof/>
                <w:webHidden/>
              </w:rPr>
              <w:t>16</w:t>
            </w:r>
            <w:r w:rsidR="00BF1779">
              <w:rPr>
                <w:noProof/>
                <w:webHidden/>
              </w:rPr>
              <w:fldChar w:fldCharType="end"/>
            </w:r>
          </w:hyperlink>
        </w:p>
        <w:p w14:paraId="22F90E05" w14:textId="012054B5" w:rsidR="00BF1779" w:rsidRDefault="003F3186">
          <w:pPr>
            <w:pStyle w:val="11"/>
            <w:tabs>
              <w:tab w:val="right" w:leader="dot" w:pos="9017"/>
            </w:tabs>
            <w:rPr>
              <w:rFonts w:asciiTheme="minorHAnsi" w:eastAsiaTheme="minorEastAsia" w:hAnsiTheme="minorHAnsi"/>
              <w:noProof/>
              <w:sz w:val="22"/>
              <w:szCs w:val="28"/>
              <w:lang w:val="en-US" w:bidi="bn-BD"/>
            </w:rPr>
          </w:pPr>
          <w:hyperlink w:anchor="_Toc111407411" w:history="1">
            <w:r w:rsidR="00BF1779" w:rsidRPr="002824CE">
              <w:rPr>
                <w:rStyle w:val="a5"/>
                <w:noProof/>
              </w:rPr>
              <w:t>References</w:t>
            </w:r>
            <w:r w:rsidR="00BF1779">
              <w:rPr>
                <w:noProof/>
                <w:webHidden/>
              </w:rPr>
              <w:tab/>
            </w:r>
            <w:r w:rsidR="00BF1779">
              <w:rPr>
                <w:noProof/>
                <w:webHidden/>
              </w:rPr>
              <w:fldChar w:fldCharType="begin"/>
            </w:r>
            <w:r w:rsidR="00BF1779">
              <w:rPr>
                <w:noProof/>
                <w:webHidden/>
              </w:rPr>
              <w:instrText xml:space="preserve"> PAGEREF _Toc111407411 \h </w:instrText>
            </w:r>
            <w:r w:rsidR="00BF1779">
              <w:rPr>
                <w:noProof/>
                <w:webHidden/>
              </w:rPr>
            </w:r>
            <w:r w:rsidR="00BF1779">
              <w:rPr>
                <w:noProof/>
                <w:webHidden/>
              </w:rPr>
              <w:fldChar w:fldCharType="separate"/>
            </w:r>
            <w:r w:rsidR="00BF1779">
              <w:rPr>
                <w:noProof/>
                <w:webHidden/>
              </w:rPr>
              <w:t>17</w:t>
            </w:r>
            <w:r w:rsidR="00BF1779">
              <w:rPr>
                <w:noProof/>
                <w:webHidden/>
              </w:rPr>
              <w:fldChar w:fldCharType="end"/>
            </w:r>
          </w:hyperlink>
        </w:p>
        <w:p w14:paraId="433988A5" w14:textId="479B8FD0" w:rsidR="004959DA" w:rsidRDefault="004959DA">
          <w:r>
            <w:rPr>
              <w:b/>
              <w:bCs/>
              <w:noProof/>
            </w:rPr>
            <w:fldChar w:fldCharType="end"/>
          </w:r>
        </w:p>
      </w:sdtContent>
    </w:sdt>
    <w:p w14:paraId="113BF1D1" w14:textId="77777777" w:rsidR="005C2F04" w:rsidRDefault="00072C48">
      <w:pPr>
        <w:spacing w:line="259" w:lineRule="auto"/>
        <w:jc w:val="left"/>
        <w:rPr>
          <w:shd w:val="clear" w:color="auto" w:fill="FFFFFF"/>
        </w:rPr>
      </w:pPr>
      <w:r>
        <w:rPr>
          <w:shd w:val="clear" w:color="auto" w:fill="FFFFFF"/>
        </w:rPr>
        <w:br w:type="page"/>
      </w:r>
    </w:p>
    <w:p w14:paraId="43B8AA87" w14:textId="77777777" w:rsidR="005C2F04" w:rsidRDefault="00072C48">
      <w:pPr>
        <w:pStyle w:val="1"/>
        <w:rPr>
          <w:shd w:val="clear" w:color="auto" w:fill="FFFFFF"/>
        </w:rPr>
      </w:pPr>
      <w:bookmarkStart w:id="0" w:name="_Toc111407403"/>
      <w:r>
        <w:rPr>
          <w:shd w:val="clear" w:color="auto" w:fill="FFFFFF"/>
        </w:rPr>
        <w:t>Introduction</w:t>
      </w:r>
      <w:bookmarkEnd w:id="0"/>
      <w:r>
        <w:rPr>
          <w:shd w:val="clear" w:color="auto" w:fill="FFFFFF"/>
        </w:rPr>
        <w:t xml:space="preserve"> </w:t>
      </w:r>
    </w:p>
    <w:p w14:paraId="1E72E173" w14:textId="77777777" w:rsidR="005C2F04" w:rsidRDefault="00072C48">
      <w:pPr>
        <w:rPr>
          <w:shd w:val="clear" w:color="auto" w:fill="FFFFFF"/>
        </w:rPr>
      </w:pPr>
      <w:r>
        <w:t xml:space="preserve">Modern accounting is almost entirely dependent on the double entry system.  The double entry system divides a transaction into two separate but equal categories that create debit and credit accounts.  This report will show how basic accounting statements can be prepared using various financial data.  The presentation of these accounting statements will be summarized at the beginning of this report.  The report will then discuss why both sides of a balance sheet balance.  Here it will be shown how the double entry system helps balance the balance sheet by keeping both sides correct.  Also this part of the report will give a detailed idea about all the effects of double entry system.  </w:t>
      </w:r>
    </w:p>
    <w:p w14:paraId="383FBB8A" w14:textId="77777777" w:rsidR="005C2F04" w:rsidRDefault="00072C48">
      <w:pPr>
        <w:pStyle w:val="1"/>
        <w:rPr>
          <w:shd w:val="clear" w:color="auto" w:fill="FFFFFF"/>
        </w:rPr>
      </w:pPr>
      <w:r>
        <w:rPr>
          <w:shd w:val="clear" w:color="auto" w:fill="FFFFFF"/>
          <w:lang w:val="en-US"/>
        </w:rPr>
        <w:br w:type="page"/>
      </w:r>
      <w:bookmarkStart w:id="1" w:name="_Toc111407404"/>
      <w:r>
        <w:rPr>
          <w:shd w:val="clear" w:color="auto" w:fill="FFFFFF"/>
        </w:rPr>
        <w:t>QUESTION-1</w:t>
      </w:r>
      <w:bookmarkEnd w:id="1"/>
    </w:p>
    <w:p w14:paraId="000A70E8" w14:textId="77777777" w:rsidR="005C2F04" w:rsidRDefault="00072C48">
      <w:pPr>
        <w:pStyle w:val="2"/>
        <w:rPr>
          <w:shd w:val="clear" w:color="auto" w:fill="FFFFFF"/>
        </w:rPr>
      </w:pPr>
      <w:bookmarkStart w:id="2" w:name="_Toc111407405"/>
      <w:r>
        <w:rPr>
          <w:shd w:val="clear" w:color="auto" w:fill="FFFFFF"/>
        </w:rPr>
        <w:t>A) Preparing income statement</w:t>
      </w:r>
      <w:bookmarkEnd w:id="2"/>
      <w:r>
        <w:rPr>
          <w:shd w:val="clear" w:color="auto" w:fill="FFFFFF"/>
        </w:rPr>
        <w:t xml:space="preserve"> </w:t>
      </w:r>
    </w:p>
    <w:p w14:paraId="2B9A2A9B" w14:textId="77777777" w:rsidR="005C2F04" w:rsidRDefault="00072C48">
      <w:pPr>
        <w:jc w:val="center"/>
      </w:pPr>
      <w:r>
        <w:rPr>
          <w:rFonts w:eastAsia="Times New Roman" w:cs="Times New Roman"/>
        </w:rPr>
        <w:t>Wales plc</w:t>
      </w:r>
    </w:p>
    <w:p w14:paraId="54614A3C" w14:textId="77777777" w:rsidR="005C2F04" w:rsidRDefault="00072C48">
      <w:pPr>
        <w:jc w:val="center"/>
        <w:rPr>
          <w:rFonts w:eastAsia="Times New Roman" w:cs="Times New Roman"/>
        </w:rPr>
      </w:pPr>
      <w:r>
        <w:rPr>
          <w:rFonts w:eastAsia="Times New Roman" w:cs="Times New Roman"/>
        </w:rPr>
        <w:t>Income statement</w:t>
      </w:r>
    </w:p>
    <w:p w14:paraId="3369C3AD" w14:textId="77777777" w:rsidR="005C2F04" w:rsidRDefault="00072C48">
      <w:pPr>
        <w:jc w:val="center"/>
        <w:rPr>
          <w:rFonts w:eastAsia="Times New Roman" w:cs="Times New Roman"/>
        </w:rPr>
      </w:pPr>
      <w:r>
        <w:rPr>
          <w:rFonts w:eastAsia="Times New Roman" w:cs="Times New Roman"/>
        </w:rPr>
        <w:t xml:space="preserve"> For the year ended 31</w:t>
      </w:r>
      <w:r>
        <w:rPr>
          <w:rFonts w:eastAsia="Times New Roman" w:cs="Times New Roman"/>
          <w:vertAlign w:val="superscript"/>
        </w:rPr>
        <w:t>st</w:t>
      </w:r>
      <w:r>
        <w:rPr>
          <w:rFonts w:eastAsia="Times New Roman" w:cs="Times New Roman"/>
        </w:rPr>
        <w:t xml:space="preserve"> December 2021</w:t>
      </w:r>
    </w:p>
    <w:tbl>
      <w:tblPr>
        <w:tblW w:w="9436" w:type="dxa"/>
        <w:tblInd w:w="113" w:type="dxa"/>
        <w:tblLook w:val="04A0" w:firstRow="1" w:lastRow="0" w:firstColumn="1" w:lastColumn="0" w:noHBand="0" w:noVBand="1"/>
      </w:tblPr>
      <w:tblGrid>
        <w:gridCol w:w="5240"/>
        <w:gridCol w:w="1363"/>
        <w:gridCol w:w="1427"/>
        <w:gridCol w:w="1406"/>
      </w:tblGrid>
      <w:tr w:rsidR="005C2F04" w14:paraId="7E27F442" w14:textId="77777777">
        <w:trPr>
          <w:trHeight w:val="348"/>
        </w:trPr>
        <w:tc>
          <w:tcPr>
            <w:tcW w:w="5240" w:type="dxa"/>
            <w:tcBorders>
              <w:top w:val="single" w:sz="4" w:space="0" w:color="auto"/>
              <w:left w:val="single" w:sz="4" w:space="0" w:color="auto"/>
              <w:bottom w:val="single" w:sz="4" w:space="0" w:color="auto"/>
              <w:right w:val="single" w:sz="4" w:space="0" w:color="auto"/>
            </w:tcBorders>
            <w:shd w:val="clear" w:color="auto" w:fill="C5E0B3"/>
            <w:noWrap/>
            <w:vAlign w:val="bottom"/>
            <w:hideMark/>
          </w:tcPr>
          <w:p w14:paraId="7B84A28E" w14:textId="77777777" w:rsidR="005C2F04" w:rsidRDefault="00072C48">
            <w:pPr>
              <w:spacing w:after="0" w:line="240" w:lineRule="auto"/>
              <w:jc w:val="center"/>
              <w:rPr>
                <w:rFonts w:eastAsia="Times New Roman" w:cs="Times New Roman"/>
                <w:b/>
                <w:bCs/>
                <w:szCs w:val="24"/>
              </w:rPr>
            </w:pPr>
            <w:r>
              <w:rPr>
                <w:rFonts w:eastAsia="Times New Roman" w:cs="Times New Roman"/>
                <w:b/>
                <w:bCs/>
                <w:szCs w:val="24"/>
              </w:rPr>
              <w:t>Particulars</w:t>
            </w:r>
          </w:p>
        </w:tc>
        <w:tc>
          <w:tcPr>
            <w:tcW w:w="1363" w:type="dxa"/>
            <w:tcBorders>
              <w:top w:val="single" w:sz="4" w:space="0" w:color="auto"/>
              <w:left w:val="nil"/>
              <w:bottom w:val="single" w:sz="4" w:space="0" w:color="auto"/>
              <w:right w:val="single" w:sz="4" w:space="0" w:color="auto"/>
            </w:tcBorders>
            <w:shd w:val="clear" w:color="auto" w:fill="C5E0B3"/>
            <w:noWrap/>
            <w:vAlign w:val="bottom"/>
            <w:hideMark/>
          </w:tcPr>
          <w:p w14:paraId="2A5D1234" w14:textId="77777777" w:rsidR="005C2F04" w:rsidRDefault="00072C48">
            <w:pPr>
              <w:spacing w:after="0" w:line="240" w:lineRule="auto"/>
              <w:jc w:val="center"/>
              <w:rPr>
                <w:rFonts w:eastAsia="Times New Roman" w:cs="Times New Roman"/>
                <w:b/>
                <w:bCs/>
                <w:szCs w:val="24"/>
              </w:rPr>
            </w:pPr>
            <w:r>
              <w:rPr>
                <w:rFonts w:eastAsia="Times New Roman" w:cs="Times New Roman"/>
                <w:b/>
                <w:bCs/>
                <w:szCs w:val="24"/>
              </w:rPr>
              <w:t>£</w:t>
            </w:r>
          </w:p>
        </w:tc>
        <w:tc>
          <w:tcPr>
            <w:tcW w:w="1427" w:type="dxa"/>
            <w:tcBorders>
              <w:top w:val="single" w:sz="4" w:space="0" w:color="auto"/>
              <w:left w:val="nil"/>
              <w:bottom w:val="single" w:sz="4" w:space="0" w:color="auto"/>
              <w:right w:val="single" w:sz="4" w:space="0" w:color="auto"/>
            </w:tcBorders>
            <w:shd w:val="clear" w:color="auto" w:fill="C5E0B3"/>
            <w:noWrap/>
            <w:vAlign w:val="bottom"/>
            <w:hideMark/>
          </w:tcPr>
          <w:p w14:paraId="4F902F07" w14:textId="77777777" w:rsidR="005C2F04" w:rsidRDefault="00072C48">
            <w:pPr>
              <w:spacing w:after="0" w:line="240" w:lineRule="auto"/>
              <w:jc w:val="center"/>
              <w:rPr>
                <w:rFonts w:eastAsia="Times New Roman" w:cs="Times New Roman"/>
                <w:b/>
                <w:bCs/>
                <w:szCs w:val="24"/>
              </w:rPr>
            </w:pPr>
            <w:r>
              <w:rPr>
                <w:rFonts w:eastAsia="Times New Roman" w:cs="Times New Roman"/>
                <w:b/>
                <w:bCs/>
                <w:szCs w:val="24"/>
              </w:rPr>
              <w:t>£</w:t>
            </w:r>
          </w:p>
        </w:tc>
        <w:tc>
          <w:tcPr>
            <w:tcW w:w="1406" w:type="dxa"/>
            <w:tcBorders>
              <w:top w:val="single" w:sz="4" w:space="0" w:color="auto"/>
              <w:left w:val="nil"/>
              <w:bottom w:val="single" w:sz="4" w:space="0" w:color="auto"/>
              <w:right w:val="single" w:sz="4" w:space="0" w:color="auto"/>
            </w:tcBorders>
            <w:shd w:val="clear" w:color="auto" w:fill="C5E0B3"/>
            <w:noWrap/>
            <w:vAlign w:val="bottom"/>
            <w:hideMark/>
          </w:tcPr>
          <w:p w14:paraId="69690D16" w14:textId="77777777" w:rsidR="005C2F04" w:rsidRDefault="00072C48">
            <w:pPr>
              <w:spacing w:after="0" w:line="240" w:lineRule="auto"/>
              <w:jc w:val="center"/>
              <w:rPr>
                <w:rFonts w:eastAsia="Times New Roman" w:cs="Times New Roman"/>
                <w:b/>
                <w:bCs/>
                <w:szCs w:val="24"/>
              </w:rPr>
            </w:pPr>
            <w:r>
              <w:rPr>
                <w:rFonts w:eastAsia="Times New Roman" w:cs="Times New Roman"/>
                <w:b/>
                <w:bCs/>
                <w:szCs w:val="24"/>
              </w:rPr>
              <w:t>£</w:t>
            </w:r>
          </w:p>
        </w:tc>
      </w:tr>
      <w:tr w:rsidR="005C2F04" w14:paraId="5BF42B2E"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5DD27E10" w14:textId="77777777" w:rsidR="005C2F04" w:rsidRDefault="00072C48">
            <w:pPr>
              <w:spacing w:after="0" w:line="240" w:lineRule="auto"/>
              <w:jc w:val="left"/>
              <w:rPr>
                <w:rFonts w:eastAsia="Times New Roman" w:cs="Times New Roman"/>
                <w:szCs w:val="24"/>
              </w:rPr>
            </w:pPr>
            <w:r>
              <w:rPr>
                <w:rFonts w:eastAsia="Times New Roman" w:cs="Times New Roman"/>
                <w:szCs w:val="24"/>
              </w:rPr>
              <w:t>Sales</w:t>
            </w:r>
          </w:p>
        </w:tc>
        <w:tc>
          <w:tcPr>
            <w:tcW w:w="1363" w:type="dxa"/>
            <w:tcBorders>
              <w:top w:val="nil"/>
              <w:left w:val="nil"/>
              <w:bottom w:val="single" w:sz="4" w:space="0" w:color="auto"/>
              <w:right w:val="single" w:sz="4" w:space="0" w:color="auto"/>
            </w:tcBorders>
            <w:shd w:val="clear" w:color="auto" w:fill="auto"/>
            <w:noWrap/>
            <w:vAlign w:val="bottom"/>
            <w:hideMark/>
          </w:tcPr>
          <w:p w14:paraId="6F3B0FD7"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47DB97C0" w14:textId="77777777" w:rsidR="005C2F04" w:rsidRDefault="00072C48">
            <w:pPr>
              <w:spacing w:after="0" w:line="240" w:lineRule="auto"/>
              <w:jc w:val="right"/>
              <w:rPr>
                <w:rFonts w:eastAsia="Times New Roman" w:cs="Times New Roman"/>
                <w:szCs w:val="24"/>
              </w:rPr>
            </w:pPr>
            <w:r>
              <w:rPr>
                <w:rFonts w:eastAsia="Times New Roman" w:cs="Times New Roman"/>
                <w:szCs w:val="24"/>
              </w:rPr>
              <w:t>800,000</w:t>
            </w:r>
          </w:p>
        </w:tc>
        <w:tc>
          <w:tcPr>
            <w:tcW w:w="1406" w:type="dxa"/>
            <w:tcBorders>
              <w:top w:val="nil"/>
              <w:left w:val="nil"/>
              <w:bottom w:val="single" w:sz="4" w:space="0" w:color="auto"/>
              <w:right w:val="single" w:sz="4" w:space="0" w:color="auto"/>
            </w:tcBorders>
            <w:shd w:val="clear" w:color="auto" w:fill="auto"/>
            <w:noWrap/>
            <w:vAlign w:val="bottom"/>
            <w:hideMark/>
          </w:tcPr>
          <w:p w14:paraId="4E598946"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4680CF6A"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41295B01" w14:textId="77777777" w:rsidR="005C2F04" w:rsidRDefault="00072C48">
            <w:pPr>
              <w:spacing w:after="0" w:line="240" w:lineRule="auto"/>
              <w:jc w:val="left"/>
              <w:rPr>
                <w:rFonts w:eastAsia="Times New Roman" w:cs="Times New Roman"/>
                <w:szCs w:val="24"/>
              </w:rPr>
            </w:pPr>
            <w:r>
              <w:rPr>
                <w:rFonts w:eastAsia="Times New Roman" w:cs="Times New Roman"/>
                <w:szCs w:val="24"/>
              </w:rPr>
              <w:t>Add: new sales</w:t>
            </w:r>
          </w:p>
        </w:tc>
        <w:tc>
          <w:tcPr>
            <w:tcW w:w="1363" w:type="dxa"/>
            <w:tcBorders>
              <w:top w:val="nil"/>
              <w:left w:val="nil"/>
              <w:bottom w:val="single" w:sz="4" w:space="0" w:color="auto"/>
              <w:right w:val="single" w:sz="4" w:space="0" w:color="auto"/>
            </w:tcBorders>
            <w:shd w:val="clear" w:color="auto" w:fill="auto"/>
            <w:noWrap/>
            <w:vAlign w:val="bottom"/>
            <w:hideMark/>
          </w:tcPr>
          <w:p w14:paraId="6A95004A"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7139094C" w14:textId="77777777" w:rsidR="005C2F04" w:rsidRDefault="00072C48">
            <w:pPr>
              <w:spacing w:after="0" w:line="240" w:lineRule="auto"/>
              <w:jc w:val="right"/>
              <w:rPr>
                <w:rFonts w:eastAsia="Times New Roman" w:cs="Times New Roman"/>
                <w:szCs w:val="24"/>
              </w:rPr>
            </w:pPr>
            <w:r>
              <w:rPr>
                <w:rFonts w:eastAsia="Times New Roman" w:cs="Times New Roman"/>
                <w:szCs w:val="24"/>
              </w:rPr>
              <w:t>980</w:t>
            </w:r>
          </w:p>
        </w:tc>
        <w:tc>
          <w:tcPr>
            <w:tcW w:w="1406" w:type="dxa"/>
            <w:tcBorders>
              <w:top w:val="nil"/>
              <w:left w:val="nil"/>
              <w:bottom w:val="single" w:sz="4" w:space="0" w:color="auto"/>
              <w:right w:val="single" w:sz="4" w:space="0" w:color="auto"/>
            </w:tcBorders>
            <w:shd w:val="clear" w:color="auto" w:fill="auto"/>
            <w:noWrap/>
            <w:vAlign w:val="bottom"/>
            <w:hideMark/>
          </w:tcPr>
          <w:p w14:paraId="34269076"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7047182B"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56A1F976" w14:textId="77777777" w:rsidR="005C2F04" w:rsidRDefault="00072C48">
            <w:pPr>
              <w:spacing w:after="0" w:line="240" w:lineRule="auto"/>
              <w:jc w:val="right"/>
              <w:rPr>
                <w:rFonts w:eastAsia="Times New Roman" w:cs="Times New Roman"/>
                <w:b/>
                <w:bCs/>
                <w:szCs w:val="24"/>
              </w:rPr>
            </w:pPr>
            <w:r>
              <w:rPr>
                <w:rFonts w:eastAsia="Times New Roman" w:cs="Times New Roman"/>
                <w:b/>
                <w:bCs/>
                <w:szCs w:val="24"/>
              </w:rPr>
              <w:t>Total sales</w:t>
            </w:r>
          </w:p>
        </w:tc>
        <w:tc>
          <w:tcPr>
            <w:tcW w:w="1363" w:type="dxa"/>
            <w:tcBorders>
              <w:top w:val="nil"/>
              <w:left w:val="nil"/>
              <w:bottom w:val="single" w:sz="4" w:space="0" w:color="auto"/>
              <w:right w:val="single" w:sz="4" w:space="0" w:color="auto"/>
            </w:tcBorders>
            <w:shd w:val="clear" w:color="auto" w:fill="auto"/>
            <w:noWrap/>
            <w:vAlign w:val="bottom"/>
            <w:hideMark/>
          </w:tcPr>
          <w:p w14:paraId="1EEC098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603705FE"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39EDBBB6" w14:textId="77777777" w:rsidR="005C2F04" w:rsidRDefault="00072C48">
            <w:pPr>
              <w:spacing w:after="0" w:line="240" w:lineRule="auto"/>
              <w:jc w:val="right"/>
              <w:rPr>
                <w:rFonts w:eastAsia="Times New Roman" w:cs="Times New Roman"/>
                <w:szCs w:val="24"/>
              </w:rPr>
            </w:pPr>
            <w:r>
              <w:rPr>
                <w:rFonts w:eastAsia="Times New Roman" w:cs="Times New Roman"/>
                <w:szCs w:val="24"/>
              </w:rPr>
              <w:t>800,980</w:t>
            </w:r>
          </w:p>
        </w:tc>
      </w:tr>
      <w:tr w:rsidR="005C2F04" w14:paraId="185B9969"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72772EC4" w14:textId="77777777" w:rsidR="005C2F04" w:rsidRDefault="00072C48">
            <w:pPr>
              <w:spacing w:after="0" w:line="240" w:lineRule="auto"/>
              <w:jc w:val="left"/>
              <w:rPr>
                <w:rFonts w:eastAsia="Times New Roman" w:cs="Times New Roman"/>
                <w:szCs w:val="24"/>
              </w:rPr>
            </w:pPr>
            <w:r>
              <w:rPr>
                <w:rFonts w:eastAsia="Times New Roman" w:cs="Times New Roman"/>
                <w:szCs w:val="24"/>
              </w:rPr>
              <w:t>Less: Cost of sales</w:t>
            </w:r>
          </w:p>
        </w:tc>
        <w:tc>
          <w:tcPr>
            <w:tcW w:w="1363" w:type="dxa"/>
            <w:tcBorders>
              <w:top w:val="nil"/>
              <w:left w:val="nil"/>
              <w:bottom w:val="single" w:sz="4" w:space="0" w:color="auto"/>
              <w:right w:val="single" w:sz="4" w:space="0" w:color="auto"/>
            </w:tcBorders>
            <w:shd w:val="clear" w:color="auto" w:fill="auto"/>
            <w:noWrap/>
            <w:vAlign w:val="bottom"/>
            <w:hideMark/>
          </w:tcPr>
          <w:p w14:paraId="614A0CDD"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70DC5745" w14:textId="77777777" w:rsidR="005C2F04" w:rsidRDefault="00072C48">
            <w:pPr>
              <w:spacing w:after="0" w:line="240" w:lineRule="auto"/>
              <w:jc w:val="right"/>
              <w:rPr>
                <w:rFonts w:eastAsia="Times New Roman" w:cs="Times New Roman"/>
                <w:szCs w:val="24"/>
              </w:rPr>
            </w:pPr>
            <w:r>
              <w:rPr>
                <w:rFonts w:eastAsia="Times New Roman" w:cs="Times New Roman"/>
                <w:szCs w:val="24"/>
              </w:rPr>
              <w:t>578,650</w:t>
            </w:r>
          </w:p>
        </w:tc>
        <w:tc>
          <w:tcPr>
            <w:tcW w:w="1406" w:type="dxa"/>
            <w:tcBorders>
              <w:top w:val="nil"/>
              <w:left w:val="nil"/>
              <w:bottom w:val="single" w:sz="4" w:space="0" w:color="auto"/>
              <w:right w:val="single" w:sz="4" w:space="0" w:color="auto"/>
            </w:tcBorders>
            <w:shd w:val="clear" w:color="auto" w:fill="auto"/>
            <w:noWrap/>
            <w:vAlign w:val="bottom"/>
            <w:hideMark/>
          </w:tcPr>
          <w:p w14:paraId="500CDBDD"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1A8B52CE"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0D1908BF"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63" w:type="dxa"/>
            <w:tcBorders>
              <w:top w:val="nil"/>
              <w:left w:val="nil"/>
              <w:bottom w:val="single" w:sz="4" w:space="0" w:color="auto"/>
              <w:right w:val="single" w:sz="4" w:space="0" w:color="auto"/>
            </w:tcBorders>
            <w:shd w:val="clear" w:color="auto" w:fill="auto"/>
            <w:noWrap/>
            <w:vAlign w:val="bottom"/>
            <w:hideMark/>
          </w:tcPr>
          <w:p w14:paraId="14713253"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55A450B3"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1BB8C5DC" w14:textId="77777777" w:rsidR="005C2F04" w:rsidRDefault="00072C48">
            <w:pPr>
              <w:spacing w:after="0" w:line="240" w:lineRule="auto"/>
              <w:jc w:val="right"/>
              <w:rPr>
                <w:rFonts w:eastAsia="Times New Roman" w:cs="Times New Roman"/>
                <w:szCs w:val="24"/>
              </w:rPr>
            </w:pPr>
            <w:r>
              <w:rPr>
                <w:rFonts w:eastAsia="Times New Roman" w:cs="Times New Roman"/>
                <w:szCs w:val="24"/>
              </w:rPr>
              <w:t>578,650</w:t>
            </w:r>
          </w:p>
        </w:tc>
      </w:tr>
      <w:tr w:rsidR="005C2F04" w14:paraId="3361EC76"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6DF4600E" w14:textId="77777777" w:rsidR="005C2F04" w:rsidRDefault="00072C48">
            <w:pPr>
              <w:spacing w:after="0" w:line="240" w:lineRule="auto"/>
              <w:jc w:val="right"/>
              <w:rPr>
                <w:rFonts w:eastAsia="Times New Roman" w:cs="Times New Roman"/>
                <w:b/>
                <w:bCs/>
                <w:szCs w:val="24"/>
              </w:rPr>
            </w:pPr>
            <w:r>
              <w:rPr>
                <w:rFonts w:eastAsia="Times New Roman" w:cs="Times New Roman"/>
                <w:b/>
                <w:bCs/>
                <w:szCs w:val="24"/>
              </w:rPr>
              <w:t>Gross Profit</w:t>
            </w:r>
          </w:p>
        </w:tc>
        <w:tc>
          <w:tcPr>
            <w:tcW w:w="1363" w:type="dxa"/>
            <w:tcBorders>
              <w:top w:val="nil"/>
              <w:left w:val="nil"/>
              <w:bottom w:val="single" w:sz="4" w:space="0" w:color="auto"/>
              <w:right w:val="single" w:sz="4" w:space="0" w:color="auto"/>
            </w:tcBorders>
            <w:shd w:val="clear" w:color="auto" w:fill="auto"/>
            <w:noWrap/>
            <w:vAlign w:val="bottom"/>
            <w:hideMark/>
          </w:tcPr>
          <w:p w14:paraId="5315F444"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0C48C639"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5EE9334D" w14:textId="77777777" w:rsidR="005C2F04" w:rsidRDefault="00072C48">
            <w:pPr>
              <w:spacing w:after="0" w:line="240" w:lineRule="auto"/>
              <w:jc w:val="right"/>
              <w:rPr>
                <w:rFonts w:eastAsia="Times New Roman" w:cs="Times New Roman"/>
                <w:b/>
                <w:bCs/>
                <w:szCs w:val="24"/>
              </w:rPr>
            </w:pPr>
            <w:r>
              <w:rPr>
                <w:rFonts w:eastAsia="Times New Roman" w:cs="Times New Roman"/>
                <w:b/>
                <w:bCs/>
                <w:szCs w:val="24"/>
              </w:rPr>
              <w:t>222,330</w:t>
            </w:r>
          </w:p>
        </w:tc>
      </w:tr>
      <w:tr w:rsidR="005C2F04" w14:paraId="799CD781"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4EB93C63" w14:textId="77777777" w:rsidR="005C2F04" w:rsidRDefault="00072C48">
            <w:pPr>
              <w:spacing w:after="0" w:line="240" w:lineRule="auto"/>
              <w:jc w:val="left"/>
              <w:rPr>
                <w:rFonts w:eastAsia="Times New Roman" w:cs="Times New Roman"/>
                <w:b/>
                <w:bCs/>
                <w:szCs w:val="24"/>
              </w:rPr>
            </w:pPr>
            <w:r>
              <w:rPr>
                <w:rFonts w:eastAsia="Times New Roman" w:cs="Times New Roman"/>
                <w:b/>
                <w:bCs/>
                <w:szCs w:val="24"/>
              </w:rPr>
              <w:t>Less: Operating expenses</w:t>
            </w:r>
          </w:p>
        </w:tc>
        <w:tc>
          <w:tcPr>
            <w:tcW w:w="1363" w:type="dxa"/>
            <w:tcBorders>
              <w:top w:val="nil"/>
              <w:left w:val="nil"/>
              <w:bottom w:val="single" w:sz="4" w:space="0" w:color="auto"/>
              <w:right w:val="single" w:sz="4" w:space="0" w:color="auto"/>
            </w:tcBorders>
            <w:shd w:val="clear" w:color="auto" w:fill="auto"/>
            <w:noWrap/>
            <w:vAlign w:val="bottom"/>
            <w:hideMark/>
          </w:tcPr>
          <w:p w14:paraId="334E93C8"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6888361F"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4C9134A1"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5EEBC03A"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110479F6"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Administrative expenses </w:t>
            </w:r>
          </w:p>
        </w:tc>
        <w:tc>
          <w:tcPr>
            <w:tcW w:w="1363" w:type="dxa"/>
            <w:tcBorders>
              <w:top w:val="nil"/>
              <w:left w:val="nil"/>
              <w:bottom w:val="single" w:sz="4" w:space="0" w:color="auto"/>
              <w:right w:val="single" w:sz="4" w:space="0" w:color="auto"/>
            </w:tcBorders>
            <w:shd w:val="clear" w:color="auto" w:fill="auto"/>
            <w:noWrap/>
            <w:vAlign w:val="bottom"/>
            <w:hideMark/>
          </w:tcPr>
          <w:p w14:paraId="73C77CD9"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470D90A9" w14:textId="77777777" w:rsidR="005C2F04" w:rsidRDefault="00072C48">
            <w:pPr>
              <w:spacing w:after="0" w:line="240" w:lineRule="auto"/>
              <w:jc w:val="right"/>
              <w:rPr>
                <w:rFonts w:eastAsia="Times New Roman" w:cs="Times New Roman"/>
                <w:szCs w:val="24"/>
              </w:rPr>
            </w:pPr>
            <w:r>
              <w:rPr>
                <w:rFonts w:eastAsia="Times New Roman" w:cs="Times New Roman"/>
                <w:szCs w:val="24"/>
              </w:rPr>
              <w:t>30,000</w:t>
            </w:r>
          </w:p>
        </w:tc>
        <w:tc>
          <w:tcPr>
            <w:tcW w:w="1406" w:type="dxa"/>
            <w:tcBorders>
              <w:top w:val="nil"/>
              <w:left w:val="nil"/>
              <w:bottom w:val="single" w:sz="4" w:space="0" w:color="auto"/>
              <w:right w:val="single" w:sz="4" w:space="0" w:color="auto"/>
            </w:tcBorders>
            <w:shd w:val="clear" w:color="auto" w:fill="auto"/>
            <w:noWrap/>
            <w:vAlign w:val="bottom"/>
            <w:hideMark/>
          </w:tcPr>
          <w:p w14:paraId="6E7378B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5F6E8885"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153A5BB2"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Directors’ remuneration </w:t>
            </w:r>
          </w:p>
        </w:tc>
        <w:tc>
          <w:tcPr>
            <w:tcW w:w="1363" w:type="dxa"/>
            <w:tcBorders>
              <w:top w:val="nil"/>
              <w:left w:val="nil"/>
              <w:bottom w:val="single" w:sz="4" w:space="0" w:color="auto"/>
              <w:right w:val="single" w:sz="4" w:space="0" w:color="auto"/>
            </w:tcBorders>
            <w:shd w:val="clear" w:color="auto" w:fill="auto"/>
            <w:noWrap/>
            <w:vAlign w:val="bottom"/>
            <w:hideMark/>
          </w:tcPr>
          <w:p w14:paraId="7ADC8158"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785B0A52" w14:textId="77777777" w:rsidR="005C2F04" w:rsidRDefault="00072C48">
            <w:pPr>
              <w:spacing w:after="0" w:line="240" w:lineRule="auto"/>
              <w:jc w:val="right"/>
              <w:rPr>
                <w:rFonts w:eastAsia="Times New Roman" w:cs="Times New Roman"/>
                <w:szCs w:val="24"/>
              </w:rPr>
            </w:pPr>
            <w:r>
              <w:rPr>
                <w:rFonts w:eastAsia="Times New Roman" w:cs="Times New Roman"/>
                <w:szCs w:val="24"/>
              </w:rPr>
              <w:t>5000</w:t>
            </w:r>
          </w:p>
        </w:tc>
        <w:tc>
          <w:tcPr>
            <w:tcW w:w="1406" w:type="dxa"/>
            <w:tcBorders>
              <w:top w:val="nil"/>
              <w:left w:val="nil"/>
              <w:bottom w:val="single" w:sz="4" w:space="0" w:color="auto"/>
              <w:right w:val="single" w:sz="4" w:space="0" w:color="auto"/>
            </w:tcBorders>
            <w:shd w:val="clear" w:color="auto" w:fill="auto"/>
            <w:noWrap/>
            <w:vAlign w:val="bottom"/>
            <w:hideMark/>
          </w:tcPr>
          <w:p w14:paraId="57A7E7A5"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13A02E00"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2E783F84"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Distribution costs </w:t>
            </w:r>
          </w:p>
        </w:tc>
        <w:tc>
          <w:tcPr>
            <w:tcW w:w="1363" w:type="dxa"/>
            <w:tcBorders>
              <w:top w:val="nil"/>
              <w:left w:val="nil"/>
              <w:bottom w:val="single" w:sz="4" w:space="0" w:color="auto"/>
              <w:right w:val="single" w:sz="4" w:space="0" w:color="auto"/>
            </w:tcBorders>
            <w:shd w:val="clear" w:color="auto" w:fill="auto"/>
            <w:noWrap/>
            <w:vAlign w:val="bottom"/>
            <w:hideMark/>
          </w:tcPr>
          <w:p w14:paraId="562985B1"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11FAAFDF" w14:textId="77777777" w:rsidR="005C2F04" w:rsidRDefault="00072C48">
            <w:pPr>
              <w:spacing w:after="0" w:line="240" w:lineRule="auto"/>
              <w:jc w:val="right"/>
              <w:rPr>
                <w:rFonts w:eastAsia="Times New Roman" w:cs="Times New Roman"/>
                <w:szCs w:val="24"/>
              </w:rPr>
            </w:pPr>
            <w:r>
              <w:rPr>
                <w:rFonts w:eastAsia="Times New Roman" w:cs="Times New Roman"/>
                <w:szCs w:val="24"/>
              </w:rPr>
              <w:t>28000</w:t>
            </w:r>
          </w:p>
        </w:tc>
        <w:tc>
          <w:tcPr>
            <w:tcW w:w="1406" w:type="dxa"/>
            <w:tcBorders>
              <w:top w:val="nil"/>
              <w:left w:val="nil"/>
              <w:bottom w:val="single" w:sz="4" w:space="0" w:color="auto"/>
              <w:right w:val="single" w:sz="4" w:space="0" w:color="auto"/>
            </w:tcBorders>
            <w:shd w:val="clear" w:color="auto" w:fill="auto"/>
            <w:noWrap/>
            <w:vAlign w:val="bottom"/>
            <w:hideMark/>
          </w:tcPr>
          <w:p w14:paraId="5939A5F3"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0D92CDF7"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03117DDC"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Salesmen commission </w:t>
            </w:r>
          </w:p>
        </w:tc>
        <w:tc>
          <w:tcPr>
            <w:tcW w:w="1363" w:type="dxa"/>
            <w:tcBorders>
              <w:top w:val="nil"/>
              <w:left w:val="nil"/>
              <w:bottom w:val="single" w:sz="4" w:space="0" w:color="auto"/>
              <w:right w:val="single" w:sz="4" w:space="0" w:color="auto"/>
            </w:tcBorders>
            <w:shd w:val="clear" w:color="auto" w:fill="auto"/>
            <w:noWrap/>
            <w:vAlign w:val="bottom"/>
            <w:hideMark/>
          </w:tcPr>
          <w:p w14:paraId="51161BD1"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5835F1ED" w14:textId="77777777" w:rsidR="005C2F04" w:rsidRDefault="00072C48">
            <w:pPr>
              <w:spacing w:after="0" w:line="240" w:lineRule="auto"/>
              <w:jc w:val="right"/>
              <w:rPr>
                <w:rFonts w:eastAsia="Times New Roman" w:cs="Times New Roman"/>
                <w:szCs w:val="24"/>
              </w:rPr>
            </w:pPr>
            <w:r>
              <w:rPr>
                <w:rFonts w:eastAsia="Times New Roman" w:cs="Times New Roman"/>
                <w:szCs w:val="24"/>
              </w:rPr>
              <w:t>3000</w:t>
            </w:r>
          </w:p>
        </w:tc>
        <w:tc>
          <w:tcPr>
            <w:tcW w:w="1406" w:type="dxa"/>
            <w:tcBorders>
              <w:top w:val="nil"/>
              <w:left w:val="nil"/>
              <w:bottom w:val="single" w:sz="4" w:space="0" w:color="auto"/>
              <w:right w:val="single" w:sz="4" w:space="0" w:color="auto"/>
            </w:tcBorders>
            <w:shd w:val="clear" w:color="auto" w:fill="auto"/>
            <w:noWrap/>
            <w:vAlign w:val="bottom"/>
            <w:hideMark/>
          </w:tcPr>
          <w:p w14:paraId="288EE924"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0568F621"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53F445EF"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63" w:type="dxa"/>
            <w:tcBorders>
              <w:top w:val="nil"/>
              <w:left w:val="nil"/>
              <w:bottom w:val="single" w:sz="4" w:space="0" w:color="auto"/>
              <w:right w:val="single" w:sz="4" w:space="0" w:color="auto"/>
            </w:tcBorders>
            <w:shd w:val="clear" w:color="auto" w:fill="auto"/>
            <w:noWrap/>
            <w:vAlign w:val="bottom"/>
            <w:hideMark/>
          </w:tcPr>
          <w:p w14:paraId="5D2BCD6B"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74747BC7"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33BD6F70" w14:textId="77777777" w:rsidR="005C2F04" w:rsidRDefault="00072C48">
            <w:pPr>
              <w:spacing w:after="0" w:line="240" w:lineRule="auto"/>
              <w:jc w:val="right"/>
              <w:rPr>
                <w:rFonts w:eastAsia="Times New Roman" w:cs="Times New Roman"/>
                <w:szCs w:val="24"/>
              </w:rPr>
            </w:pPr>
            <w:r>
              <w:rPr>
                <w:rFonts w:eastAsia="Times New Roman" w:cs="Times New Roman"/>
                <w:szCs w:val="24"/>
              </w:rPr>
              <w:t>66,000</w:t>
            </w:r>
          </w:p>
        </w:tc>
      </w:tr>
      <w:tr w:rsidR="005C2F04" w14:paraId="5FCA7E3C"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26B70CAF" w14:textId="77777777" w:rsidR="005C2F04" w:rsidRDefault="00072C48">
            <w:pPr>
              <w:spacing w:after="0" w:line="240" w:lineRule="auto"/>
              <w:jc w:val="right"/>
              <w:rPr>
                <w:rFonts w:eastAsia="Times New Roman" w:cs="Times New Roman"/>
                <w:b/>
                <w:bCs/>
                <w:szCs w:val="24"/>
              </w:rPr>
            </w:pPr>
            <w:r>
              <w:rPr>
                <w:rFonts w:eastAsia="Times New Roman" w:cs="Times New Roman"/>
                <w:b/>
                <w:bCs/>
                <w:szCs w:val="24"/>
              </w:rPr>
              <w:t>Operating income</w:t>
            </w:r>
          </w:p>
        </w:tc>
        <w:tc>
          <w:tcPr>
            <w:tcW w:w="1363" w:type="dxa"/>
            <w:tcBorders>
              <w:top w:val="nil"/>
              <w:left w:val="nil"/>
              <w:bottom w:val="single" w:sz="4" w:space="0" w:color="auto"/>
              <w:right w:val="single" w:sz="4" w:space="0" w:color="auto"/>
            </w:tcBorders>
            <w:shd w:val="clear" w:color="auto" w:fill="auto"/>
            <w:noWrap/>
            <w:vAlign w:val="bottom"/>
            <w:hideMark/>
          </w:tcPr>
          <w:p w14:paraId="576E4DFE"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3DB300D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1734CDDE" w14:textId="77777777" w:rsidR="005C2F04" w:rsidRDefault="00072C48">
            <w:pPr>
              <w:spacing w:after="0" w:line="240" w:lineRule="auto"/>
              <w:jc w:val="right"/>
              <w:rPr>
                <w:rFonts w:eastAsia="Times New Roman" w:cs="Times New Roman"/>
                <w:b/>
                <w:bCs/>
                <w:szCs w:val="24"/>
              </w:rPr>
            </w:pPr>
            <w:r>
              <w:rPr>
                <w:rFonts w:eastAsia="Times New Roman" w:cs="Times New Roman"/>
                <w:b/>
                <w:bCs/>
                <w:szCs w:val="24"/>
              </w:rPr>
              <w:t>156,330</w:t>
            </w:r>
          </w:p>
        </w:tc>
      </w:tr>
      <w:tr w:rsidR="005C2F04" w14:paraId="3881EC42"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7659B3A9" w14:textId="77777777" w:rsidR="005C2F04" w:rsidRDefault="00072C48">
            <w:pPr>
              <w:spacing w:after="0" w:line="240" w:lineRule="auto"/>
              <w:jc w:val="left"/>
              <w:rPr>
                <w:rFonts w:eastAsia="Times New Roman" w:cs="Times New Roman"/>
                <w:b/>
                <w:bCs/>
                <w:szCs w:val="24"/>
              </w:rPr>
            </w:pPr>
            <w:r>
              <w:rPr>
                <w:rFonts w:eastAsia="Times New Roman" w:cs="Times New Roman"/>
                <w:b/>
                <w:bCs/>
                <w:szCs w:val="24"/>
              </w:rPr>
              <w:t>Other expenses</w:t>
            </w:r>
          </w:p>
        </w:tc>
        <w:tc>
          <w:tcPr>
            <w:tcW w:w="1363" w:type="dxa"/>
            <w:tcBorders>
              <w:top w:val="nil"/>
              <w:left w:val="nil"/>
              <w:bottom w:val="single" w:sz="4" w:space="0" w:color="auto"/>
              <w:right w:val="single" w:sz="4" w:space="0" w:color="auto"/>
            </w:tcBorders>
            <w:shd w:val="clear" w:color="auto" w:fill="auto"/>
            <w:noWrap/>
            <w:vAlign w:val="bottom"/>
            <w:hideMark/>
          </w:tcPr>
          <w:p w14:paraId="6A4E61DD"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5C0D44B5"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0411C367"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156D52EE"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6B516F66" w14:textId="77777777" w:rsidR="005C2F04" w:rsidRDefault="00072C48">
            <w:pPr>
              <w:spacing w:after="0" w:line="240" w:lineRule="auto"/>
              <w:jc w:val="left"/>
              <w:rPr>
                <w:rFonts w:eastAsia="Times New Roman" w:cs="Times New Roman"/>
                <w:szCs w:val="24"/>
              </w:rPr>
            </w:pPr>
            <w:r>
              <w:rPr>
                <w:rFonts w:eastAsia="Times New Roman" w:cs="Times New Roman"/>
                <w:szCs w:val="24"/>
              </w:rPr>
              <w:t>interest paid</w:t>
            </w:r>
          </w:p>
        </w:tc>
        <w:tc>
          <w:tcPr>
            <w:tcW w:w="1363" w:type="dxa"/>
            <w:tcBorders>
              <w:top w:val="nil"/>
              <w:left w:val="nil"/>
              <w:bottom w:val="single" w:sz="4" w:space="0" w:color="auto"/>
              <w:right w:val="single" w:sz="4" w:space="0" w:color="auto"/>
            </w:tcBorders>
            <w:shd w:val="clear" w:color="auto" w:fill="auto"/>
            <w:noWrap/>
            <w:vAlign w:val="bottom"/>
            <w:hideMark/>
          </w:tcPr>
          <w:p w14:paraId="2E2B8A93" w14:textId="77777777" w:rsidR="005C2F04" w:rsidRDefault="00072C48">
            <w:pPr>
              <w:spacing w:after="0" w:line="240" w:lineRule="auto"/>
              <w:jc w:val="right"/>
              <w:rPr>
                <w:rFonts w:eastAsia="Times New Roman" w:cs="Times New Roman"/>
                <w:szCs w:val="24"/>
              </w:rPr>
            </w:pPr>
            <w:r>
              <w:rPr>
                <w:rFonts w:eastAsia="Times New Roman" w:cs="Times New Roman"/>
                <w:szCs w:val="24"/>
              </w:rPr>
              <w:t>2000</w:t>
            </w:r>
          </w:p>
        </w:tc>
        <w:tc>
          <w:tcPr>
            <w:tcW w:w="1427" w:type="dxa"/>
            <w:tcBorders>
              <w:top w:val="nil"/>
              <w:left w:val="nil"/>
              <w:bottom w:val="single" w:sz="4" w:space="0" w:color="auto"/>
              <w:right w:val="single" w:sz="4" w:space="0" w:color="auto"/>
            </w:tcBorders>
            <w:shd w:val="clear" w:color="auto" w:fill="auto"/>
            <w:noWrap/>
            <w:vAlign w:val="bottom"/>
            <w:hideMark/>
          </w:tcPr>
          <w:p w14:paraId="5770003E"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7EC6385D"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704E65EF"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1E1333C7" w14:textId="77777777" w:rsidR="005C2F04" w:rsidRDefault="00072C48">
            <w:pPr>
              <w:spacing w:after="0" w:line="240" w:lineRule="auto"/>
              <w:jc w:val="left"/>
              <w:rPr>
                <w:rFonts w:eastAsia="Times New Roman" w:cs="Times New Roman"/>
                <w:szCs w:val="24"/>
              </w:rPr>
            </w:pPr>
            <w:r>
              <w:rPr>
                <w:rFonts w:eastAsia="Times New Roman" w:cs="Times New Roman"/>
                <w:szCs w:val="24"/>
              </w:rPr>
              <w:t>Add: accrued interest</w:t>
            </w:r>
          </w:p>
        </w:tc>
        <w:tc>
          <w:tcPr>
            <w:tcW w:w="1363" w:type="dxa"/>
            <w:tcBorders>
              <w:top w:val="nil"/>
              <w:left w:val="nil"/>
              <w:bottom w:val="single" w:sz="4" w:space="0" w:color="auto"/>
              <w:right w:val="single" w:sz="4" w:space="0" w:color="auto"/>
            </w:tcBorders>
            <w:shd w:val="clear" w:color="auto" w:fill="auto"/>
            <w:noWrap/>
            <w:vAlign w:val="bottom"/>
            <w:hideMark/>
          </w:tcPr>
          <w:p w14:paraId="61B61F6D" w14:textId="77777777" w:rsidR="005C2F04" w:rsidRDefault="00072C48">
            <w:pPr>
              <w:spacing w:after="0" w:line="240" w:lineRule="auto"/>
              <w:jc w:val="right"/>
              <w:rPr>
                <w:rFonts w:eastAsia="Times New Roman" w:cs="Times New Roman"/>
                <w:szCs w:val="24"/>
              </w:rPr>
            </w:pPr>
            <w:r>
              <w:rPr>
                <w:rFonts w:eastAsia="Times New Roman" w:cs="Times New Roman"/>
                <w:szCs w:val="24"/>
              </w:rPr>
              <w:t>2000</w:t>
            </w:r>
          </w:p>
        </w:tc>
        <w:tc>
          <w:tcPr>
            <w:tcW w:w="1427" w:type="dxa"/>
            <w:tcBorders>
              <w:top w:val="nil"/>
              <w:left w:val="nil"/>
              <w:bottom w:val="single" w:sz="4" w:space="0" w:color="auto"/>
              <w:right w:val="single" w:sz="4" w:space="0" w:color="auto"/>
            </w:tcBorders>
            <w:shd w:val="clear" w:color="auto" w:fill="auto"/>
            <w:noWrap/>
            <w:vAlign w:val="bottom"/>
            <w:hideMark/>
          </w:tcPr>
          <w:p w14:paraId="22E0730A"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17AA0354" w14:textId="77777777" w:rsidR="005C2F04" w:rsidRDefault="00072C48">
            <w:pPr>
              <w:spacing w:after="0" w:line="240" w:lineRule="auto"/>
              <w:jc w:val="right"/>
              <w:rPr>
                <w:rFonts w:eastAsia="Times New Roman" w:cs="Times New Roman"/>
                <w:szCs w:val="24"/>
              </w:rPr>
            </w:pPr>
            <w:r>
              <w:rPr>
                <w:rFonts w:eastAsia="Times New Roman" w:cs="Times New Roman"/>
                <w:szCs w:val="24"/>
              </w:rPr>
              <w:t>4000</w:t>
            </w:r>
          </w:p>
        </w:tc>
      </w:tr>
      <w:tr w:rsidR="005C2F04" w14:paraId="7A27880D"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0AA9796A" w14:textId="77777777" w:rsidR="005C2F04" w:rsidRDefault="00072C48">
            <w:pPr>
              <w:spacing w:after="0" w:line="240" w:lineRule="auto"/>
              <w:jc w:val="right"/>
              <w:rPr>
                <w:rFonts w:eastAsia="Times New Roman" w:cs="Times New Roman"/>
                <w:b/>
                <w:bCs/>
                <w:szCs w:val="24"/>
              </w:rPr>
            </w:pPr>
            <w:r>
              <w:rPr>
                <w:rFonts w:eastAsia="Times New Roman" w:cs="Times New Roman"/>
                <w:b/>
                <w:bCs/>
                <w:szCs w:val="24"/>
              </w:rPr>
              <w:t>Income before tax</w:t>
            </w:r>
          </w:p>
        </w:tc>
        <w:tc>
          <w:tcPr>
            <w:tcW w:w="1363" w:type="dxa"/>
            <w:tcBorders>
              <w:top w:val="nil"/>
              <w:left w:val="nil"/>
              <w:bottom w:val="single" w:sz="4" w:space="0" w:color="auto"/>
              <w:right w:val="single" w:sz="4" w:space="0" w:color="auto"/>
            </w:tcBorders>
            <w:shd w:val="clear" w:color="auto" w:fill="auto"/>
            <w:noWrap/>
            <w:vAlign w:val="bottom"/>
            <w:hideMark/>
          </w:tcPr>
          <w:p w14:paraId="22A38717"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76823DF1"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7D8F366A" w14:textId="77777777" w:rsidR="005C2F04" w:rsidRDefault="00072C48">
            <w:pPr>
              <w:spacing w:after="0" w:line="240" w:lineRule="auto"/>
              <w:jc w:val="right"/>
              <w:rPr>
                <w:rFonts w:eastAsia="Times New Roman" w:cs="Times New Roman"/>
                <w:szCs w:val="24"/>
              </w:rPr>
            </w:pPr>
            <w:r>
              <w:rPr>
                <w:rFonts w:eastAsia="Times New Roman" w:cs="Times New Roman"/>
                <w:szCs w:val="24"/>
              </w:rPr>
              <w:t>152,330</w:t>
            </w:r>
          </w:p>
        </w:tc>
      </w:tr>
      <w:tr w:rsidR="005C2F04" w14:paraId="693A89E6"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599B4B30" w14:textId="77777777" w:rsidR="005C2F04" w:rsidRDefault="00072C48">
            <w:pPr>
              <w:spacing w:after="0" w:line="240" w:lineRule="auto"/>
              <w:jc w:val="left"/>
              <w:rPr>
                <w:rFonts w:eastAsia="Times New Roman" w:cs="Times New Roman"/>
                <w:szCs w:val="24"/>
              </w:rPr>
            </w:pPr>
            <w:r>
              <w:rPr>
                <w:rFonts w:eastAsia="Times New Roman" w:cs="Times New Roman"/>
                <w:szCs w:val="24"/>
              </w:rPr>
              <w:t>Corporate tax</w:t>
            </w:r>
          </w:p>
        </w:tc>
        <w:tc>
          <w:tcPr>
            <w:tcW w:w="1363" w:type="dxa"/>
            <w:tcBorders>
              <w:top w:val="nil"/>
              <w:left w:val="nil"/>
              <w:bottom w:val="single" w:sz="4" w:space="0" w:color="auto"/>
              <w:right w:val="single" w:sz="4" w:space="0" w:color="auto"/>
            </w:tcBorders>
            <w:shd w:val="clear" w:color="auto" w:fill="auto"/>
            <w:noWrap/>
            <w:vAlign w:val="bottom"/>
            <w:hideMark/>
          </w:tcPr>
          <w:p w14:paraId="35A06301"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6502ECC9"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3C42C98A" w14:textId="77777777" w:rsidR="005C2F04" w:rsidRDefault="00072C48">
            <w:pPr>
              <w:spacing w:after="0" w:line="240" w:lineRule="auto"/>
              <w:jc w:val="right"/>
              <w:rPr>
                <w:rFonts w:eastAsia="Times New Roman" w:cs="Times New Roman"/>
                <w:szCs w:val="24"/>
              </w:rPr>
            </w:pPr>
            <w:r>
              <w:rPr>
                <w:rFonts w:eastAsia="Times New Roman" w:cs="Times New Roman"/>
                <w:szCs w:val="24"/>
              </w:rPr>
              <w:t>100000</w:t>
            </w:r>
          </w:p>
        </w:tc>
      </w:tr>
      <w:tr w:rsidR="005C2F04" w14:paraId="39F49C83" w14:textId="77777777">
        <w:trPr>
          <w:trHeight w:val="322"/>
        </w:trPr>
        <w:tc>
          <w:tcPr>
            <w:tcW w:w="5240" w:type="dxa"/>
            <w:tcBorders>
              <w:top w:val="nil"/>
              <w:left w:val="single" w:sz="4" w:space="0" w:color="auto"/>
              <w:bottom w:val="single" w:sz="4" w:space="0" w:color="auto"/>
              <w:right w:val="single" w:sz="4" w:space="0" w:color="auto"/>
            </w:tcBorders>
            <w:shd w:val="clear" w:color="auto" w:fill="auto"/>
            <w:noWrap/>
            <w:vAlign w:val="bottom"/>
            <w:hideMark/>
          </w:tcPr>
          <w:p w14:paraId="05C9236F" w14:textId="77777777" w:rsidR="005C2F04" w:rsidRDefault="00072C48">
            <w:pPr>
              <w:spacing w:after="0" w:line="240" w:lineRule="auto"/>
              <w:jc w:val="right"/>
              <w:rPr>
                <w:rFonts w:eastAsia="Times New Roman" w:cs="Times New Roman"/>
                <w:b/>
                <w:bCs/>
                <w:szCs w:val="24"/>
              </w:rPr>
            </w:pPr>
            <w:r>
              <w:rPr>
                <w:rFonts w:eastAsia="Times New Roman" w:cs="Times New Roman"/>
                <w:b/>
                <w:bCs/>
                <w:szCs w:val="24"/>
              </w:rPr>
              <w:t>Net income</w:t>
            </w:r>
          </w:p>
        </w:tc>
        <w:tc>
          <w:tcPr>
            <w:tcW w:w="1363" w:type="dxa"/>
            <w:tcBorders>
              <w:top w:val="nil"/>
              <w:left w:val="nil"/>
              <w:bottom w:val="single" w:sz="4" w:space="0" w:color="auto"/>
              <w:right w:val="single" w:sz="4" w:space="0" w:color="auto"/>
            </w:tcBorders>
            <w:shd w:val="clear" w:color="auto" w:fill="auto"/>
            <w:noWrap/>
            <w:vAlign w:val="bottom"/>
            <w:hideMark/>
          </w:tcPr>
          <w:p w14:paraId="10611BDD"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7" w:type="dxa"/>
            <w:tcBorders>
              <w:top w:val="nil"/>
              <w:left w:val="nil"/>
              <w:bottom w:val="single" w:sz="4" w:space="0" w:color="auto"/>
              <w:right w:val="single" w:sz="4" w:space="0" w:color="auto"/>
            </w:tcBorders>
            <w:shd w:val="clear" w:color="auto" w:fill="auto"/>
            <w:noWrap/>
            <w:vAlign w:val="bottom"/>
            <w:hideMark/>
          </w:tcPr>
          <w:p w14:paraId="7876AC26"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6" w:type="dxa"/>
            <w:tcBorders>
              <w:top w:val="nil"/>
              <w:left w:val="nil"/>
              <w:bottom w:val="single" w:sz="4" w:space="0" w:color="auto"/>
              <w:right w:val="single" w:sz="4" w:space="0" w:color="auto"/>
            </w:tcBorders>
            <w:shd w:val="clear" w:color="auto" w:fill="auto"/>
            <w:noWrap/>
            <w:vAlign w:val="bottom"/>
            <w:hideMark/>
          </w:tcPr>
          <w:p w14:paraId="7BB716DA" w14:textId="77777777" w:rsidR="005C2F04" w:rsidRDefault="00072C48">
            <w:pPr>
              <w:spacing w:after="0" w:line="240" w:lineRule="auto"/>
              <w:jc w:val="right"/>
              <w:rPr>
                <w:rFonts w:eastAsia="Times New Roman" w:cs="Times New Roman"/>
                <w:b/>
                <w:bCs/>
                <w:szCs w:val="24"/>
                <w:u w:val="double"/>
              </w:rPr>
            </w:pPr>
            <w:r>
              <w:rPr>
                <w:rFonts w:eastAsia="Times New Roman" w:cs="Times New Roman"/>
                <w:b/>
                <w:bCs/>
                <w:szCs w:val="24"/>
                <w:u w:val="double"/>
              </w:rPr>
              <w:t>52,330</w:t>
            </w:r>
          </w:p>
        </w:tc>
      </w:tr>
    </w:tbl>
    <w:p w14:paraId="7825160B" w14:textId="77777777" w:rsidR="005C2F04" w:rsidRDefault="005C2F04">
      <w:pPr>
        <w:jc w:val="center"/>
      </w:pPr>
    </w:p>
    <w:p w14:paraId="41CB96A3" w14:textId="77777777" w:rsidR="005C2F04" w:rsidRDefault="00072C48">
      <w:pPr>
        <w:spacing w:line="259" w:lineRule="auto"/>
        <w:jc w:val="left"/>
      </w:pPr>
      <w:r>
        <w:br w:type="page"/>
      </w:r>
    </w:p>
    <w:p w14:paraId="3A5EC1C2" w14:textId="77777777" w:rsidR="005C2F04" w:rsidRDefault="00072C48">
      <w:pPr>
        <w:jc w:val="center"/>
      </w:pPr>
      <w:r>
        <w:rPr>
          <w:rFonts w:eastAsia="Times New Roman" w:cs="Times New Roman"/>
        </w:rPr>
        <w:t>Wales plc</w:t>
      </w:r>
    </w:p>
    <w:p w14:paraId="603C0172" w14:textId="77777777" w:rsidR="005C2F04" w:rsidRDefault="00072C48">
      <w:pPr>
        <w:jc w:val="center"/>
        <w:rPr>
          <w:rFonts w:eastAsia="Times New Roman" w:cs="Times New Roman"/>
        </w:rPr>
      </w:pPr>
      <w:r>
        <w:rPr>
          <w:rFonts w:eastAsia="Times New Roman" w:cs="Times New Roman"/>
        </w:rPr>
        <w:t>Statement of Changes in Equity</w:t>
      </w:r>
    </w:p>
    <w:p w14:paraId="791067AC" w14:textId="77777777" w:rsidR="005C2F04" w:rsidRDefault="00072C48">
      <w:pPr>
        <w:jc w:val="center"/>
        <w:rPr>
          <w:rFonts w:eastAsia="Times New Roman" w:cs="Times New Roman"/>
        </w:rPr>
      </w:pPr>
      <w:r>
        <w:rPr>
          <w:rFonts w:eastAsia="Times New Roman" w:cs="Times New Roman"/>
        </w:rPr>
        <w:t xml:space="preserve"> For the year ended 31</w:t>
      </w:r>
      <w:r>
        <w:rPr>
          <w:rFonts w:eastAsia="Times New Roman" w:cs="Times New Roman"/>
          <w:vertAlign w:val="superscript"/>
        </w:rPr>
        <w:t>st</w:t>
      </w:r>
      <w:r>
        <w:rPr>
          <w:rFonts w:eastAsia="Times New Roman" w:cs="Times New Roman"/>
        </w:rPr>
        <w:t xml:space="preserve"> December 2021</w:t>
      </w:r>
    </w:p>
    <w:tbl>
      <w:tblPr>
        <w:tblW w:w="8860" w:type="dxa"/>
        <w:tblInd w:w="113" w:type="dxa"/>
        <w:tblLook w:val="04A0" w:firstRow="1" w:lastRow="0" w:firstColumn="1" w:lastColumn="0" w:noHBand="0" w:noVBand="1"/>
      </w:tblPr>
      <w:tblGrid>
        <w:gridCol w:w="4920"/>
        <w:gridCol w:w="1280"/>
        <w:gridCol w:w="1340"/>
        <w:gridCol w:w="1320"/>
      </w:tblGrid>
      <w:tr w:rsidR="005C2F04" w14:paraId="40D3F0F0" w14:textId="77777777">
        <w:trPr>
          <w:trHeight w:val="288"/>
        </w:trPr>
        <w:tc>
          <w:tcPr>
            <w:tcW w:w="4920" w:type="dxa"/>
            <w:tcBorders>
              <w:top w:val="single" w:sz="4" w:space="0" w:color="auto"/>
              <w:left w:val="single" w:sz="4" w:space="0" w:color="auto"/>
              <w:bottom w:val="single" w:sz="4" w:space="0" w:color="auto"/>
              <w:right w:val="single" w:sz="4" w:space="0" w:color="auto"/>
            </w:tcBorders>
            <w:shd w:val="clear" w:color="auto" w:fill="C5E0B3"/>
            <w:noWrap/>
            <w:vAlign w:val="bottom"/>
            <w:hideMark/>
          </w:tcPr>
          <w:p w14:paraId="05663BF5" w14:textId="77777777" w:rsidR="005C2F04" w:rsidRDefault="00072C48">
            <w:pPr>
              <w:spacing w:after="0" w:line="240" w:lineRule="auto"/>
              <w:jc w:val="center"/>
              <w:rPr>
                <w:rFonts w:eastAsia="Times New Roman" w:cs="Times New Roman"/>
                <w:b/>
                <w:bCs/>
                <w:szCs w:val="24"/>
              </w:rPr>
            </w:pPr>
            <w:r>
              <w:rPr>
                <w:rFonts w:eastAsia="Times New Roman" w:cs="Times New Roman"/>
                <w:b/>
                <w:bCs/>
                <w:szCs w:val="24"/>
              </w:rPr>
              <w:t>Particulars</w:t>
            </w:r>
          </w:p>
        </w:tc>
        <w:tc>
          <w:tcPr>
            <w:tcW w:w="1280" w:type="dxa"/>
            <w:tcBorders>
              <w:top w:val="single" w:sz="4" w:space="0" w:color="auto"/>
              <w:left w:val="nil"/>
              <w:bottom w:val="single" w:sz="4" w:space="0" w:color="auto"/>
              <w:right w:val="single" w:sz="4" w:space="0" w:color="auto"/>
            </w:tcBorders>
            <w:shd w:val="clear" w:color="auto" w:fill="C5E0B3"/>
            <w:noWrap/>
            <w:vAlign w:val="bottom"/>
            <w:hideMark/>
          </w:tcPr>
          <w:p w14:paraId="3E16CCE4" w14:textId="77777777" w:rsidR="005C2F04" w:rsidRDefault="00072C48">
            <w:pPr>
              <w:spacing w:after="0" w:line="240" w:lineRule="auto"/>
              <w:jc w:val="left"/>
              <w:rPr>
                <w:rFonts w:eastAsia="Times New Roman" w:cs="Times New Roman"/>
                <w:szCs w:val="24"/>
              </w:rPr>
            </w:pPr>
            <w:r>
              <w:rPr>
                <w:rFonts w:eastAsia="Times New Roman" w:cs="Times New Roman"/>
                <w:b/>
                <w:bCs/>
                <w:szCs w:val="24"/>
              </w:rPr>
              <w:t>£</w:t>
            </w:r>
          </w:p>
        </w:tc>
        <w:tc>
          <w:tcPr>
            <w:tcW w:w="1340" w:type="dxa"/>
            <w:tcBorders>
              <w:top w:val="single" w:sz="4" w:space="0" w:color="auto"/>
              <w:left w:val="nil"/>
              <w:bottom w:val="single" w:sz="4" w:space="0" w:color="auto"/>
              <w:right w:val="single" w:sz="4" w:space="0" w:color="auto"/>
            </w:tcBorders>
            <w:shd w:val="clear" w:color="auto" w:fill="C5E0B3"/>
            <w:noWrap/>
            <w:vAlign w:val="bottom"/>
            <w:hideMark/>
          </w:tcPr>
          <w:p w14:paraId="0BBF2B16" w14:textId="77777777" w:rsidR="005C2F04" w:rsidRDefault="00072C48">
            <w:pPr>
              <w:spacing w:after="0" w:line="240" w:lineRule="auto"/>
              <w:jc w:val="left"/>
              <w:rPr>
                <w:rFonts w:eastAsia="Times New Roman" w:cs="Times New Roman"/>
                <w:szCs w:val="24"/>
              </w:rPr>
            </w:pPr>
            <w:r>
              <w:rPr>
                <w:rFonts w:eastAsia="Times New Roman" w:cs="Times New Roman"/>
                <w:b/>
                <w:bCs/>
                <w:szCs w:val="24"/>
              </w:rPr>
              <w:t>£</w:t>
            </w:r>
          </w:p>
        </w:tc>
        <w:tc>
          <w:tcPr>
            <w:tcW w:w="1320" w:type="dxa"/>
            <w:tcBorders>
              <w:top w:val="single" w:sz="4" w:space="0" w:color="auto"/>
              <w:left w:val="nil"/>
              <w:bottom w:val="single" w:sz="4" w:space="0" w:color="auto"/>
              <w:right w:val="single" w:sz="4" w:space="0" w:color="auto"/>
            </w:tcBorders>
            <w:shd w:val="clear" w:color="auto" w:fill="C5E0B3"/>
            <w:noWrap/>
            <w:vAlign w:val="bottom"/>
            <w:hideMark/>
          </w:tcPr>
          <w:p w14:paraId="3FE49FD1" w14:textId="77777777" w:rsidR="005C2F04" w:rsidRDefault="00072C48">
            <w:pPr>
              <w:spacing w:after="0" w:line="240" w:lineRule="auto"/>
              <w:jc w:val="left"/>
              <w:rPr>
                <w:rFonts w:eastAsia="Times New Roman" w:cs="Times New Roman"/>
                <w:szCs w:val="24"/>
              </w:rPr>
            </w:pPr>
            <w:r>
              <w:rPr>
                <w:rFonts w:eastAsia="Times New Roman" w:cs="Times New Roman"/>
                <w:b/>
                <w:bCs/>
                <w:szCs w:val="24"/>
              </w:rPr>
              <w:t>£</w:t>
            </w:r>
          </w:p>
        </w:tc>
      </w:tr>
      <w:tr w:rsidR="005C2F04" w14:paraId="45B584BF" w14:textId="77777777">
        <w:trPr>
          <w:trHeight w:val="324"/>
        </w:trPr>
        <w:tc>
          <w:tcPr>
            <w:tcW w:w="4920" w:type="dxa"/>
            <w:tcBorders>
              <w:top w:val="nil"/>
              <w:left w:val="single" w:sz="4" w:space="0" w:color="auto"/>
              <w:bottom w:val="single" w:sz="4" w:space="0" w:color="auto"/>
              <w:right w:val="single" w:sz="4" w:space="0" w:color="auto"/>
            </w:tcBorders>
            <w:shd w:val="clear" w:color="auto" w:fill="auto"/>
            <w:noWrap/>
            <w:vAlign w:val="bottom"/>
            <w:hideMark/>
          </w:tcPr>
          <w:p w14:paraId="1DCF0320" w14:textId="77777777" w:rsidR="005C2F04" w:rsidRDefault="00072C48">
            <w:pPr>
              <w:spacing w:after="0" w:line="240" w:lineRule="auto"/>
              <w:jc w:val="left"/>
              <w:rPr>
                <w:rFonts w:eastAsia="Times New Roman" w:cs="Times New Roman"/>
                <w:szCs w:val="24"/>
              </w:rPr>
            </w:pPr>
            <w:r>
              <w:rPr>
                <w:rFonts w:eastAsia="Times New Roman" w:cs="Times New Roman"/>
                <w:szCs w:val="24"/>
              </w:rPr>
              <w:t>Retained profits on 1</w:t>
            </w:r>
            <w:r>
              <w:rPr>
                <w:rFonts w:eastAsia="Times New Roman" w:cs="Times New Roman"/>
                <w:szCs w:val="24"/>
                <w:vertAlign w:val="superscript"/>
              </w:rPr>
              <w:t>st</w:t>
            </w:r>
            <w:r>
              <w:rPr>
                <w:rFonts w:eastAsia="Times New Roman" w:cs="Times New Roman"/>
                <w:szCs w:val="24"/>
              </w:rPr>
              <w:t xml:space="preserve"> January 2021 </w:t>
            </w:r>
          </w:p>
        </w:tc>
        <w:tc>
          <w:tcPr>
            <w:tcW w:w="1280" w:type="dxa"/>
            <w:tcBorders>
              <w:top w:val="nil"/>
              <w:left w:val="nil"/>
              <w:bottom w:val="single" w:sz="4" w:space="0" w:color="auto"/>
              <w:right w:val="single" w:sz="4" w:space="0" w:color="auto"/>
            </w:tcBorders>
            <w:shd w:val="clear" w:color="auto" w:fill="auto"/>
            <w:noWrap/>
            <w:vAlign w:val="bottom"/>
            <w:hideMark/>
          </w:tcPr>
          <w:p w14:paraId="29B7B798"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40" w:type="dxa"/>
            <w:tcBorders>
              <w:top w:val="nil"/>
              <w:left w:val="nil"/>
              <w:bottom w:val="single" w:sz="4" w:space="0" w:color="auto"/>
              <w:right w:val="single" w:sz="4" w:space="0" w:color="auto"/>
            </w:tcBorders>
            <w:shd w:val="clear" w:color="auto" w:fill="auto"/>
            <w:noWrap/>
            <w:vAlign w:val="bottom"/>
            <w:hideMark/>
          </w:tcPr>
          <w:p w14:paraId="080B1B50" w14:textId="77777777" w:rsidR="005C2F04" w:rsidRDefault="00072C48">
            <w:pPr>
              <w:spacing w:after="0" w:line="240" w:lineRule="auto"/>
              <w:jc w:val="right"/>
              <w:rPr>
                <w:rFonts w:eastAsia="Times New Roman" w:cs="Times New Roman"/>
                <w:szCs w:val="24"/>
              </w:rPr>
            </w:pPr>
            <w:r>
              <w:rPr>
                <w:rFonts w:eastAsia="Times New Roman" w:cs="Times New Roman"/>
                <w:szCs w:val="24"/>
              </w:rPr>
              <w:t>132,000</w:t>
            </w:r>
          </w:p>
        </w:tc>
        <w:tc>
          <w:tcPr>
            <w:tcW w:w="1320" w:type="dxa"/>
            <w:tcBorders>
              <w:top w:val="nil"/>
              <w:left w:val="nil"/>
              <w:bottom w:val="single" w:sz="4" w:space="0" w:color="auto"/>
              <w:right w:val="single" w:sz="4" w:space="0" w:color="auto"/>
            </w:tcBorders>
            <w:shd w:val="clear" w:color="auto" w:fill="auto"/>
            <w:noWrap/>
            <w:vAlign w:val="bottom"/>
            <w:hideMark/>
          </w:tcPr>
          <w:p w14:paraId="2D237E6A"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70655A67" w14:textId="77777777">
        <w:trPr>
          <w:trHeight w:val="288"/>
        </w:trPr>
        <w:tc>
          <w:tcPr>
            <w:tcW w:w="4920" w:type="dxa"/>
            <w:tcBorders>
              <w:top w:val="nil"/>
              <w:left w:val="single" w:sz="4" w:space="0" w:color="auto"/>
              <w:bottom w:val="single" w:sz="4" w:space="0" w:color="auto"/>
              <w:right w:val="single" w:sz="4" w:space="0" w:color="auto"/>
            </w:tcBorders>
            <w:shd w:val="clear" w:color="auto" w:fill="auto"/>
            <w:noWrap/>
            <w:vAlign w:val="bottom"/>
            <w:hideMark/>
          </w:tcPr>
          <w:p w14:paraId="5FB25DDD" w14:textId="77777777" w:rsidR="005C2F04" w:rsidRDefault="00072C48">
            <w:pPr>
              <w:spacing w:after="0" w:line="240" w:lineRule="auto"/>
              <w:jc w:val="left"/>
              <w:rPr>
                <w:rFonts w:eastAsia="Times New Roman" w:cs="Times New Roman"/>
                <w:szCs w:val="24"/>
              </w:rPr>
            </w:pPr>
            <w:r>
              <w:rPr>
                <w:rFonts w:eastAsia="Times New Roman" w:cs="Times New Roman"/>
                <w:szCs w:val="24"/>
              </w:rPr>
              <w:t>Share capital</w:t>
            </w:r>
          </w:p>
        </w:tc>
        <w:tc>
          <w:tcPr>
            <w:tcW w:w="1280" w:type="dxa"/>
            <w:tcBorders>
              <w:top w:val="nil"/>
              <w:left w:val="nil"/>
              <w:bottom w:val="single" w:sz="4" w:space="0" w:color="auto"/>
              <w:right w:val="single" w:sz="4" w:space="0" w:color="auto"/>
            </w:tcBorders>
            <w:shd w:val="clear" w:color="auto" w:fill="auto"/>
            <w:noWrap/>
            <w:vAlign w:val="bottom"/>
            <w:hideMark/>
          </w:tcPr>
          <w:p w14:paraId="58C7D641"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40" w:type="dxa"/>
            <w:tcBorders>
              <w:top w:val="nil"/>
              <w:left w:val="nil"/>
              <w:bottom w:val="single" w:sz="4" w:space="0" w:color="auto"/>
              <w:right w:val="single" w:sz="4" w:space="0" w:color="auto"/>
            </w:tcBorders>
            <w:shd w:val="clear" w:color="auto" w:fill="auto"/>
            <w:noWrap/>
            <w:vAlign w:val="bottom"/>
            <w:hideMark/>
          </w:tcPr>
          <w:p w14:paraId="057355D5" w14:textId="77777777" w:rsidR="005C2F04" w:rsidRDefault="00072C48">
            <w:pPr>
              <w:spacing w:after="0" w:line="240" w:lineRule="auto"/>
              <w:jc w:val="right"/>
              <w:rPr>
                <w:rFonts w:eastAsia="Times New Roman" w:cs="Times New Roman"/>
                <w:szCs w:val="24"/>
              </w:rPr>
            </w:pPr>
            <w:r>
              <w:rPr>
                <w:rFonts w:eastAsia="Times New Roman" w:cs="Times New Roman"/>
                <w:szCs w:val="24"/>
              </w:rPr>
              <w:t>500,000</w:t>
            </w:r>
          </w:p>
        </w:tc>
        <w:tc>
          <w:tcPr>
            <w:tcW w:w="1320" w:type="dxa"/>
            <w:tcBorders>
              <w:top w:val="nil"/>
              <w:left w:val="nil"/>
              <w:bottom w:val="single" w:sz="4" w:space="0" w:color="auto"/>
              <w:right w:val="single" w:sz="4" w:space="0" w:color="auto"/>
            </w:tcBorders>
            <w:shd w:val="clear" w:color="auto" w:fill="auto"/>
            <w:noWrap/>
            <w:vAlign w:val="bottom"/>
            <w:hideMark/>
          </w:tcPr>
          <w:p w14:paraId="34B0742B"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1AA616A2" w14:textId="77777777">
        <w:trPr>
          <w:trHeight w:val="288"/>
        </w:trPr>
        <w:tc>
          <w:tcPr>
            <w:tcW w:w="4920" w:type="dxa"/>
            <w:tcBorders>
              <w:top w:val="nil"/>
              <w:left w:val="single" w:sz="4" w:space="0" w:color="auto"/>
              <w:bottom w:val="single" w:sz="4" w:space="0" w:color="auto"/>
              <w:right w:val="single" w:sz="4" w:space="0" w:color="auto"/>
            </w:tcBorders>
            <w:shd w:val="clear" w:color="auto" w:fill="auto"/>
            <w:noWrap/>
            <w:vAlign w:val="bottom"/>
            <w:hideMark/>
          </w:tcPr>
          <w:p w14:paraId="7B4A17E0"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preference shares </w:t>
            </w:r>
          </w:p>
        </w:tc>
        <w:tc>
          <w:tcPr>
            <w:tcW w:w="1280" w:type="dxa"/>
            <w:tcBorders>
              <w:top w:val="nil"/>
              <w:left w:val="nil"/>
              <w:bottom w:val="single" w:sz="4" w:space="0" w:color="auto"/>
              <w:right w:val="single" w:sz="4" w:space="0" w:color="auto"/>
            </w:tcBorders>
            <w:shd w:val="clear" w:color="auto" w:fill="auto"/>
            <w:noWrap/>
            <w:vAlign w:val="bottom"/>
            <w:hideMark/>
          </w:tcPr>
          <w:p w14:paraId="6482F352"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40" w:type="dxa"/>
            <w:tcBorders>
              <w:top w:val="nil"/>
              <w:left w:val="nil"/>
              <w:bottom w:val="single" w:sz="4" w:space="0" w:color="auto"/>
              <w:right w:val="single" w:sz="4" w:space="0" w:color="auto"/>
            </w:tcBorders>
            <w:shd w:val="clear" w:color="auto" w:fill="auto"/>
            <w:noWrap/>
            <w:vAlign w:val="bottom"/>
            <w:hideMark/>
          </w:tcPr>
          <w:p w14:paraId="0EBD6FE0" w14:textId="77777777" w:rsidR="005C2F04" w:rsidRDefault="00072C48">
            <w:pPr>
              <w:spacing w:after="0" w:line="240" w:lineRule="auto"/>
              <w:jc w:val="right"/>
              <w:rPr>
                <w:rFonts w:eastAsia="Times New Roman" w:cs="Times New Roman"/>
                <w:szCs w:val="24"/>
              </w:rPr>
            </w:pPr>
            <w:r>
              <w:rPr>
                <w:rFonts w:eastAsia="Times New Roman" w:cs="Times New Roman"/>
                <w:szCs w:val="24"/>
              </w:rPr>
              <w:t>200000</w:t>
            </w:r>
          </w:p>
        </w:tc>
        <w:tc>
          <w:tcPr>
            <w:tcW w:w="1320" w:type="dxa"/>
            <w:tcBorders>
              <w:top w:val="nil"/>
              <w:left w:val="nil"/>
              <w:bottom w:val="single" w:sz="4" w:space="0" w:color="auto"/>
              <w:right w:val="single" w:sz="4" w:space="0" w:color="auto"/>
            </w:tcBorders>
            <w:shd w:val="clear" w:color="auto" w:fill="auto"/>
            <w:noWrap/>
            <w:vAlign w:val="bottom"/>
            <w:hideMark/>
          </w:tcPr>
          <w:p w14:paraId="1479AB1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11742DFF" w14:textId="77777777">
        <w:trPr>
          <w:trHeight w:val="288"/>
        </w:trPr>
        <w:tc>
          <w:tcPr>
            <w:tcW w:w="4920" w:type="dxa"/>
            <w:tcBorders>
              <w:top w:val="nil"/>
              <w:left w:val="single" w:sz="4" w:space="0" w:color="auto"/>
              <w:bottom w:val="single" w:sz="4" w:space="0" w:color="auto"/>
              <w:right w:val="single" w:sz="4" w:space="0" w:color="auto"/>
            </w:tcBorders>
            <w:shd w:val="clear" w:color="auto" w:fill="auto"/>
            <w:noWrap/>
            <w:vAlign w:val="bottom"/>
            <w:hideMark/>
          </w:tcPr>
          <w:p w14:paraId="70BF06F0" w14:textId="77777777" w:rsidR="005C2F04" w:rsidRDefault="00072C48">
            <w:pPr>
              <w:spacing w:after="0" w:line="240" w:lineRule="auto"/>
              <w:jc w:val="left"/>
              <w:rPr>
                <w:rFonts w:eastAsia="Times New Roman" w:cs="Times New Roman"/>
                <w:szCs w:val="24"/>
              </w:rPr>
            </w:pPr>
            <w:r>
              <w:rPr>
                <w:rFonts w:eastAsia="Times New Roman" w:cs="Times New Roman"/>
                <w:szCs w:val="24"/>
              </w:rPr>
              <w:t>Profit for the year</w:t>
            </w:r>
          </w:p>
        </w:tc>
        <w:tc>
          <w:tcPr>
            <w:tcW w:w="1280" w:type="dxa"/>
            <w:tcBorders>
              <w:top w:val="nil"/>
              <w:left w:val="nil"/>
              <w:bottom w:val="single" w:sz="4" w:space="0" w:color="auto"/>
              <w:right w:val="single" w:sz="4" w:space="0" w:color="auto"/>
            </w:tcBorders>
            <w:shd w:val="clear" w:color="auto" w:fill="auto"/>
            <w:noWrap/>
            <w:vAlign w:val="bottom"/>
            <w:hideMark/>
          </w:tcPr>
          <w:p w14:paraId="6B7A06F7"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40" w:type="dxa"/>
            <w:tcBorders>
              <w:top w:val="nil"/>
              <w:left w:val="nil"/>
              <w:bottom w:val="single" w:sz="4" w:space="0" w:color="auto"/>
              <w:right w:val="single" w:sz="4" w:space="0" w:color="auto"/>
            </w:tcBorders>
            <w:shd w:val="clear" w:color="auto" w:fill="auto"/>
            <w:noWrap/>
            <w:vAlign w:val="bottom"/>
            <w:hideMark/>
          </w:tcPr>
          <w:p w14:paraId="436A3395" w14:textId="77777777" w:rsidR="005C2F04" w:rsidRDefault="00072C48">
            <w:pPr>
              <w:spacing w:after="0" w:line="240" w:lineRule="auto"/>
              <w:jc w:val="right"/>
              <w:rPr>
                <w:rFonts w:eastAsia="Times New Roman" w:cs="Times New Roman"/>
                <w:szCs w:val="24"/>
              </w:rPr>
            </w:pPr>
            <w:r>
              <w:rPr>
                <w:rFonts w:eastAsia="Times New Roman" w:cs="Times New Roman"/>
                <w:szCs w:val="24"/>
              </w:rPr>
              <w:t>52,330</w:t>
            </w:r>
          </w:p>
        </w:tc>
        <w:tc>
          <w:tcPr>
            <w:tcW w:w="1320" w:type="dxa"/>
            <w:tcBorders>
              <w:top w:val="nil"/>
              <w:left w:val="nil"/>
              <w:bottom w:val="single" w:sz="4" w:space="0" w:color="auto"/>
              <w:right w:val="single" w:sz="4" w:space="0" w:color="auto"/>
            </w:tcBorders>
            <w:shd w:val="clear" w:color="auto" w:fill="auto"/>
            <w:noWrap/>
            <w:vAlign w:val="bottom"/>
            <w:hideMark/>
          </w:tcPr>
          <w:p w14:paraId="5C49ACB9"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53FCA379" w14:textId="77777777">
        <w:trPr>
          <w:trHeight w:val="288"/>
        </w:trPr>
        <w:tc>
          <w:tcPr>
            <w:tcW w:w="4920" w:type="dxa"/>
            <w:tcBorders>
              <w:top w:val="nil"/>
              <w:left w:val="single" w:sz="4" w:space="0" w:color="auto"/>
              <w:bottom w:val="single" w:sz="4" w:space="0" w:color="auto"/>
              <w:right w:val="single" w:sz="4" w:space="0" w:color="auto"/>
            </w:tcBorders>
            <w:shd w:val="clear" w:color="auto" w:fill="auto"/>
            <w:noWrap/>
            <w:vAlign w:val="bottom"/>
            <w:hideMark/>
          </w:tcPr>
          <w:p w14:paraId="31153B9F" w14:textId="77777777" w:rsidR="005C2F04" w:rsidRDefault="00072C48">
            <w:pPr>
              <w:spacing w:after="0" w:line="240" w:lineRule="auto"/>
              <w:jc w:val="left"/>
              <w:rPr>
                <w:rFonts w:eastAsia="Times New Roman" w:cs="Times New Roman"/>
                <w:b/>
                <w:bCs/>
                <w:szCs w:val="24"/>
              </w:rPr>
            </w:pPr>
            <w:r>
              <w:rPr>
                <w:rFonts w:eastAsia="Times New Roman" w:cs="Times New Roman"/>
                <w:b/>
                <w:bCs/>
                <w:szCs w:val="24"/>
              </w:rPr>
              <w:t>Less: Dividend paid</w:t>
            </w:r>
          </w:p>
        </w:tc>
        <w:tc>
          <w:tcPr>
            <w:tcW w:w="1280" w:type="dxa"/>
            <w:tcBorders>
              <w:top w:val="nil"/>
              <w:left w:val="nil"/>
              <w:bottom w:val="single" w:sz="4" w:space="0" w:color="auto"/>
              <w:right w:val="single" w:sz="4" w:space="0" w:color="auto"/>
            </w:tcBorders>
            <w:shd w:val="clear" w:color="auto" w:fill="auto"/>
            <w:noWrap/>
            <w:vAlign w:val="bottom"/>
            <w:hideMark/>
          </w:tcPr>
          <w:p w14:paraId="169D0E24"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40" w:type="dxa"/>
            <w:tcBorders>
              <w:top w:val="nil"/>
              <w:left w:val="nil"/>
              <w:bottom w:val="single" w:sz="4" w:space="0" w:color="auto"/>
              <w:right w:val="single" w:sz="4" w:space="0" w:color="auto"/>
            </w:tcBorders>
            <w:shd w:val="clear" w:color="auto" w:fill="auto"/>
            <w:noWrap/>
            <w:vAlign w:val="bottom"/>
            <w:hideMark/>
          </w:tcPr>
          <w:p w14:paraId="22344A94"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14:paraId="4B1DDEE4"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707C724B" w14:textId="77777777">
        <w:trPr>
          <w:trHeight w:val="288"/>
        </w:trPr>
        <w:tc>
          <w:tcPr>
            <w:tcW w:w="4920" w:type="dxa"/>
            <w:tcBorders>
              <w:top w:val="nil"/>
              <w:left w:val="single" w:sz="4" w:space="0" w:color="auto"/>
              <w:bottom w:val="single" w:sz="4" w:space="0" w:color="auto"/>
              <w:right w:val="single" w:sz="4" w:space="0" w:color="auto"/>
            </w:tcBorders>
            <w:shd w:val="clear" w:color="auto" w:fill="auto"/>
            <w:noWrap/>
            <w:vAlign w:val="bottom"/>
            <w:hideMark/>
          </w:tcPr>
          <w:p w14:paraId="1E184036"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Ordinary </w:t>
            </w:r>
          </w:p>
        </w:tc>
        <w:tc>
          <w:tcPr>
            <w:tcW w:w="1280" w:type="dxa"/>
            <w:tcBorders>
              <w:top w:val="nil"/>
              <w:left w:val="nil"/>
              <w:bottom w:val="single" w:sz="4" w:space="0" w:color="auto"/>
              <w:right w:val="single" w:sz="4" w:space="0" w:color="auto"/>
            </w:tcBorders>
            <w:shd w:val="clear" w:color="auto" w:fill="auto"/>
            <w:noWrap/>
            <w:vAlign w:val="bottom"/>
            <w:hideMark/>
          </w:tcPr>
          <w:p w14:paraId="236416A2" w14:textId="77777777" w:rsidR="005C2F04" w:rsidRDefault="00072C48">
            <w:pPr>
              <w:spacing w:after="0" w:line="240" w:lineRule="auto"/>
              <w:jc w:val="right"/>
              <w:rPr>
                <w:rFonts w:eastAsia="Times New Roman" w:cs="Times New Roman"/>
                <w:szCs w:val="24"/>
              </w:rPr>
            </w:pPr>
            <w:r>
              <w:rPr>
                <w:rFonts w:eastAsia="Times New Roman" w:cs="Times New Roman"/>
                <w:szCs w:val="24"/>
              </w:rPr>
              <w:t>-20000</w:t>
            </w:r>
          </w:p>
        </w:tc>
        <w:tc>
          <w:tcPr>
            <w:tcW w:w="1340" w:type="dxa"/>
            <w:tcBorders>
              <w:top w:val="nil"/>
              <w:left w:val="nil"/>
              <w:bottom w:val="single" w:sz="4" w:space="0" w:color="auto"/>
              <w:right w:val="single" w:sz="4" w:space="0" w:color="auto"/>
            </w:tcBorders>
            <w:shd w:val="clear" w:color="auto" w:fill="auto"/>
            <w:noWrap/>
            <w:vAlign w:val="bottom"/>
            <w:hideMark/>
          </w:tcPr>
          <w:p w14:paraId="51C51579"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14:paraId="10D5ADE2"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761EF579" w14:textId="77777777">
        <w:trPr>
          <w:trHeight w:val="288"/>
        </w:trPr>
        <w:tc>
          <w:tcPr>
            <w:tcW w:w="4920" w:type="dxa"/>
            <w:tcBorders>
              <w:top w:val="nil"/>
              <w:left w:val="single" w:sz="4" w:space="0" w:color="auto"/>
              <w:bottom w:val="single" w:sz="4" w:space="0" w:color="auto"/>
              <w:right w:val="single" w:sz="4" w:space="0" w:color="auto"/>
            </w:tcBorders>
            <w:shd w:val="clear" w:color="auto" w:fill="auto"/>
            <w:noWrap/>
            <w:vAlign w:val="bottom"/>
            <w:hideMark/>
          </w:tcPr>
          <w:p w14:paraId="7139941D"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preference shares </w:t>
            </w:r>
          </w:p>
        </w:tc>
        <w:tc>
          <w:tcPr>
            <w:tcW w:w="1280" w:type="dxa"/>
            <w:tcBorders>
              <w:top w:val="nil"/>
              <w:left w:val="nil"/>
              <w:bottom w:val="single" w:sz="4" w:space="0" w:color="auto"/>
              <w:right w:val="single" w:sz="4" w:space="0" w:color="auto"/>
            </w:tcBorders>
            <w:shd w:val="clear" w:color="auto" w:fill="auto"/>
            <w:noWrap/>
            <w:vAlign w:val="bottom"/>
            <w:hideMark/>
          </w:tcPr>
          <w:p w14:paraId="48F419E4" w14:textId="77777777" w:rsidR="005C2F04" w:rsidRDefault="00072C48">
            <w:pPr>
              <w:spacing w:after="0" w:line="240" w:lineRule="auto"/>
              <w:jc w:val="right"/>
              <w:rPr>
                <w:rFonts w:eastAsia="Times New Roman" w:cs="Times New Roman"/>
                <w:szCs w:val="24"/>
              </w:rPr>
            </w:pPr>
            <w:r>
              <w:rPr>
                <w:rFonts w:eastAsia="Times New Roman" w:cs="Times New Roman"/>
                <w:szCs w:val="24"/>
              </w:rPr>
              <w:t>-30000</w:t>
            </w:r>
          </w:p>
        </w:tc>
        <w:tc>
          <w:tcPr>
            <w:tcW w:w="1340" w:type="dxa"/>
            <w:tcBorders>
              <w:top w:val="nil"/>
              <w:left w:val="nil"/>
              <w:bottom w:val="single" w:sz="4" w:space="0" w:color="auto"/>
              <w:right w:val="single" w:sz="4" w:space="0" w:color="auto"/>
            </w:tcBorders>
            <w:shd w:val="clear" w:color="auto" w:fill="auto"/>
            <w:noWrap/>
            <w:vAlign w:val="bottom"/>
            <w:hideMark/>
          </w:tcPr>
          <w:p w14:paraId="57921552" w14:textId="77777777" w:rsidR="005C2F04" w:rsidRDefault="00072C48">
            <w:pPr>
              <w:spacing w:after="0" w:line="240" w:lineRule="auto"/>
              <w:jc w:val="right"/>
              <w:rPr>
                <w:rFonts w:eastAsia="Times New Roman" w:cs="Times New Roman"/>
                <w:szCs w:val="24"/>
              </w:rPr>
            </w:pPr>
            <w:r>
              <w:rPr>
                <w:rFonts w:eastAsia="Times New Roman" w:cs="Times New Roman"/>
                <w:szCs w:val="24"/>
              </w:rPr>
              <w:t>-50000</w:t>
            </w:r>
          </w:p>
        </w:tc>
        <w:tc>
          <w:tcPr>
            <w:tcW w:w="1320" w:type="dxa"/>
            <w:tcBorders>
              <w:top w:val="nil"/>
              <w:left w:val="nil"/>
              <w:bottom w:val="single" w:sz="4" w:space="0" w:color="auto"/>
              <w:right w:val="single" w:sz="4" w:space="0" w:color="auto"/>
            </w:tcBorders>
            <w:shd w:val="clear" w:color="auto" w:fill="auto"/>
            <w:noWrap/>
            <w:vAlign w:val="bottom"/>
            <w:hideMark/>
          </w:tcPr>
          <w:p w14:paraId="1A48CE4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5C69400A" w14:textId="77777777">
        <w:trPr>
          <w:trHeight w:val="288"/>
        </w:trPr>
        <w:tc>
          <w:tcPr>
            <w:tcW w:w="4920" w:type="dxa"/>
            <w:tcBorders>
              <w:top w:val="nil"/>
              <w:left w:val="single" w:sz="4" w:space="0" w:color="auto"/>
              <w:bottom w:val="single" w:sz="4" w:space="0" w:color="auto"/>
              <w:right w:val="single" w:sz="4" w:space="0" w:color="auto"/>
            </w:tcBorders>
            <w:shd w:val="clear" w:color="auto" w:fill="auto"/>
            <w:noWrap/>
            <w:vAlign w:val="bottom"/>
            <w:hideMark/>
          </w:tcPr>
          <w:p w14:paraId="1CBC282F" w14:textId="77777777" w:rsidR="005C2F04" w:rsidRDefault="00072C48">
            <w:pPr>
              <w:spacing w:after="0" w:line="240" w:lineRule="auto"/>
              <w:jc w:val="right"/>
              <w:rPr>
                <w:rFonts w:eastAsia="Times New Roman" w:cs="Times New Roman"/>
                <w:b/>
                <w:bCs/>
                <w:szCs w:val="24"/>
              </w:rPr>
            </w:pPr>
            <w:r>
              <w:rPr>
                <w:rFonts w:eastAsia="Times New Roman" w:cs="Times New Roman"/>
                <w:b/>
                <w:bCs/>
                <w:szCs w:val="24"/>
              </w:rPr>
              <w:t>Total Owners Equity</w:t>
            </w:r>
          </w:p>
        </w:tc>
        <w:tc>
          <w:tcPr>
            <w:tcW w:w="1280" w:type="dxa"/>
            <w:tcBorders>
              <w:top w:val="nil"/>
              <w:left w:val="nil"/>
              <w:bottom w:val="single" w:sz="4" w:space="0" w:color="auto"/>
              <w:right w:val="single" w:sz="4" w:space="0" w:color="auto"/>
            </w:tcBorders>
            <w:shd w:val="clear" w:color="auto" w:fill="auto"/>
            <w:noWrap/>
            <w:vAlign w:val="bottom"/>
            <w:hideMark/>
          </w:tcPr>
          <w:p w14:paraId="795E450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40" w:type="dxa"/>
            <w:tcBorders>
              <w:top w:val="nil"/>
              <w:left w:val="nil"/>
              <w:bottom w:val="single" w:sz="4" w:space="0" w:color="auto"/>
              <w:right w:val="single" w:sz="4" w:space="0" w:color="auto"/>
            </w:tcBorders>
            <w:shd w:val="clear" w:color="auto" w:fill="auto"/>
            <w:noWrap/>
            <w:vAlign w:val="bottom"/>
            <w:hideMark/>
          </w:tcPr>
          <w:p w14:paraId="308BE37B"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20" w:type="dxa"/>
            <w:tcBorders>
              <w:top w:val="nil"/>
              <w:left w:val="nil"/>
              <w:bottom w:val="single" w:sz="4" w:space="0" w:color="auto"/>
              <w:right w:val="single" w:sz="4" w:space="0" w:color="auto"/>
            </w:tcBorders>
            <w:shd w:val="clear" w:color="auto" w:fill="auto"/>
            <w:noWrap/>
            <w:vAlign w:val="bottom"/>
            <w:hideMark/>
          </w:tcPr>
          <w:p w14:paraId="01A2C4EC" w14:textId="77777777" w:rsidR="005C2F04" w:rsidRDefault="00072C48">
            <w:pPr>
              <w:spacing w:after="0" w:line="240" w:lineRule="auto"/>
              <w:jc w:val="right"/>
              <w:rPr>
                <w:rFonts w:eastAsia="Times New Roman" w:cs="Times New Roman"/>
                <w:b/>
                <w:bCs/>
                <w:szCs w:val="24"/>
                <w:u w:val="double"/>
              </w:rPr>
            </w:pPr>
            <w:r>
              <w:rPr>
                <w:rFonts w:eastAsia="Times New Roman" w:cs="Times New Roman"/>
                <w:b/>
                <w:bCs/>
                <w:szCs w:val="24"/>
                <w:u w:val="double"/>
              </w:rPr>
              <w:t>834,330</w:t>
            </w:r>
          </w:p>
        </w:tc>
      </w:tr>
    </w:tbl>
    <w:p w14:paraId="4CCAA337" w14:textId="77777777" w:rsidR="005C2F04" w:rsidRDefault="00072C48">
      <w:pPr>
        <w:spacing w:line="259" w:lineRule="auto"/>
        <w:jc w:val="center"/>
        <w:rPr>
          <w:rFonts w:eastAsia="Times New Roman" w:cs="Times New Roman"/>
        </w:rPr>
      </w:pPr>
      <w:r>
        <w:rPr>
          <w:rFonts w:eastAsia="Times New Roman" w:cs="Times New Roman"/>
        </w:rPr>
        <w:br w:type="page"/>
      </w:r>
    </w:p>
    <w:p w14:paraId="14E44349" w14:textId="77777777" w:rsidR="005C2F04" w:rsidRDefault="00072C48">
      <w:pPr>
        <w:jc w:val="center"/>
      </w:pPr>
      <w:r>
        <w:rPr>
          <w:rFonts w:eastAsia="Times New Roman" w:cs="Times New Roman"/>
        </w:rPr>
        <w:t>Wales plc</w:t>
      </w:r>
    </w:p>
    <w:p w14:paraId="13F5F3E1" w14:textId="77777777" w:rsidR="005C2F04" w:rsidRDefault="00072C48">
      <w:pPr>
        <w:jc w:val="center"/>
        <w:rPr>
          <w:rFonts w:eastAsia="Times New Roman" w:cs="Times New Roman"/>
        </w:rPr>
      </w:pPr>
      <w:r>
        <w:rPr>
          <w:rFonts w:eastAsia="Times New Roman" w:cs="Times New Roman"/>
        </w:rPr>
        <w:t>Statement of financial position</w:t>
      </w:r>
    </w:p>
    <w:p w14:paraId="5D99C698" w14:textId="77777777" w:rsidR="005C2F04" w:rsidRDefault="00072C48">
      <w:pPr>
        <w:jc w:val="center"/>
        <w:rPr>
          <w:rFonts w:eastAsia="Times New Roman" w:cs="Times New Roman"/>
        </w:rPr>
      </w:pPr>
      <w:r>
        <w:rPr>
          <w:rFonts w:eastAsia="Times New Roman" w:cs="Times New Roman"/>
        </w:rPr>
        <w:t xml:space="preserve"> For the year ended 31</w:t>
      </w:r>
      <w:r>
        <w:rPr>
          <w:rFonts w:eastAsia="Times New Roman" w:cs="Times New Roman"/>
          <w:vertAlign w:val="superscript"/>
        </w:rPr>
        <w:t>st</w:t>
      </w:r>
      <w:r>
        <w:rPr>
          <w:rFonts w:eastAsia="Times New Roman" w:cs="Times New Roman"/>
        </w:rPr>
        <w:t xml:space="preserve"> December 2021</w:t>
      </w:r>
    </w:p>
    <w:tbl>
      <w:tblPr>
        <w:tblW w:w="9445" w:type="dxa"/>
        <w:tblInd w:w="113" w:type="dxa"/>
        <w:tblLook w:val="04A0" w:firstRow="1" w:lastRow="0" w:firstColumn="1" w:lastColumn="0" w:noHBand="0" w:noVBand="1"/>
      </w:tblPr>
      <w:tblGrid>
        <w:gridCol w:w="5246"/>
        <w:gridCol w:w="1364"/>
        <w:gridCol w:w="1428"/>
        <w:gridCol w:w="1407"/>
      </w:tblGrid>
      <w:tr w:rsidR="005C2F04" w14:paraId="56D5E1D4" w14:textId="77777777">
        <w:trPr>
          <w:trHeight w:val="318"/>
        </w:trPr>
        <w:tc>
          <w:tcPr>
            <w:tcW w:w="5246"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6F649679" w14:textId="77777777" w:rsidR="005C2F04" w:rsidRDefault="00072C48">
            <w:pPr>
              <w:spacing w:after="0" w:line="240" w:lineRule="auto"/>
              <w:jc w:val="center"/>
              <w:rPr>
                <w:rFonts w:eastAsia="Times New Roman" w:cs="Times New Roman"/>
                <w:b/>
                <w:bCs/>
                <w:szCs w:val="24"/>
              </w:rPr>
            </w:pPr>
            <w:r>
              <w:rPr>
                <w:rFonts w:eastAsia="Times New Roman" w:cs="Times New Roman"/>
                <w:b/>
                <w:bCs/>
                <w:szCs w:val="24"/>
              </w:rPr>
              <w:t>Particulars</w:t>
            </w:r>
          </w:p>
        </w:tc>
        <w:tc>
          <w:tcPr>
            <w:tcW w:w="1364" w:type="dxa"/>
            <w:tcBorders>
              <w:top w:val="single" w:sz="4" w:space="0" w:color="auto"/>
              <w:left w:val="nil"/>
              <w:bottom w:val="single" w:sz="4" w:space="0" w:color="auto"/>
              <w:right w:val="single" w:sz="4" w:space="0" w:color="auto"/>
            </w:tcBorders>
            <w:shd w:val="clear" w:color="auto" w:fill="auto"/>
            <w:noWrap/>
            <w:vAlign w:val="bottom"/>
            <w:hideMark/>
          </w:tcPr>
          <w:p w14:paraId="00ED9752" w14:textId="77777777" w:rsidR="005C2F04" w:rsidRDefault="00072C48">
            <w:pPr>
              <w:spacing w:after="0" w:line="240" w:lineRule="auto"/>
              <w:jc w:val="center"/>
              <w:rPr>
                <w:rFonts w:eastAsia="Times New Roman" w:cs="Times New Roman"/>
                <w:b/>
                <w:bCs/>
                <w:szCs w:val="24"/>
              </w:rPr>
            </w:pPr>
            <w:r>
              <w:rPr>
                <w:rFonts w:eastAsia="Times New Roman" w:cs="Times New Roman"/>
                <w:b/>
                <w:bCs/>
                <w:szCs w:val="24"/>
              </w:rPr>
              <w:t>£</w:t>
            </w:r>
          </w:p>
        </w:tc>
        <w:tc>
          <w:tcPr>
            <w:tcW w:w="1428" w:type="dxa"/>
            <w:tcBorders>
              <w:top w:val="single" w:sz="4" w:space="0" w:color="auto"/>
              <w:left w:val="nil"/>
              <w:bottom w:val="single" w:sz="4" w:space="0" w:color="auto"/>
              <w:right w:val="single" w:sz="4" w:space="0" w:color="auto"/>
            </w:tcBorders>
            <w:shd w:val="clear" w:color="auto" w:fill="auto"/>
            <w:noWrap/>
            <w:vAlign w:val="bottom"/>
            <w:hideMark/>
          </w:tcPr>
          <w:p w14:paraId="35D2E5E7" w14:textId="77777777" w:rsidR="005C2F04" w:rsidRDefault="00072C48">
            <w:pPr>
              <w:spacing w:after="0" w:line="240" w:lineRule="auto"/>
              <w:jc w:val="center"/>
              <w:rPr>
                <w:rFonts w:eastAsia="Times New Roman" w:cs="Times New Roman"/>
                <w:b/>
                <w:bCs/>
                <w:szCs w:val="24"/>
              </w:rPr>
            </w:pPr>
            <w:r>
              <w:rPr>
                <w:rFonts w:eastAsia="Times New Roman" w:cs="Times New Roman"/>
                <w:b/>
                <w:bCs/>
                <w:szCs w:val="24"/>
              </w:rPr>
              <w:t>£</w:t>
            </w:r>
          </w:p>
        </w:tc>
        <w:tc>
          <w:tcPr>
            <w:tcW w:w="1407" w:type="dxa"/>
            <w:tcBorders>
              <w:top w:val="single" w:sz="4" w:space="0" w:color="auto"/>
              <w:left w:val="nil"/>
              <w:bottom w:val="single" w:sz="4" w:space="0" w:color="auto"/>
              <w:right w:val="single" w:sz="4" w:space="0" w:color="auto"/>
            </w:tcBorders>
            <w:shd w:val="clear" w:color="auto" w:fill="auto"/>
            <w:noWrap/>
            <w:vAlign w:val="bottom"/>
            <w:hideMark/>
          </w:tcPr>
          <w:p w14:paraId="76CAA2D6" w14:textId="77777777" w:rsidR="005C2F04" w:rsidRDefault="00072C48">
            <w:pPr>
              <w:spacing w:after="0" w:line="240" w:lineRule="auto"/>
              <w:jc w:val="center"/>
              <w:rPr>
                <w:rFonts w:eastAsia="Times New Roman" w:cs="Times New Roman"/>
                <w:b/>
                <w:bCs/>
                <w:szCs w:val="24"/>
              </w:rPr>
            </w:pPr>
            <w:r>
              <w:rPr>
                <w:rFonts w:eastAsia="Times New Roman" w:cs="Times New Roman"/>
                <w:b/>
                <w:bCs/>
                <w:szCs w:val="24"/>
              </w:rPr>
              <w:t>£</w:t>
            </w:r>
          </w:p>
        </w:tc>
      </w:tr>
      <w:tr w:rsidR="005C2F04" w14:paraId="7D3BD3AC"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6645660B" w14:textId="77777777" w:rsidR="005C2F04" w:rsidRDefault="00072C48">
            <w:pPr>
              <w:spacing w:after="0" w:line="240" w:lineRule="auto"/>
              <w:jc w:val="center"/>
              <w:rPr>
                <w:rFonts w:eastAsia="Times New Roman" w:cs="Times New Roman"/>
                <w:b/>
                <w:bCs/>
                <w:szCs w:val="24"/>
              </w:rPr>
            </w:pPr>
            <w:r>
              <w:rPr>
                <w:rFonts w:eastAsia="Times New Roman" w:cs="Times New Roman"/>
                <w:b/>
                <w:bCs/>
                <w:szCs w:val="24"/>
              </w:rPr>
              <w:t>Assets</w:t>
            </w:r>
          </w:p>
        </w:tc>
        <w:tc>
          <w:tcPr>
            <w:tcW w:w="1364" w:type="dxa"/>
            <w:tcBorders>
              <w:top w:val="nil"/>
              <w:left w:val="nil"/>
              <w:bottom w:val="single" w:sz="4" w:space="0" w:color="auto"/>
              <w:right w:val="single" w:sz="4" w:space="0" w:color="auto"/>
            </w:tcBorders>
            <w:shd w:val="clear" w:color="auto" w:fill="auto"/>
            <w:noWrap/>
            <w:vAlign w:val="bottom"/>
            <w:hideMark/>
          </w:tcPr>
          <w:p w14:paraId="0F68A0A5"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3BE79BF4"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3F56BA74"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67D2E18F"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7B345E06" w14:textId="77777777" w:rsidR="005C2F04" w:rsidRDefault="00072C48">
            <w:pPr>
              <w:spacing w:after="0" w:line="240" w:lineRule="auto"/>
              <w:jc w:val="left"/>
              <w:rPr>
                <w:rFonts w:eastAsia="Times New Roman" w:cs="Times New Roman"/>
                <w:szCs w:val="24"/>
              </w:rPr>
            </w:pPr>
            <w:r>
              <w:rPr>
                <w:rFonts w:eastAsia="Times New Roman" w:cs="Times New Roman"/>
                <w:szCs w:val="24"/>
              </w:rPr>
              <w:t>Current Assets</w:t>
            </w:r>
          </w:p>
        </w:tc>
        <w:tc>
          <w:tcPr>
            <w:tcW w:w="1364" w:type="dxa"/>
            <w:tcBorders>
              <w:top w:val="nil"/>
              <w:left w:val="nil"/>
              <w:bottom w:val="single" w:sz="4" w:space="0" w:color="auto"/>
              <w:right w:val="single" w:sz="4" w:space="0" w:color="auto"/>
            </w:tcBorders>
            <w:shd w:val="clear" w:color="auto" w:fill="auto"/>
            <w:noWrap/>
            <w:vAlign w:val="bottom"/>
            <w:hideMark/>
          </w:tcPr>
          <w:p w14:paraId="230805CA"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05D2E8B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07371951"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57BFECC5"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20242070"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Trade receivable </w:t>
            </w:r>
          </w:p>
        </w:tc>
        <w:tc>
          <w:tcPr>
            <w:tcW w:w="1364" w:type="dxa"/>
            <w:tcBorders>
              <w:top w:val="nil"/>
              <w:left w:val="nil"/>
              <w:bottom w:val="single" w:sz="4" w:space="0" w:color="auto"/>
              <w:right w:val="single" w:sz="4" w:space="0" w:color="auto"/>
            </w:tcBorders>
            <w:shd w:val="clear" w:color="auto" w:fill="auto"/>
            <w:noWrap/>
            <w:vAlign w:val="bottom"/>
            <w:hideMark/>
          </w:tcPr>
          <w:p w14:paraId="24FD3B56" w14:textId="77777777" w:rsidR="005C2F04" w:rsidRDefault="00072C48">
            <w:pPr>
              <w:spacing w:after="0" w:line="240" w:lineRule="auto"/>
              <w:jc w:val="right"/>
              <w:rPr>
                <w:rFonts w:eastAsia="Times New Roman" w:cs="Times New Roman"/>
                <w:szCs w:val="24"/>
              </w:rPr>
            </w:pPr>
            <w:r>
              <w:rPr>
                <w:rFonts w:eastAsia="Times New Roman" w:cs="Times New Roman"/>
                <w:szCs w:val="24"/>
              </w:rPr>
              <w:t>170,125</w:t>
            </w:r>
          </w:p>
        </w:tc>
        <w:tc>
          <w:tcPr>
            <w:tcW w:w="1428" w:type="dxa"/>
            <w:tcBorders>
              <w:top w:val="nil"/>
              <w:left w:val="nil"/>
              <w:bottom w:val="single" w:sz="4" w:space="0" w:color="auto"/>
              <w:right w:val="single" w:sz="4" w:space="0" w:color="auto"/>
            </w:tcBorders>
            <w:shd w:val="clear" w:color="auto" w:fill="auto"/>
            <w:noWrap/>
            <w:vAlign w:val="bottom"/>
            <w:hideMark/>
          </w:tcPr>
          <w:p w14:paraId="21DA1322"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461CBE5E"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151C0A64"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78EB2C7C" w14:textId="77777777" w:rsidR="005C2F04" w:rsidRDefault="00072C48">
            <w:pPr>
              <w:spacing w:after="0" w:line="240" w:lineRule="auto"/>
              <w:jc w:val="left"/>
              <w:rPr>
                <w:rFonts w:eastAsia="Times New Roman" w:cs="Times New Roman"/>
                <w:szCs w:val="24"/>
              </w:rPr>
            </w:pPr>
            <w:r>
              <w:rPr>
                <w:rFonts w:eastAsia="Times New Roman" w:cs="Times New Roman"/>
                <w:szCs w:val="24"/>
              </w:rPr>
              <w:t>Add: new sale</w:t>
            </w:r>
          </w:p>
        </w:tc>
        <w:tc>
          <w:tcPr>
            <w:tcW w:w="1364" w:type="dxa"/>
            <w:tcBorders>
              <w:top w:val="nil"/>
              <w:left w:val="nil"/>
              <w:bottom w:val="single" w:sz="4" w:space="0" w:color="auto"/>
              <w:right w:val="single" w:sz="4" w:space="0" w:color="auto"/>
            </w:tcBorders>
            <w:shd w:val="clear" w:color="auto" w:fill="auto"/>
            <w:noWrap/>
            <w:vAlign w:val="bottom"/>
            <w:hideMark/>
          </w:tcPr>
          <w:p w14:paraId="711698F7" w14:textId="77777777" w:rsidR="005C2F04" w:rsidRDefault="00072C48">
            <w:pPr>
              <w:spacing w:after="0" w:line="240" w:lineRule="auto"/>
              <w:jc w:val="right"/>
              <w:rPr>
                <w:rFonts w:eastAsia="Times New Roman" w:cs="Times New Roman"/>
                <w:szCs w:val="24"/>
              </w:rPr>
            </w:pPr>
            <w:r>
              <w:rPr>
                <w:rFonts w:eastAsia="Times New Roman" w:cs="Times New Roman"/>
                <w:szCs w:val="24"/>
              </w:rPr>
              <w:t>980</w:t>
            </w:r>
          </w:p>
        </w:tc>
        <w:tc>
          <w:tcPr>
            <w:tcW w:w="1428" w:type="dxa"/>
            <w:tcBorders>
              <w:top w:val="nil"/>
              <w:left w:val="nil"/>
              <w:bottom w:val="single" w:sz="4" w:space="0" w:color="auto"/>
              <w:right w:val="single" w:sz="4" w:space="0" w:color="auto"/>
            </w:tcBorders>
            <w:shd w:val="clear" w:color="auto" w:fill="auto"/>
            <w:noWrap/>
            <w:vAlign w:val="bottom"/>
            <w:hideMark/>
          </w:tcPr>
          <w:p w14:paraId="0AF728C1" w14:textId="77777777" w:rsidR="005C2F04" w:rsidRDefault="00072C48">
            <w:pPr>
              <w:spacing w:after="0" w:line="240" w:lineRule="auto"/>
              <w:jc w:val="right"/>
              <w:rPr>
                <w:rFonts w:eastAsia="Times New Roman" w:cs="Times New Roman"/>
                <w:szCs w:val="24"/>
              </w:rPr>
            </w:pPr>
            <w:r>
              <w:rPr>
                <w:rFonts w:eastAsia="Times New Roman" w:cs="Times New Roman"/>
                <w:szCs w:val="24"/>
              </w:rPr>
              <w:t>171,105</w:t>
            </w:r>
          </w:p>
        </w:tc>
        <w:tc>
          <w:tcPr>
            <w:tcW w:w="1407" w:type="dxa"/>
            <w:tcBorders>
              <w:top w:val="nil"/>
              <w:left w:val="nil"/>
              <w:bottom w:val="single" w:sz="4" w:space="0" w:color="auto"/>
              <w:right w:val="single" w:sz="4" w:space="0" w:color="auto"/>
            </w:tcBorders>
            <w:shd w:val="clear" w:color="auto" w:fill="auto"/>
            <w:noWrap/>
            <w:vAlign w:val="bottom"/>
            <w:hideMark/>
          </w:tcPr>
          <w:p w14:paraId="46E332AE"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359EACDA"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6FC7553F"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Cash and bank </w:t>
            </w:r>
          </w:p>
        </w:tc>
        <w:tc>
          <w:tcPr>
            <w:tcW w:w="1364" w:type="dxa"/>
            <w:tcBorders>
              <w:top w:val="nil"/>
              <w:left w:val="nil"/>
              <w:bottom w:val="single" w:sz="4" w:space="0" w:color="auto"/>
              <w:right w:val="single" w:sz="4" w:space="0" w:color="auto"/>
            </w:tcBorders>
            <w:shd w:val="clear" w:color="auto" w:fill="auto"/>
            <w:noWrap/>
            <w:vAlign w:val="bottom"/>
            <w:hideMark/>
          </w:tcPr>
          <w:p w14:paraId="4D1E578F"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2011E497" w14:textId="77777777" w:rsidR="005C2F04" w:rsidRDefault="00072C48">
            <w:pPr>
              <w:spacing w:after="0" w:line="240" w:lineRule="auto"/>
              <w:jc w:val="right"/>
              <w:rPr>
                <w:rFonts w:eastAsia="Times New Roman" w:cs="Times New Roman"/>
                <w:szCs w:val="24"/>
              </w:rPr>
            </w:pPr>
            <w:r>
              <w:rPr>
                <w:rFonts w:eastAsia="Times New Roman" w:cs="Times New Roman"/>
                <w:szCs w:val="24"/>
              </w:rPr>
              <w:t>76,250</w:t>
            </w:r>
          </w:p>
        </w:tc>
        <w:tc>
          <w:tcPr>
            <w:tcW w:w="1407" w:type="dxa"/>
            <w:tcBorders>
              <w:top w:val="nil"/>
              <w:left w:val="nil"/>
              <w:bottom w:val="single" w:sz="4" w:space="0" w:color="auto"/>
              <w:right w:val="single" w:sz="4" w:space="0" w:color="auto"/>
            </w:tcBorders>
            <w:shd w:val="clear" w:color="auto" w:fill="auto"/>
            <w:noWrap/>
            <w:vAlign w:val="bottom"/>
            <w:hideMark/>
          </w:tcPr>
          <w:p w14:paraId="697B2DF3"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48DC5421" w14:textId="77777777">
        <w:trPr>
          <w:trHeight w:val="331"/>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2359FE6A" w14:textId="77777777" w:rsidR="005C2F04" w:rsidRDefault="00072C48">
            <w:pPr>
              <w:spacing w:after="0" w:line="240" w:lineRule="auto"/>
              <w:jc w:val="left"/>
              <w:rPr>
                <w:rFonts w:eastAsia="Times New Roman" w:cs="Times New Roman"/>
                <w:szCs w:val="24"/>
              </w:rPr>
            </w:pPr>
            <w:r>
              <w:rPr>
                <w:rFonts w:eastAsia="Times New Roman" w:cs="Times New Roman"/>
                <w:szCs w:val="24"/>
              </w:rPr>
              <w:t>Stock on 31</w:t>
            </w:r>
            <w:r>
              <w:rPr>
                <w:rFonts w:eastAsia="Times New Roman" w:cs="Times New Roman"/>
                <w:szCs w:val="24"/>
                <w:vertAlign w:val="superscript"/>
              </w:rPr>
              <w:t>st</w:t>
            </w:r>
            <w:r>
              <w:rPr>
                <w:rFonts w:eastAsia="Times New Roman" w:cs="Times New Roman"/>
                <w:szCs w:val="24"/>
              </w:rPr>
              <w:t xml:space="preserve"> December 2021 </w:t>
            </w:r>
          </w:p>
        </w:tc>
        <w:tc>
          <w:tcPr>
            <w:tcW w:w="1364" w:type="dxa"/>
            <w:tcBorders>
              <w:top w:val="nil"/>
              <w:left w:val="nil"/>
              <w:bottom w:val="single" w:sz="4" w:space="0" w:color="auto"/>
              <w:right w:val="single" w:sz="4" w:space="0" w:color="auto"/>
            </w:tcBorders>
            <w:shd w:val="clear" w:color="auto" w:fill="auto"/>
            <w:noWrap/>
            <w:vAlign w:val="bottom"/>
            <w:hideMark/>
          </w:tcPr>
          <w:p w14:paraId="4E81EC78"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695987C4" w14:textId="77777777" w:rsidR="005C2F04" w:rsidRDefault="00072C48">
            <w:pPr>
              <w:spacing w:after="0" w:line="240" w:lineRule="auto"/>
              <w:jc w:val="right"/>
              <w:rPr>
                <w:rFonts w:eastAsia="Times New Roman" w:cs="Times New Roman"/>
                <w:szCs w:val="24"/>
              </w:rPr>
            </w:pPr>
            <w:r>
              <w:rPr>
                <w:rFonts w:eastAsia="Times New Roman" w:cs="Times New Roman"/>
                <w:szCs w:val="24"/>
              </w:rPr>
              <w:t>330,600</w:t>
            </w:r>
          </w:p>
        </w:tc>
        <w:tc>
          <w:tcPr>
            <w:tcW w:w="1407" w:type="dxa"/>
            <w:tcBorders>
              <w:top w:val="nil"/>
              <w:left w:val="nil"/>
              <w:bottom w:val="single" w:sz="4" w:space="0" w:color="auto"/>
              <w:right w:val="single" w:sz="4" w:space="0" w:color="auto"/>
            </w:tcBorders>
            <w:shd w:val="clear" w:color="auto" w:fill="auto"/>
            <w:noWrap/>
            <w:vAlign w:val="bottom"/>
            <w:hideMark/>
          </w:tcPr>
          <w:p w14:paraId="2ABA51AE"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4DC4396E"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4794609C" w14:textId="77777777" w:rsidR="005C2F04" w:rsidRDefault="00072C48">
            <w:pPr>
              <w:spacing w:after="0" w:line="240" w:lineRule="auto"/>
              <w:jc w:val="right"/>
              <w:rPr>
                <w:rFonts w:eastAsia="Times New Roman" w:cs="Times New Roman"/>
                <w:szCs w:val="24"/>
              </w:rPr>
            </w:pPr>
            <w:r>
              <w:rPr>
                <w:rFonts w:eastAsia="Times New Roman" w:cs="Times New Roman"/>
                <w:szCs w:val="24"/>
              </w:rPr>
              <w:t>Total current assets</w:t>
            </w:r>
          </w:p>
        </w:tc>
        <w:tc>
          <w:tcPr>
            <w:tcW w:w="1364" w:type="dxa"/>
            <w:tcBorders>
              <w:top w:val="nil"/>
              <w:left w:val="nil"/>
              <w:bottom w:val="single" w:sz="4" w:space="0" w:color="auto"/>
              <w:right w:val="single" w:sz="4" w:space="0" w:color="auto"/>
            </w:tcBorders>
            <w:shd w:val="clear" w:color="auto" w:fill="auto"/>
            <w:noWrap/>
            <w:vAlign w:val="bottom"/>
            <w:hideMark/>
          </w:tcPr>
          <w:p w14:paraId="224B2CB8"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38FF65D6"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38F29829" w14:textId="77777777" w:rsidR="005C2F04" w:rsidRDefault="00072C48">
            <w:pPr>
              <w:spacing w:after="0" w:line="240" w:lineRule="auto"/>
              <w:jc w:val="right"/>
              <w:rPr>
                <w:rFonts w:eastAsia="Times New Roman" w:cs="Times New Roman"/>
                <w:szCs w:val="24"/>
              </w:rPr>
            </w:pPr>
            <w:r>
              <w:rPr>
                <w:rFonts w:eastAsia="Times New Roman" w:cs="Times New Roman"/>
                <w:szCs w:val="24"/>
              </w:rPr>
              <w:t>577,955</w:t>
            </w:r>
          </w:p>
        </w:tc>
      </w:tr>
      <w:tr w:rsidR="005C2F04" w14:paraId="00A48394"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7BDC174F" w14:textId="77777777" w:rsidR="005C2F04" w:rsidRDefault="00072C48">
            <w:pPr>
              <w:spacing w:after="0" w:line="240" w:lineRule="auto"/>
              <w:jc w:val="left"/>
              <w:rPr>
                <w:rFonts w:eastAsia="Times New Roman" w:cs="Times New Roman"/>
                <w:szCs w:val="24"/>
              </w:rPr>
            </w:pPr>
            <w:r>
              <w:rPr>
                <w:rFonts w:eastAsia="Times New Roman" w:cs="Times New Roman"/>
                <w:szCs w:val="24"/>
              </w:rPr>
              <w:t>Non-current assets</w:t>
            </w:r>
          </w:p>
        </w:tc>
        <w:tc>
          <w:tcPr>
            <w:tcW w:w="1364" w:type="dxa"/>
            <w:tcBorders>
              <w:top w:val="nil"/>
              <w:left w:val="nil"/>
              <w:bottom w:val="single" w:sz="4" w:space="0" w:color="auto"/>
              <w:right w:val="single" w:sz="4" w:space="0" w:color="auto"/>
            </w:tcBorders>
            <w:shd w:val="clear" w:color="auto" w:fill="auto"/>
            <w:noWrap/>
            <w:vAlign w:val="bottom"/>
            <w:hideMark/>
          </w:tcPr>
          <w:p w14:paraId="4577368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097474A6"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53ABCB56"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1C0FAC5D"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4258765E"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Plant and equipment </w:t>
            </w:r>
          </w:p>
        </w:tc>
        <w:tc>
          <w:tcPr>
            <w:tcW w:w="1364" w:type="dxa"/>
            <w:tcBorders>
              <w:top w:val="nil"/>
              <w:left w:val="nil"/>
              <w:bottom w:val="single" w:sz="4" w:space="0" w:color="auto"/>
              <w:right w:val="single" w:sz="4" w:space="0" w:color="auto"/>
            </w:tcBorders>
            <w:shd w:val="clear" w:color="auto" w:fill="auto"/>
            <w:noWrap/>
            <w:vAlign w:val="bottom"/>
            <w:hideMark/>
          </w:tcPr>
          <w:p w14:paraId="56C1D76E"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65726FC0" w14:textId="77777777" w:rsidR="005C2F04" w:rsidRDefault="00072C48">
            <w:pPr>
              <w:spacing w:after="0" w:line="240" w:lineRule="auto"/>
              <w:jc w:val="right"/>
              <w:rPr>
                <w:rFonts w:eastAsia="Times New Roman" w:cs="Times New Roman"/>
                <w:szCs w:val="24"/>
              </w:rPr>
            </w:pPr>
            <w:r>
              <w:rPr>
                <w:rFonts w:eastAsia="Times New Roman" w:cs="Times New Roman"/>
                <w:szCs w:val="24"/>
              </w:rPr>
              <w:t>650,000</w:t>
            </w:r>
          </w:p>
        </w:tc>
        <w:tc>
          <w:tcPr>
            <w:tcW w:w="1407" w:type="dxa"/>
            <w:tcBorders>
              <w:top w:val="nil"/>
              <w:left w:val="nil"/>
              <w:bottom w:val="single" w:sz="4" w:space="0" w:color="auto"/>
              <w:right w:val="single" w:sz="4" w:space="0" w:color="auto"/>
            </w:tcBorders>
            <w:shd w:val="clear" w:color="auto" w:fill="auto"/>
            <w:noWrap/>
            <w:vAlign w:val="bottom"/>
            <w:hideMark/>
          </w:tcPr>
          <w:p w14:paraId="7235FBF4" w14:textId="77777777" w:rsidR="005C2F04" w:rsidRDefault="00072C48">
            <w:pPr>
              <w:spacing w:after="0" w:line="240" w:lineRule="auto"/>
              <w:jc w:val="right"/>
              <w:rPr>
                <w:rFonts w:eastAsia="Times New Roman" w:cs="Times New Roman"/>
                <w:szCs w:val="24"/>
              </w:rPr>
            </w:pPr>
            <w:r>
              <w:rPr>
                <w:rFonts w:eastAsia="Times New Roman" w:cs="Times New Roman"/>
                <w:szCs w:val="24"/>
              </w:rPr>
              <w:t>650,000</w:t>
            </w:r>
          </w:p>
        </w:tc>
      </w:tr>
      <w:tr w:rsidR="005C2F04" w14:paraId="246813AB"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205434D8" w14:textId="77777777" w:rsidR="005C2F04" w:rsidRDefault="00072C48">
            <w:pPr>
              <w:spacing w:after="0" w:line="240" w:lineRule="auto"/>
              <w:jc w:val="right"/>
              <w:rPr>
                <w:rFonts w:eastAsia="Times New Roman" w:cs="Times New Roman"/>
                <w:b/>
                <w:bCs/>
                <w:szCs w:val="24"/>
              </w:rPr>
            </w:pPr>
            <w:r>
              <w:rPr>
                <w:rFonts w:eastAsia="Times New Roman" w:cs="Times New Roman"/>
                <w:b/>
                <w:bCs/>
                <w:szCs w:val="24"/>
              </w:rPr>
              <w:t>Total assets</w:t>
            </w:r>
          </w:p>
        </w:tc>
        <w:tc>
          <w:tcPr>
            <w:tcW w:w="1364" w:type="dxa"/>
            <w:tcBorders>
              <w:top w:val="nil"/>
              <w:left w:val="nil"/>
              <w:bottom w:val="single" w:sz="4" w:space="0" w:color="auto"/>
              <w:right w:val="single" w:sz="4" w:space="0" w:color="auto"/>
            </w:tcBorders>
            <w:shd w:val="clear" w:color="auto" w:fill="auto"/>
            <w:noWrap/>
            <w:vAlign w:val="bottom"/>
            <w:hideMark/>
          </w:tcPr>
          <w:p w14:paraId="597BF9C4"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0429AFFF"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4E516A4E" w14:textId="77777777" w:rsidR="005C2F04" w:rsidRDefault="00072C48">
            <w:pPr>
              <w:spacing w:after="0" w:line="240" w:lineRule="auto"/>
              <w:jc w:val="right"/>
              <w:rPr>
                <w:rFonts w:eastAsia="Times New Roman" w:cs="Times New Roman"/>
                <w:b/>
                <w:bCs/>
                <w:szCs w:val="24"/>
                <w:u w:val="double"/>
              </w:rPr>
            </w:pPr>
            <w:r>
              <w:rPr>
                <w:rFonts w:eastAsia="Times New Roman" w:cs="Times New Roman"/>
                <w:b/>
                <w:bCs/>
                <w:szCs w:val="24"/>
                <w:u w:val="double"/>
              </w:rPr>
              <w:t>1,227,955</w:t>
            </w:r>
          </w:p>
        </w:tc>
      </w:tr>
      <w:tr w:rsidR="005C2F04" w14:paraId="7628694E"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47C75F16"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64" w:type="dxa"/>
            <w:tcBorders>
              <w:top w:val="nil"/>
              <w:left w:val="nil"/>
              <w:bottom w:val="single" w:sz="4" w:space="0" w:color="auto"/>
              <w:right w:val="single" w:sz="4" w:space="0" w:color="auto"/>
            </w:tcBorders>
            <w:shd w:val="clear" w:color="auto" w:fill="auto"/>
            <w:noWrap/>
            <w:vAlign w:val="bottom"/>
            <w:hideMark/>
          </w:tcPr>
          <w:p w14:paraId="4697B246"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449EF4C1"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21207B56"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47F2151C"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075CD817" w14:textId="77777777" w:rsidR="005C2F04" w:rsidRDefault="00072C48">
            <w:pPr>
              <w:spacing w:after="0" w:line="240" w:lineRule="auto"/>
              <w:jc w:val="center"/>
              <w:rPr>
                <w:rFonts w:eastAsia="Times New Roman" w:cs="Times New Roman"/>
                <w:b/>
                <w:bCs/>
                <w:szCs w:val="24"/>
              </w:rPr>
            </w:pPr>
            <w:r>
              <w:rPr>
                <w:rFonts w:eastAsia="Times New Roman" w:cs="Times New Roman"/>
                <w:b/>
                <w:bCs/>
                <w:szCs w:val="24"/>
              </w:rPr>
              <w:t>Liabilities and owners’ equity</w:t>
            </w:r>
          </w:p>
        </w:tc>
        <w:tc>
          <w:tcPr>
            <w:tcW w:w="1364" w:type="dxa"/>
            <w:tcBorders>
              <w:top w:val="nil"/>
              <w:left w:val="nil"/>
              <w:bottom w:val="single" w:sz="4" w:space="0" w:color="auto"/>
              <w:right w:val="single" w:sz="4" w:space="0" w:color="auto"/>
            </w:tcBorders>
            <w:shd w:val="clear" w:color="auto" w:fill="auto"/>
            <w:noWrap/>
            <w:vAlign w:val="bottom"/>
            <w:hideMark/>
          </w:tcPr>
          <w:p w14:paraId="0FDA9C7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50B20861"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58F84814"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4F38972B"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2D20B7F4" w14:textId="77777777" w:rsidR="005C2F04" w:rsidRDefault="00072C48">
            <w:pPr>
              <w:spacing w:after="0" w:line="240" w:lineRule="auto"/>
              <w:jc w:val="left"/>
              <w:rPr>
                <w:rFonts w:eastAsia="Times New Roman" w:cs="Times New Roman"/>
                <w:b/>
                <w:bCs/>
                <w:szCs w:val="24"/>
              </w:rPr>
            </w:pPr>
            <w:r>
              <w:rPr>
                <w:rFonts w:eastAsia="Times New Roman" w:cs="Times New Roman"/>
                <w:b/>
                <w:bCs/>
                <w:szCs w:val="24"/>
              </w:rPr>
              <w:t>Current Liability</w:t>
            </w:r>
          </w:p>
        </w:tc>
        <w:tc>
          <w:tcPr>
            <w:tcW w:w="1364" w:type="dxa"/>
            <w:tcBorders>
              <w:top w:val="nil"/>
              <w:left w:val="nil"/>
              <w:bottom w:val="single" w:sz="4" w:space="0" w:color="auto"/>
              <w:right w:val="single" w:sz="4" w:space="0" w:color="auto"/>
            </w:tcBorders>
            <w:shd w:val="clear" w:color="auto" w:fill="auto"/>
            <w:noWrap/>
            <w:vAlign w:val="bottom"/>
            <w:hideMark/>
          </w:tcPr>
          <w:p w14:paraId="5B3DCAE1"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6C9CFF44"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5DF9B243"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7E54BA6F"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490C3CDD"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Trade payable </w:t>
            </w:r>
          </w:p>
        </w:tc>
        <w:tc>
          <w:tcPr>
            <w:tcW w:w="1364" w:type="dxa"/>
            <w:tcBorders>
              <w:top w:val="nil"/>
              <w:left w:val="nil"/>
              <w:bottom w:val="single" w:sz="4" w:space="0" w:color="auto"/>
              <w:right w:val="single" w:sz="4" w:space="0" w:color="auto"/>
            </w:tcBorders>
            <w:shd w:val="clear" w:color="auto" w:fill="auto"/>
            <w:noWrap/>
            <w:vAlign w:val="bottom"/>
            <w:hideMark/>
          </w:tcPr>
          <w:p w14:paraId="7587C7DE"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750B8AD4" w14:textId="77777777" w:rsidR="005C2F04" w:rsidRDefault="00072C48">
            <w:pPr>
              <w:spacing w:after="0" w:line="240" w:lineRule="auto"/>
              <w:jc w:val="right"/>
              <w:rPr>
                <w:rFonts w:eastAsia="Times New Roman" w:cs="Times New Roman"/>
                <w:szCs w:val="24"/>
              </w:rPr>
            </w:pPr>
            <w:r>
              <w:rPr>
                <w:rFonts w:eastAsia="Times New Roman" w:cs="Times New Roman"/>
                <w:szCs w:val="24"/>
              </w:rPr>
              <w:t>188,625</w:t>
            </w:r>
          </w:p>
        </w:tc>
        <w:tc>
          <w:tcPr>
            <w:tcW w:w="1407" w:type="dxa"/>
            <w:tcBorders>
              <w:top w:val="nil"/>
              <w:left w:val="nil"/>
              <w:bottom w:val="single" w:sz="4" w:space="0" w:color="auto"/>
              <w:right w:val="single" w:sz="4" w:space="0" w:color="auto"/>
            </w:tcBorders>
            <w:shd w:val="clear" w:color="auto" w:fill="auto"/>
            <w:noWrap/>
            <w:vAlign w:val="bottom"/>
            <w:hideMark/>
          </w:tcPr>
          <w:p w14:paraId="56D9D888"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062BE1C2"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13813D25" w14:textId="77777777" w:rsidR="005C2F04" w:rsidRDefault="00072C48">
            <w:pPr>
              <w:spacing w:after="0" w:line="240" w:lineRule="auto"/>
              <w:jc w:val="left"/>
              <w:rPr>
                <w:rFonts w:eastAsia="Times New Roman" w:cs="Times New Roman"/>
                <w:szCs w:val="24"/>
              </w:rPr>
            </w:pPr>
            <w:r>
              <w:rPr>
                <w:rFonts w:eastAsia="Times New Roman" w:cs="Times New Roman"/>
                <w:szCs w:val="24"/>
              </w:rPr>
              <w:t>Commission payable</w:t>
            </w:r>
          </w:p>
        </w:tc>
        <w:tc>
          <w:tcPr>
            <w:tcW w:w="1364" w:type="dxa"/>
            <w:tcBorders>
              <w:top w:val="nil"/>
              <w:left w:val="nil"/>
              <w:bottom w:val="single" w:sz="4" w:space="0" w:color="auto"/>
              <w:right w:val="single" w:sz="4" w:space="0" w:color="auto"/>
            </w:tcBorders>
            <w:shd w:val="clear" w:color="auto" w:fill="auto"/>
            <w:noWrap/>
            <w:vAlign w:val="bottom"/>
            <w:hideMark/>
          </w:tcPr>
          <w:p w14:paraId="601381FE"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676EC709" w14:textId="77777777" w:rsidR="005C2F04" w:rsidRDefault="00072C48">
            <w:pPr>
              <w:spacing w:after="0" w:line="240" w:lineRule="auto"/>
              <w:jc w:val="right"/>
              <w:rPr>
                <w:rFonts w:eastAsia="Times New Roman" w:cs="Times New Roman"/>
                <w:szCs w:val="24"/>
              </w:rPr>
            </w:pPr>
            <w:r>
              <w:rPr>
                <w:rFonts w:eastAsia="Times New Roman" w:cs="Times New Roman"/>
                <w:szCs w:val="24"/>
              </w:rPr>
              <w:t>3000</w:t>
            </w:r>
          </w:p>
        </w:tc>
        <w:tc>
          <w:tcPr>
            <w:tcW w:w="1407" w:type="dxa"/>
            <w:tcBorders>
              <w:top w:val="nil"/>
              <w:left w:val="nil"/>
              <w:bottom w:val="single" w:sz="4" w:space="0" w:color="auto"/>
              <w:right w:val="single" w:sz="4" w:space="0" w:color="auto"/>
            </w:tcBorders>
            <w:shd w:val="clear" w:color="auto" w:fill="auto"/>
            <w:noWrap/>
            <w:vAlign w:val="bottom"/>
            <w:hideMark/>
          </w:tcPr>
          <w:p w14:paraId="1FD69557"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6DE8C8DC"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5C8076F6" w14:textId="77777777" w:rsidR="005C2F04" w:rsidRDefault="00072C48">
            <w:pPr>
              <w:spacing w:after="0" w:line="240" w:lineRule="auto"/>
              <w:jc w:val="left"/>
              <w:rPr>
                <w:rFonts w:eastAsia="Times New Roman" w:cs="Times New Roman"/>
                <w:szCs w:val="24"/>
              </w:rPr>
            </w:pPr>
            <w:r>
              <w:rPr>
                <w:rFonts w:eastAsia="Times New Roman" w:cs="Times New Roman"/>
                <w:szCs w:val="24"/>
              </w:rPr>
              <w:t>Interest payable</w:t>
            </w:r>
          </w:p>
        </w:tc>
        <w:tc>
          <w:tcPr>
            <w:tcW w:w="1364" w:type="dxa"/>
            <w:tcBorders>
              <w:top w:val="nil"/>
              <w:left w:val="nil"/>
              <w:bottom w:val="single" w:sz="4" w:space="0" w:color="auto"/>
              <w:right w:val="single" w:sz="4" w:space="0" w:color="auto"/>
            </w:tcBorders>
            <w:shd w:val="clear" w:color="auto" w:fill="auto"/>
            <w:noWrap/>
            <w:vAlign w:val="bottom"/>
            <w:hideMark/>
          </w:tcPr>
          <w:p w14:paraId="4760B101"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637353F2" w14:textId="77777777" w:rsidR="005C2F04" w:rsidRDefault="00072C48">
            <w:pPr>
              <w:spacing w:after="0" w:line="240" w:lineRule="auto"/>
              <w:jc w:val="right"/>
              <w:rPr>
                <w:rFonts w:eastAsia="Times New Roman" w:cs="Times New Roman"/>
                <w:szCs w:val="24"/>
              </w:rPr>
            </w:pPr>
            <w:r>
              <w:rPr>
                <w:rFonts w:eastAsia="Times New Roman" w:cs="Times New Roman"/>
                <w:szCs w:val="24"/>
              </w:rPr>
              <w:t>2000</w:t>
            </w:r>
          </w:p>
        </w:tc>
        <w:tc>
          <w:tcPr>
            <w:tcW w:w="1407" w:type="dxa"/>
            <w:tcBorders>
              <w:top w:val="nil"/>
              <w:left w:val="nil"/>
              <w:bottom w:val="single" w:sz="4" w:space="0" w:color="auto"/>
              <w:right w:val="single" w:sz="4" w:space="0" w:color="auto"/>
            </w:tcBorders>
            <w:shd w:val="clear" w:color="auto" w:fill="auto"/>
            <w:noWrap/>
            <w:vAlign w:val="bottom"/>
            <w:hideMark/>
          </w:tcPr>
          <w:p w14:paraId="5A6849E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6F53FA27"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166E8FDE" w14:textId="77777777" w:rsidR="005C2F04" w:rsidRDefault="00072C48">
            <w:pPr>
              <w:spacing w:after="0" w:line="240" w:lineRule="auto"/>
              <w:jc w:val="left"/>
              <w:rPr>
                <w:rFonts w:eastAsia="Times New Roman" w:cs="Times New Roman"/>
                <w:szCs w:val="24"/>
              </w:rPr>
            </w:pPr>
            <w:r>
              <w:rPr>
                <w:rFonts w:eastAsia="Times New Roman" w:cs="Times New Roman"/>
                <w:szCs w:val="24"/>
              </w:rPr>
              <w:t>Tax payable</w:t>
            </w:r>
          </w:p>
        </w:tc>
        <w:tc>
          <w:tcPr>
            <w:tcW w:w="1364" w:type="dxa"/>
            <w:tcBorders>
              <w:top w:val="nil"/>
              <w:left w:val="nil"/>
              <w:bottom w:val="single" w:sz="4" w:space="0" w:color="auto"/>
              <w:right w:val="single" w:sz="4" w:space="0" w:color="auto"/>
            </w:tcBorders>
            <w:shd w:val="clear" w:color="auto" w:fill="auto"/>
            <w:noWrap/>
            <w:vAlign w:val="bottom"/>
            <w:hideMark/>
          </w:tcPr>
          <w:p w14:paraId="2A91F983"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3D1DE377" w14:textId="77777777" w:rsidR="005C2F04" w:rsidRDefault="00072C48">
            <w:pPr>
              <w:spacing w:after="0" w:line="240" w:lineRule="auto"/>
              <w:jc w:val="right"/>
              <w:rPr>
                <w:rFonts w:eastAsia="Times New Roman" w:cs="Times New Roman"/>
                <w:szCs w:val="24"/>
              </w:rPr>
            </w:pPr>
            <w:r>
              <w:rPr>
                <w:rFonts w:eastAsia="Times New Roman" w:cs="Times New Roman"/>
                <w:szCs w:val="24"/>
              </w:rPr>
              <w:t>100000</w:t>
            </w:r>
          </w:p>
        </w:tc>
        <w:tc>
          <w:tcPr>
            <w:tcW w:w="1407" w:type="dxa"/>
            <w:tcBorders>
              <w:top w:val="nil"/>
              <w:left w:val="nil"/>
              <w:bottom w:val="single" w:sz="4" w:space="0" w:color="auto"/>
              <w:right w:val="single" w:sz="4" w:space="0" w:color="auto"/>
            </w:tcBorders>
            <w:shd w:val="clear" w:color="auto" w:fill="auto"/>
            <w:noWrap/>
            <w:vAlign w:val="bottom"/>
            <w:hideMark/>
          </w:tcPr>
          <w:p w14:paraId="3EAC3402"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394B4CF0"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03B0AAAD" w14:textId="77777777" w:rsidR="005C2F04" w:rsidRDefault="00072C48">
            <w:pPr>
              <w:spacing w:after="0" w:line="240" w:lineRule="auto"/>
              <w:jc w:val="right"/>
              <w:rPr>
                <w:rFonts w:eastAsia="Times New Roman" w:cs="Times New Roman"/>
                <w:b/>
                <w:bCs/>
                <w:szCs w:val="24"/>
              </w:rPr>
            </w:pPr>
            <w:r>
              <w:rPr>
                <w:rFonts w:eastAsia="Times New Roman" w:cs="Times New Roman"/>
                <w:b/>
                <w:bCs/>
                <w:szCs w:val="24"/>
              </w:rPr>
              <w:t>Total Current Liability</w:t>
            </w:r>
          </w:p>
        </w:tc>
        <w:tc>
          <w:tcPr>
            <w:tcW w:w="1364" w:type="dxa"/>
            <w:tcBorders>
              <w:top w:val="nil"/>
              <w:left w:val="nil"/>
              <w:bottom w:val="single" w:sz="4" w:space="0" w:color="auto"/>
              <w:right w:val="single" w:sz="4" w:space="0" w:color="auto"/>
            </w:tcBorders>
            <w:shd w:val="clear" w:color="auto" w:fill="auto"/>
            <w:noWrap/>
            <w:vAlign w:val="bottom"/>
            <w:hideMark/>
          </w:tcPr>
          <w:p w14:paraId="2B904FBE"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5A4FFBE5"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497F7228" w14:textId="77777777" w:rsidR="005C2F04" w:rsidRDefault="00072C48">
            <w:pPr>
              <w:spacing w:after="0" w:line="240" w:lineRule="auto"/>
              <w:jc w:val="right"/>
              <w:rPr>
                <w:rFonts w:eastAsia="Times New Roman" w:cs="Times New Roman"/>
                <w:szCs w:val="24"/>
              </w:rPr>
            </w:pPr>
            <w:r>
              <w:rPr>
                <w:rFonts w:eastAsia="Times New Roman" w:cs="Times New Roman"/>
                <w:szCs w:val="24"/>
              </w:rPr>
              <w:t>293,625</w:t>
            </w:r>
          </w:p>
        </w:tc>
      </w:tr>
      <w:tr w:rsidR="005C2F04" w14:paraId="48ADE4A2"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18D355F4" w14:textId="77777777" w:rsidR="005C2F04" w:rsidRDefault="00072C48">
            <w:pPr>
              <w:spacing w:after="0" w:line="240" w:lineRule="auto"/>
              <w:jc w:val="left"/>
              <w:rPr>
                <w:rFonts w:eastAsia="Times New Roman" w:cs="Times New Roman"/>
                <w:b/>
                <w:bCs/>
                <w:szCs w:val="24"/>
              </w:rPr>
            </w:pPr>
            <w:r>
              <w:rPr>
                <w:rFonts w:eastAsia="Times New Roman" w:cs="Times New Roman"/>
                <w:b/>
                <w:bCs/>
                <w:szCs w:val="24"/>
              </w:rPr>
              <w:t>Non-Current Liability</w:t>
            </w:r>
          </w:p>
        </w:tc>
        <w:tc>
          <w:tcPr>
            <w:tcW w:w="1364" w:type="dxa"/>
            <w:tcBorders>
              <w:top w:val="nil"/>
              <w:left w:val="nil"/>
              <w:bottom w:val="single" w:sz="4" w:space="0" w:color="auto"/>
              <w:right w:val="single" w:sz="4" w:space="0" w:color="auto"/>
            </w:tcBorders>
            <w:shd w:val="clear" w:color="auto" w:fill="auto"/>
            <w:noWrap/>
            <w:vAlign w:val="bottom"/>
            <w:hideMark/>
          </w:tcPr>
          <w:p w14:paraId="7E951F0B"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39D4EC0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3870565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304676D3"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5228F331" w14:textId="77777777" w:rsidR="005C2F04" w:rsidRDefault="00072C48">
            <w:pPr>
              <w:spacing w:after="0" w:line="240" w:lineRule="auto"/>
              <w:jc w:val="left"/>
              <w:rPr>
                <w:rFonts w:eastAsia="Times New Roman" w:cs="Times New Roman"/>
                <w:szCs w:val="24"/>
              </w:rPr>
            </w:pPr>
            <w:r>
              <w:rPr>
                <w:rFonts w:eastAsia="Times New Roman" w:cs="Times New Roman"/>
                <w:szCs w:val="24"/>
              </w:rPr>
              <w:t xml:space="preserve">Debentures  </w:t>
            </w:r>
          </w:p>
        </w:tc>
        <w:tc>
          <w:tcPr>
            <w:tcW w:w="1364" w:type="dxa"/>
            <w:tcBorders>
              <w:top w:val="nil"/>
              <w:left w:val="nil"/>
              <w:bottom w:val="single" w:sz="4" w:space="0" w:color="auto"/>
              <w:right w:val="single" w:sz="4" w:space="0" w:color="auto"/>
            </w:tcBorders>
            <w:shd w:val="clear" w:color="auto" w:fill="auto"/>
            <w:noWrap/>
            <w:vAlign w:val="bottom"/>
            <w:hideMark/>
          </w:tcPr>
          <w:p w14:paraId="08067E90"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7C321308" w14:textId="77777777" w:rsidR="005C2F04" w:rsidRDefault="00072C48">
            <w:pPr>
              <w:spacing w:after="0" w:line="240" w:lineRule="auto"/>
              <w:jc w:val="right"/>
              <w:rPr>
                <w:rFonts w:eastAsia="Times New Roman" w:cs="Times New Roman"/>
                <w:szCs w:val="24"/>
              </w:rPr>
            </w:pPr>
            <w:r>
              <w:rPr>
                <w:rFonts w:eastAsia="Times New Roman" w:cs="Times New Roman"/>
                <w:szCs w:val="24"/>
              </w:rPr>
              <w:t>100,000</w:t>
            </w:r>
          </w:p>
        </w:tc>
        <w:tc>
          <w:tcPr>
            <w:tcW w:w="1407" w:type="dxa"/>
            <w:tcBorders>
              <w:top w:val="nil"/>
              <w:left w:val="nil"/>
              <w:bottom w:val="single" w:sz="4" w:space="0" w:color="auto"/>
              <w:right w:val="single" w:sz="4" w:space="0" w:color="auto"/>
            </w:tcBorders>
            <w:shd w:val="clear" w:color="auto" w:fill="auto"/>
            <w:noWrap/>
            <w:vAlign w:val="bottom"/>
            <w:hideMark/>
          </w:tcPr>
          <w:p w14:paraId="28110701" w14:textId="77777777" w:rsidR="005C2F04" w:rsidRDefault="00072C48">
            <w:pPr>
              <w:spacing w:after="0" w:line="240" w:lineRule="auto"/>
              <w:jc w:val="right"/>
              <w:rPr>
                <w:rFonts w:eastAsia="Times New Roman" w:cs="Times New Roman"/>
                <w:szCs w:val="24"/>
              </w:rPr>
            </w:pPr>
            <w:r>
              <w:rPr>
                <w:rFonts w:eastAsia="Times New Roman" w:cs="Times New Roman"/>
                <w:szCs w:val="24"/>
              </w:rPr>
              <w:t>100,000</w:t>
            </w:r>
          </w:p>
        </w:tc>
      </w:tr>
      <w:tr w:rsidR="005C2F04" w14:paraId="4195ED98"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1A493EBE"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64" w:type="dxa"/>
            <w:tcBorders>
              <w:top w:val="nil"/>
              <w:left w:val="nil"/>
              <w:bottom w:val="single" w:sz="4" w:space="0" w:color="auto"/>
              <w:right w:val="single" w:sz="4" w:space="0" w:color="auto"/>
            </w:tcBorders>
            <w:shd w:val="clear" w:color="auto" w:fill="auto"/>
            <w:noWrap/>
            <w:vAlign w:val="bottom"/>
            <w:hideMark/>
          </w:tcPr>
          <w:p w14:paraId="06F8BA72"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0F155C77"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41890BC9"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4C062D7E"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2FC8B650" w14:textId="77777777" w:rsidR="005C2F04" w:rsidRDefault="00072C48">
            <w:pPr>
              <w:spacing w:after="0" w:line="240" w:lineRule="auto"/>
              <w:jc w:val="left"/>
              <w:rPr>
                <w:rFonts w:eastAsia="Times New Roman" w:cs="Times New Roman"/>
                <w:b/>
                <w:bCs/>
                <w:szCs w:val="24"/>
              </w:rPr>
            </w:pPr>
            <w:r>
              <w:rPr>
                <w:rFonts w:eastAsia="Times New Roman" w:cs="Times New Roman"/>
                <w:b/>
                <w:bCs/>
                <w:szCs w:val="24"/>
              </w:rPr>
              <w:t>Owner's Equity</w:t>
            </w:r>
          </w:p>
        </w:tc>
        <w:tc>
          <w:tcPr>
            <w:tcW w:w="1364" w:type="dxa"/>
            <w:tcBorders>
              <w:top w:val="nil"/>
              <w:left w:val="nil"/>
              <w:bottom w:val="single" w:sz="4" w:space="0" w:color="auto"/>
              <w:right w:val="single" w:sz="4" w:space="0" w:color="auto"/>
            </w:tcBorders>
            <w:shd w:val="clear" w:color="auto" w:fill="auto"/>
            <w:noWrap/>
            <w:vAlign w:val="bottom"/>
            <w:hideMark/>
          </w:tcPr>
          <w:p w14:paraId="4206E996"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1E3C071F"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7FE9EBC0" w14:textId="77777777" w:rsidR="005C2F04" w:rsidRDefault="00072C48">
            <w:pPr>
              <w:spacing w:after="0" w:line="240" w:lineRule="auto"/>
              <w:jc w:val="right"/>
              <w:rPr>
                <w:rFonts w:eastAsia="Times New Roman" w:cs="Times New Roman"/>
                <w:szCs w:val="24"/>
              </w:rPr>
            </w:pPr>
            <w:r>
              <w:rPr>
                <w:rFonts w:eastAsia="Times New Roman" w:cs="Times New Roman"/>
                <w:szCs w:val="24"/>
              </w:rPr>
              <w:t>834,330</w:t>
            </w:r>
          </w:p>
        </w:tc>
      </w:tr>
      <w:tr w:rsidR="005C2F04" w14:paraId="18320911"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240C27A5"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364" w:type="dxa"/>
            <w:tcBorders>
              <w:top w:val="nil"/>
              <w:left w:val="nil"/>
              <w:bottom w:val="single" w:sz="4" w:space="0" w:color="auto"/>
              <w:right w:val="single" w:sz="4" w:space="0" w:color="auto"/>
            </w:tcBorders>
            <w:shd w:val="clear" w:color="auto" w:fill="auto"/>
            <w:noWrap/>
            <w:vAlign w:val="bottom"/>
            <w:hideMark/>
          </w:tcPr>
          <w:p w14:paraId="0159BBDD"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6A88B55F"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19A2DE2C"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r>
      <w:tr w:rsidR="005C2F04" w14:paraId="1AF37AEE" w14:textId="77777777">
        <w:trPr>
          <w:trHeight w:val="294"/>
        </w:trPr>
        <w:tc>
          <w:tcPr>
            <w:tcW w:w="5246" w:type="dxa"/>
            <w:tcBorders>
              <w:top w:val="nil"/>
              <w:left w:val="single" w:sz="4" w:space="0" w:color="auto"/>
              <w:bottom w:val="single" w:sz="4" w:space="0" w:color="auto"/>
              <w:right w:val="single" w:sz="4" w:space="0" w:color="auto"/>
            </w:tcBorders>
            <w:shd w:val="clear" w:color="auto" w:fill="auto"/>
            <w:noWrap/>
            <w:vAlign w:val="bottom"/>
            <w:hideMark/>
          </w:tcPr>
          <w:p w14:paraId="529284CD" w14:textId="77777777" w:rsidR="005C2F04" w:rsidRDefault="00072C48">
            <w:pPr>
              <w:spacing w:after="0" w:line="240" w:lineRule="auto"/>
              <w:jc w:val="right"/>
              <w:rPr>
                <w:rFonts w:eastAsia="Times New Roman" w:cs="Times New Roman"/>
                <w:b/>
                <w:bCs/>
                <w:szCs w:val="24"/>
              </w:rPr>
            </w:pPr>
            <w:r>
              <w:rPr>
                <w:rFonts w:eastAsia="Times New Roman" w:cs="Times New Roman"/>
                <w:b/>
                <w:bCs/>
                <w:szCs w:val="24"/>
              </w:rPr>
              <w:t>Total Liabilities and owners’ equity</w:t>
            </w:r>
          </w:p>
        </w:tc>
        <w:tc>
          <w:tcPr>
            <w:tcW w:w="1364" w:type="dxa"/>
            <w:tcBorders>
              <w:top w:val="nil"/>
              <w:left w:val="nil"/>
              <w:bottom w:val="single" w:sz="4" w:space="0" w:color="auto"/>
              <w:right w:val="single" w:sz="4" w:space="0" w:color="auto"/>
            </w:tcBorders>
            <w:shd w:val="clear" w:color="auto" w:fill="auto"/>
            <w:noWrap/>
            <w:vAlign w:val="bottom"/>
            <w:hideMark/>
          </w:tcPr>
          <w:p w14:paraId="59FD8C14"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28" w:type="dxa"/>
            <w:tcBorders>
              <w:top w:val="nil"/>
              <w:left w:val="nil"/>
              <w:bottom w:val="single" w:sz="4" w:space="0" w:color="auto"/>
              <w:right w:val="single" w:sz="4" w:space="0" w:color="auto"/>
            </w:tcBorders>
            <w:shd w:val="clear" w:color="auto" w:fill="auto"/>
            <w:noWrap/>
            <w:vAlign w:val="bottom"/>
            <w:hideMark/>
          </w:tcPr>
          <w:p w14:paraId="6EF3D2C6" w14:textId="77777777" w:rsidR="005C2F04" w:rsidRDefault="00072C48">
            <w:pPr>
              <w:spacing w:after="0" w:line="240" w:lineRule="auto"/>
              <w:jc w:val="left"/>
              <w:rPr>
                <w:rFonts w:eastAsia="Times New Roman" w:cs="Times New Roman"/>
                <w:szCs w:val="24"/>
              </w:rPr>
            </w:pPr>
            <w:r>
              <w:rPr>
                <w:rFonts w:eastAsia="Times New Roman" w:cs="Times New Roman"/>
                <w:szCs w:val="24"/>
              </w:rPr>
              <w:t> </w:t>
            </w:r>
          </w:p>
        </w:tc>
        <w:tc>
          <w:tcPr>
            <w:tcW w:w="1407" w:type="dxa"/>
            <w:tcBorders>
              <w:top w:val="nil"/>
              <w:left w:val="nil"/>
              <w:bottom w:val="single" w:sz="4" w:space="0" w:color="auto"/>
              <w:right w:val="single" w:sz="4" w:space="0" w:color="auto"/>
            </w:tcBorders>
            <w:shd w:val="clear" w:color="auto" w:fill="auto"/>
            <w:noWrap/>
            <w:vAlign w:val="bottom"/>
            <w:hideMark/>
          </w:tcPr>
          <w:p w14:paraId="1AE9EB45" w14:textId="77777777" w:rsidR="005C2F04" w:rsidRDefault="00072C48">
            <w:pPr>
              <w:spacing w:after="0" w:line="240" w:lineRule="auto"/>
              <w:jc w:val="right"/>
              <w:rPr>
                <w:rFonts w:eastAsia="Times New Roman" w:cs="Times New Roman"/>
                <w:b/>
                <w:bCs/>
                <w:szCs w:val="24"/>
                <w:u w:val="double"/>
              </w:rPr>
            </w:pPr>
            <w:r>
              <w:rPr>
                <w:rFonts w:eastAsia="Times New Roman" w:cs="Times New Roman"/>
                <w:b/>
                <w:bCs/>
                <w:szCs w:val="24"/>
                <w:u w:val="double"/>
              </w:rPr>
              <w:t>1,227,955</w:t>
            </w:r>
          </w:p>
        </w:tc>
      </w:tr>
    </w:tbl>
    <w:p w14:paraId="09BFAD2B" w14:textId="77777777" w:rsidR="005C2F04" w:rsidRDefault="00072C48">
      <w:pPr>
        <w:pStyle w:val="2"/>
        <w:rPr>
          <w:shd w:val="clear" w:color="auto" w:fill="FFFFFF"/>
        </w:rPr>
      </w:pPr>
      <w:r>
        <w:rPr>
          <w:shd w:val="clear" w:color="auto" w:fill="FFFFFF"/>
        </w:rPr>
        <w:br w:type="page"/>
      </w:r>
    </w:p>
    <w:p w14:paraId="196300A6" w14:textId="77777777" w:rsidR="005C2F04" w:rsidRDefault="00072C48">
      <w:pPr>
        <w:pStyle w:val="2"/>
        <w:rPr>
          <w:shd w:val="clear" w:color="auto" w:fill="FFFFFF"/>
        </w:rPr>
      </w:pPr>
      <w:bookmarkStart w:id="3" w:name="_Toc111407406"/>
      <w:r>
        <w:rPr>
          <w:shd w:val="clear" w:color="auto" w:fill="FFFFFF"/>
        </w:rPr>
        <w:t>B) Reason for balancing Balance sheet</w:t>
      </w:r>
      <w:bookmarkEnd w:id="3"/>
    </w:p>
    <w:p w14:paraId="061C925C" w14:textId="77777777" w:rsidR="005C2F04" w:rsidRDefault="00072C48">
      <w:pPr>
        <w:rPr>
          <w:shd w:val="clear" w:color="auto" w:fill="FFFFFF"/>
        </w:rPr>
      </w:pPr>
      <w:r>
        <w:rPr>
          <w:shd w:val="clear" w:color="auto" w:fill="FFFFFF"/>
        </w:rPr>
        <w:t>The overall assets, liabilities, and owner's equity of a firm are presented on the balance sheet or statement of financial position of that company. This balance sheet equalizes properly. Generally speaking, to prepare the balance sheets, it needs to consider two sides as an entry will affect onboth sides. All of an organization's assets are displayed on one side. All obligations and owners' equity are displayed on the opposing side. There are two primary items set aside and three key elements in the statement of financial condition or balance sheet. These three primary headings, assets, liabilities, and owner's equity, are used to record all transactions (Bachri et al., 2021). As detailed below, owner's equity consists of these three components:</w:t>
      </w:r>
    </w:p>
    <w:p w14:paraId="112793CA" w14:textId="77777777" w:rsidR="005C2F04" w:rsidRDefault="00072C48">
      <w:pPr>
        <w:rPr>
          <w:shd w:val="clear" w:color="auto" w:fill="FFFFFF"/>
        </w:rPr>
      </w:pPr>
      <w:r>
        <w:rPr>
          <w:b/>
          <w:bCs/>
          <w:shd w:val="clear" w:color="auto" w:fill="FFFFFF"/>
        </w:rPr>
        <w:t xml:space="preserve">Assets: </w:t>
      </w:r>
      <w:r>
        <w:rPr>
          <w:shd w:val="clear" w:color="auto" w:fill="FFFFFF"/>
        </w:rPr>
        <w:t>Assets are the initial section of a balance sheet that lists and categorize all of a company’s assets. The assets are divided into major groups. They are current debts and assets. Current assets include cash and cash equivalents, accounts receivable, prepaid expenses, stocks, convertible securities, etc. On the other hand, non-current assets include real estate, machinery, buildings, patents, furnishings, and other items (Bustani et al., 2021).</w:t>
      </w:r>
    </w:p>
    <w:p w14:paraId="365D60FC" w14:textId="77777777" w:rsidR="005C2F04" w:rsidRDefault="00072C48">
      <w:pPr>
        <w:rPr>
          <w:shd w:val="clear" w:color="auto" w:fill="FFFFFF"/>
        </w:rPr>
      </w:pPr>
      <w:r>
        <w:rPr>
          <w:b/>
          <w:bCs/>
          <w:shd w:val="clear" w:color="auto" w:fill="FFFFFF"/>
        </w:rPr>
        <w:t>Liabilities:</w:t>
      </w:r>
      <w:r>
        <w:rPr>
          <w:shd w:val="clear" w:color="auto" w:fill="FFFFFF"/>
        </w:rPr>
        <w:t xml:space="preserve"> It is the 2</w:t>
      </w:r>
      <w:r>
        <w:rPr>
          <w:shd w:val="clear" w:color="auto" w:fill="FFFFFF"/>
          <w:vertAlign w:val="superscript"/>
        </w:rPr>
        <w:t>nd</w:t>
      </w:r>
      <w:r>
        <w:rPr>
          <w:shd w:val="clear" w:color="auto" w:fill="FFFFFF"/>
        </w:rPr>
        <w:t xml:space="preserve"> part of the balance sheet which indicates the due or payable amount for an entity. Almost every business has liability except those who operate their activities with cash. For long-term or short-term financing, Company could go for borrowing money (Gajah, 2018). So, liability is another section where the effect has been shown. </w:t>
      </w:r>
    </w:p>
    <w:p w14:paraId="375E6AA8" w14:textId="77777777" w:rsidR="005C2F04" w:rsidRDefault="00072C48">
      <w:pPr>
        <w:rPr>
          <w:shd w:val="clear" w:color="auto" w:fill="FFFFFF"/>
        </w:rPr>
      </w:pPr>
      <w:r>
        <w:rPr>
          <w:b/>
          <w:bCs/>
          <w:shd w:val="clear" w:color="auto" w:fill="FFFFFF"/>
        </w:rPr>
        <w:t>Owner’s Equity:</w:t>
      </w:r>
      <w:r>
        <w:rPr>
          <w:shd w:val="clear" w:color="auto" w:fill="FFFFFF"/>
        </w:rPr>
        <w:t xml:space="preserve">based on this section, the equity statement has been prepared. After preparing the equity statement, the Net balance will be applicable for further adjustment in the balance sheet. Normally, the statement shows how much finance a company has invested in business (Lacombe and Bazinet 2021). </w:t>
      </w:r>
    </w:p>
    <w:p w14:paraId="3C2E70F8" w14:textId="77777777" w:rsidR="005C2F04" w:rsidRDefault="00072C48">
      <w:pPr>
        <w:spacing w:line="259" w:lineRule="auto"/>
        <w:jc w:val="left"/>
        <w:rPr>
          <w:b/>
          <w:bCs/>
          <w:shd w:val="clear" w:color="auto" w:fill="FFFFFF"/>
        </w:rPr>
      </w:pPr>
      <w:r>
        <w:rPr>
          <w:b/>
          <w:bCs/>
          <w:shd w:val="clear" w:color="auto" w:fill="FFFFFF"/>
        </w:rPr>
        <w:br w:type="page"/>
      </w:r>
    </w:p>
    <w:p w14:paraId="5CB0ADF0" w14:textId="77777777" w:rsidR="005C2F04" w:rsidRDefault="00072C48">
      <w:pPr>
        <w:rPr>
          <w:b/>
          <w:bCs/>
          <w:shd w:val="clear" w:color="auto" w:fill="FFFFFF"/>
        </w:rPr>
      </w:pPr>
      <w:r w:rsidRPr="00F562E1">
        <w:rPr>
          <w:b/>
          <w:bCs/>
          <w:shd w:val="clear" w:color="auto" w:fill="FFFFFF"/>
        </w:rPr>
        <w:t>Reason</w:t>
      </w:r>
      <w:r>
        <w:rPr>
          <w:b/>
          <w:bCs/>
          <w:shd w:val="clear" w:color="auto" w:fill="FFFFFF"/>
        </w:rPr>
        <w:t xml:space="preserve"> for balancing </w:t>
      </w:r>
    </w:p>
    <w:p w14:paraId="010DB3D9" w14:textId="77777777" w:rsidR="005C2F04" w:rsidRDefault="00072C48">
      <w:pPr>
        <w:rPr>
          <w:shd w:val="clear" w:color="auto" w:fill="FFFFFF"/>
        </w:rPr>
      </w:pPr>
      <w:r>
        <w:rPr>
          <w:shd w:val="clear" w:color="auto" w:fill="FFFFFF"/>
        </w:rPr>
        <w:t>The main concept for balancing the balance sheet is Double entry system. The double entry system was first invented by Luca Pacilio in 1494. Since then, almost all concepts and current situation of accounting depend on this issue. The basic idea here is that there will be two parties to a calculation or a transaction and equal effect will be shown to both parties. As a result, the formula A=L+OE was discovered. Here it is seen that the total assets will be equal to the total liabilities and ownership of the company. Therefore, any transaction has to affect 2 of these three elements (Campisi et al., 2019).</w:t>
      </w:r>
    </w:p>
    <w:p w14:paraId="05B92F47" w14:textId="77777777" w:rsidR="005C2F04" w:rsidRDefault="00072C48">
      <w:pPr>
        <w:rPr>
          <w:shd w:val="clear" w:color="auto" w:fill="FFFFFF"/>
        </w:rPr>
      </w:pPr>
      <w:r>
        <w:rPr>
          <w:shd w:val="clear" w:color="auto" w:fill="FFFFFF"/>
        </w:rPr>
        <w:t>If an asset is increased for a transaction, the same transaction may reduce another asset or increase a liability and also increase the amount of ownership. That is, the debit and credit side of the transaction will always equal. An example will make the matter better understood.</w:t>
      </w:r>
    </w:p>
    <w:p w14:paraId="2C57670D" w14:textId="77777777" w:rsidR="005C2F04" w:rsidRDefault="00072C48">
      <w:pPr>
        <w:rPr>
          <w:shd w:val="clear" w:color="auto" w:fill="FFFFFF"/>
        </w:rPr>
      </w:pPr>
      <w:r>
        <w:rPr>
          <w:shd w:val="clear" w:color="auto" w:fill="FFFFFF"/>
        </w:rPr>
        <w:t>Purchase of £10,000 furniture on loan for office. Here furniture is an asset that enhances the Asset section. Similarly, liabilities will increase as purchases are made on credit. The amount of increase in assets equals the amount of increase in liabilities, debit - credit, resulting in the formula of A=L+OE being correct. Since the balance sheet is prepared with this double entry concept, its two sides must be equal (Chandra et al., 2020).</w:t>
      </w:r>
      <w:r>
        <w:rPr>
          <w:shd w:val="clear" w:color="auto" w:fill="FFFFFF"/>
        </w:rPr>
        <w:br w:type="page"/>
      </w:r>
    </w:p>
    <w:p w14:paraId="30191BCC" w14:textId="77777777" w:rsidR="005C2F04" w:rsidRDefault="00072C48">
      <w:pPr>
        <w:pStyle w:val="1"/>
        <w:rPr>
          <w:shd w:val="clear" w:color="auto" w:fill="FFFFFF"/>
        </w:rPr>
      </w:pPr>
      <w:bookmarkStart w:id="4" w:name="_Toc111407407"/>
      <w:r>
        <w:rPr>
          <w:shd w:val="clear" w:color="auto" w:fill="FFFFFF"/>
        </w:rPr>
        <w:t>QUESTION-2</w:t>
      </w:r>
      <w:bookmarkEnd w:id="4"/>
    </w:p>
    <w:p w14:paraId="4E4C32E5" w14:textId="77777777" w:rsidR="005C2F04" w:rsidRDefault="00072C48">
      <w:pPr>
        <w:pStyle w:val="2"/>
        <w:rPr>
          <w:shd w:val="clear" w:color="auto" w:fill="FFFFFF"/>
        </w:rPr>
      </w:pPr>
      <w:bookmarkStart w:id="5" w:name="_Toc111407408"/>
      <w:r>
        <w:rPr>
          <w:shd w:val="clear" w:color="auto" w:fill="FFFFFF"/>
        </w:rPr>
        <w:t xml:space="preserve">A) Calculating the Financial Ratios </w:t>
      </w:r>
      <w:r>
        <w:t>Sweets plc</w:t>
      </w:r>
      <w:bookmarkEnd w:id="5"/>
    </w:p>
    <w:p w14:paraId="5C494BDA" w14:textId="77777777" w:rsidR="005C2F04" w:rsidRDefault="00072C48">
      <w:pPr>
        <w:rPr>
          <w:b/>
          <w:bCs/>
        </w:rPr>
      </w:pPr>
      <w:r>
        <w:rPr>
          <w:b/>
          <w:bCs/>
        </w:rPr>
        <w:t>1- ROCE</w:t>
      </w:r>
    </w:p>
    <w:tbl>
      <w:tblPr>
        <w:tblStyle w:val="a3"/>
        <w:tblW w:w="0" w:type="auto"/>
        <w:tblLook w:val="04A0" w:firstRow="1" w:lastRow="0" w:firstColumn="1" w:lastColumn="0" w:noHBand="0" w:noVBand="1"/>
      </w:tblPr>
      <w:tblGrid>
        <w:gridCol w:w="3703"/>
        <w:gridCol w:w="2590"/>
        <w:gridCol w:w="2724"/>
      </w:tblGrid>
      <w:tr w:rsidR="005C2F04" w14:paraId="741822A1" w14:textId="77777777">
        <w:tc>
          <w:tcPr>
            <w:tcW w:w="3823" w:type="dxa"/>
            <w:shd w:val="clear" w:color="auto" w:fill="E2EFD9"/>
          </w:tcPr>
          <w:p w14:paraId="02EFC576" w14:textId="77777777" w:rsidR="005C2F04" w:rsidRDefault="00072C48">
            <w:pPr>
              <w:jc w:val="center"/>
              <w:rPr>
                <w:b/>
                <w:bCs/>
              </w:rPr>
            </w:pPr>
            <w:r>
              <w:rPr>
                <w:b/>
                <w:bCs/>
              </w:rPr>
              <w:t>Formula</w:t>
            </w:r>
          </w:p>
        </w:tc>
        <w:tc>
          <w:tcPr>
            <w:tcW w:w="2693" w:type="dxa"/>
            <w:shd w:val="clear" w:color="auto" w:fill="E2EFD9"/>
          </w:tcPr>
          <w:p w14:paraId="4376FC7C" w14:textId="77777777" w:rsidR="005C2F04" w:rsidRDefault="00072C48">
            <w:pPr>
              <w:jc w:val="center"/>
              <w:rPr>
                <w:b/>
                <w:bCs/>
              </w:rPr>
            </w:pPr>
            <w:r>
              <w:rPr>
                <w:b/>
                <w:bCs/>
              </w:rPr>
              <w:t>2021</w:t>
            </w:r>
          </w:p>
        </w:tc>
        <w:tc>
          <w:tcPr>
            <w:tcW w:w="2834" w:type="dxa"/>
            <w:shd w:val="clear" w:color="auto" w:fill="E2EFD9"/>
          </w:tcPr>
          <w:p w14:paraId="46C0F8DD" w14:textId="77777777" w:rsidR="005C2F04" w:rsidRDefault="00072C48">
            <w:pPr>
              <w:jc w:val="center"/>
              <w:rPr>
                <w:b/>
                <w:bCs/>
              </w:rPr>
            </w:pPr>
            <w:r>
              <w:rPr>
                <w:b/>
                <w:bCs/>
              </w:rPr>
              <w:t>2020</w:t>
            </w:r>
          </w:p>
        </w:tc>
      </w:tr>
      <w:tr w:rsidR="005C2F04" w14:paraId="378CD90B" w14:textId="77777777">
        <w:tc>
          <w:tcPr>
            <w:tcW w:w="3823" w:type="dxa"/>
          </w:tcPr>
          <w:p w14:paraId="5CF56D5A" w14:textId="77777777" w:rsidR="005C2F04" w:rsidRDefault="00072C48">
            <w:pPr>
              <w:jc w:val="left"/>
              <w:rPr>
                <w:shd w:val="clear" w:color="auto" w:fill="FFFFFF"/>
              </w:rPr>
            </w:pPr>
            <w:r>
              <w:rPr>
                <w:shd w:val="clear" w:color="auto" w:fill="FFFFFF"/>
              </w:rPr>
              <w:t>ROCE= EBIT/Capital Employed</w:t>
            </w:r>
          </w:p>
        </w:tc>
        <w:tc>
          <w:tcPr>
            <w:tcW w:w="2693" w:type="dxa"/>
          </w:tcPr>
          <w:p w14:paraId="4E710111" w14:textId="77777777" w:rsidR="005C2F04" w:rsidRDefault="00072C48">
            <w:r>
              <w:t>620 / 5599</w:t>
            </w:r>
          </w:p>
          <w:p w14:paraId="6042CE2D" w14:textId="77777777" w:rsidR="005C2F04" w:rsidRDefault="00072C48">
            <w:r>
              <w:t xml:space="preserve">= 0.11 </w:t>
            </w:r>
          </w:p>
        </w:tc>
        <w:tc>
          <w:tcPr>
            <w:tcW w:w="2834" w:type="dxa"/>
          </w:tcPr>
          <w:p w14:paraId="7DEC8EDA" w14:textId="77777777" w:rsidR="005C2F04" w:rsidRDefault="00072C48">
            <w:r>
              <w:t>539 / 5958</w:t>
            </w:r>
          </w:p>
          <w:p w14:paraId="773140B8" w14:textId="77777777" w:rsidR="005C2F04" w:rsidRDefault="00072C48">
            <w:r>
              <w:t>= 0.09</w:t>
            </w:r>
          </w:p>
        </w:tc>
      </w:tr>
    </w:tbl>
    <w:p w14:paraId="316F3AC3" w14:textId="77777777" w:rsidR="005C2F04" w:rsidRDefault="005C2F04"/>
    <w:p w14:paraId="132E146C" w14:textId="77777777" w:rsidR="005C2F04" w:rsidRDefault="00072C48">
      <w:pPr>
        <w:spacing w:line="259" w:lineRule="auto"/>
        <w:jc w:val="left"/>
        <w:rPr>
          <w:b/>
          <w:bCs/>
        </w:rPr>
      </w:pPr>
      <w:r>
        <w:rPr>
          <w:b/>
          <w:bCs/>
        </w:rPr>
        <w:t>Working 01</w:t>
      </w:r>
    </w:p>
    <w:tbl>
      <w:tblPr>
        <w:tblStyle w:val="a3"/>
        <w:tblW w:w="0" w:type="auto"/>
        <w:tblLook w:val="04A0" w:firstRow="1" w:lastRow="0" w:firstColumn="1" w:lastColumn="0" w:noHBand="0" w:noVBand="1"/>
      </w:tblPr>
      <w:tblGrid>
        <w:gridCol w:w="5838"/>
        <w:gridCol w:w="1654"/>
        <w:gridCol w:w="1525"/>
      </w:tblGrid>
      <w:tr w:rsidR="005C2F04" w14:paraId="782BB3AD" w14:textId="77777777">
        <w:tc>
          <w:tcPr>
            <w:tcW w:w="6091" w:type="dxa"/>
            <w:shd w:val="clear" w:color="auto" w:fill="DEEAF6"/>
          </w:tcPr>
          <w:p w14:paraId="69D234F2" w14:textId="77777777" w:rsidR="005C2F04" w:rsidRDefault="00072C48">
            <w:pPr>
              <w:jc w:val="center"/>
              <w:rPr>
                <w:b/>
                <w:bCs/>
              </w:rPr>
            </w:pPr>
            <w:r>
              <w:rPr>
                <w:b/>
                <w:bCs/>
              </w:rPr>
              <w:t>Description</w:t>
            </w:r>
          </w:p>
        </w:tc>
        <w:tc>
          <w:tcPr>
            <w:tcW w:w="1701" w:type="dxa"/>
            <w:shd w:val="clear" w:color="auto" w:fill="DEEAF6"/>
          </w:tcPr>
          <w:p w14:paraId="40460D38" w14:textId="77777777" w:rsidR="005C2F04" w:rsidRDefault="00072C48">
            <w:pPr>
              <w:jc w:val="center"/>
              <w:rPr>
                <w:b/>
                <w:bCs/>
              </w:rPr>
            </w:pPr>
            <w:r>
              <w:rPr>
                <w:b/>
                <w:bCs/>
              </w:rPr>
              <w:t>2021</w:t>
            </w:r>
          </w:p>
        </w:tc>
        <w:tc>
          <w:tcPr>
            <w:tcW w:w="1558" w:type="dxa"/>
            <w:shd w:val="clear" w:color="auto" w:fill="DEEAF6"/>
          </w:tcPr>
          <w:p w14:paraId="5A75E6FF" w14:textId="77777777" w:rsidR="005C2F04" w:rsidRDefault="00072C48">
            <w:pPr>
              <w:jc w:val="center"/>
              <w:rPr>
                <w:b/>
                <w:bCs/>
              </w:rPr>
            </w:pPr>
            <w:r>
              <w:rPr>
                <w:b/>
                <w:bCs/>
              </w:rPr>
              <w:t>2020</w:t>
            </w:r>
          </w:p>
        </w:tc>
      </w:tr>
      <w:tr w:rsidR="005C2F04" w14:paraId="7CCBE53D" w14:textId="77777777">
        <w:tc>
          <w:tcPr>
            <w:tcW w:w="6091" w:type="dxa"/>
          </w:tcPr>
          <w:p w14:paraId="3F98FB65" w14:textId="77777777" w:rsidR="005C2F04" w:rsidRDefault="00072C48">
            <w:pPr>
              <w:jc w:val="left"/>
              <w:rPr>
                <w:shd w:val="clear" w:color="auto" w:fill="FFFFFF"/>
              </w:rPr>
            </w:pPr>
            <w:r>
              <w:rPr>
                <w:shd w:val="clear" w:color="auto" w:fill="FFFFFF"/>
              </w:rPr>
              <w:t>Capital Employed = Total Assets – Current Liabilities</w:t>
            </w:r>
          </w:p>
        </w:tc>
        <w:tc>
          <w:tcPr>
            <w:tcW w:w="1701" w:type="dxa"/>
          </w:tcPr>
          <w:p w14:paraId="6AF11BCB" w14:textId="77777777" w:rsidR="005C2F04" w:rsidRDefault="00072C48">
            <w:r>
              <w:t>9,736- 4,137</w:t>
            </w:r>
          </w:p>
          <w:p w14:paraId="3EC42D3D" w14:textId="77777777" w:rsidR="005C2F04" w:rsidRDefault="00072C48">
            <w:r>
              <w:t>= 5599</w:t>
            </w:r>
          </w:p>
        </w:tc>
        <w:tc>
          <w:tcPr>
            <w:tcW w:w="1558" w:type="dxa"/>
          </w:tcPr>
          <w:p w14:paraId="0708459F" w14:textId="77777777" w:rsidR="005C2F04" w:rsidRDefault="00072C48">
            <w:r>
              <w:t>10,087-4,129</w:t>
            </w:r>
          </w:p>
          <w:p w14:paraId="63638AAC" w14:textId="77777777" w:rsidR="005C2F04" w:rsidRDefault="00072C48">
            <w:r>
              <w:t>=5958</w:t>
            </w:r>
          </w:p>
        </w:tc>
      </w:tr>
    </w:tbl>
    <w:p w14:paraId="35263F8F" w14:textId="77777777" w:rsidR="005C2F04" w:rsidRDefault="005C2F04">
      <w:pPr>
        <w:rPr>
          <w:b/>
          <w:bCs/>
        </w:rPr>
      </w:pPr>
    </w:p>
    <w:p w14:paraId="17612818" w14:textId="77777777" w:rsidR="005C2F04" w:rsidRDefault="00072C48">
      <w:pPr>
        <w:rPr>
          <w:b/>
          <w:bCs/>
        </w:rPr>
      </w:pPr>
      <w:r>
        <w:rPr>
          <w:b/>
          <w:bCs/>
        </w:rPr>
        <w:t>2- ROE</w:t>
      </w:r>
    </w:p>
    <w:tbl>
      <w:tblPr>
        <w:tblStyle w:val="a3"/>
        <w:tblW w:w="9920" w:type="dxa"/>
        <w:tblLook w:val="04A0" w:firstRow="1" w:lastRow="0" w:firstColumn="1" w:lastColumn="0" w:noHBand="0" w:noVBand="1"/>
      </w:tblPr>
      <w:tblGrid>
        <w:gridCol w:w="4180"/>
        <w:gridCol w:w="2700"/>
        <w:gridCol w:w="3040"/>
      </w:tblGrid>
      <w:tr w:rsidR="005C2F04" w14:paraId="0E813A55" w14:textId="77777777">
        <w:trPr>
          <w:trHeight w:val="645"/>
        </w:trPr>
        <w:tc>
          <w:tcPr>
            <w:tcW w:w="4180" w:type="dxa"/>
            <w:shd w:val="clear" w:color="auto" w:fill="E2EFD9"/>
            <w:hideMark/>
          </w:tcPr>
          <w:p w14:paraId="054BDDB7"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Formula</w:t>
            </w:r>
          </w:p>
        </w:tc>
        <w:tc>
          <w:tcPr>
            <w:tcW w:w="2700" w:type="dxa"/>
            <w:shd w:val="clear" w:color="auto" w:fill="E2EFD9"/>
            <w:hideMark/>
          </w:tcPr>
          <w:p w14:paraId="4A856369"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szCs w:val="24"/>
                <w:lang w:eastAsia="en-GB" w:bidi="bn-BD"/>
              </w:rPr>
              <w:t>2021</w:t>
            </w:r>
          </w:p>
        </w:tc>
        <w:tc>
          <w:tcPr>
            <w:tcW w:w="3040" w:type="dxa"/>
            <w:shd w:val="clear" w:color="auto" w:fill="E2EFD9"/>
            <w:hideMark/>
          </w:tcPr>
          <w:p w14:paraId="7A439A3E"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szCs w:val="24"/>
                <w:lang w:eastAsia="en-GB" w:bidi="bn-BD"/>
              </w:rPr>
              <w:t>2020</w:t>
            </w:r>
          </w:p>
        </w:tc>
      </w:tr>
      <w:tr w:rsidR="005C2F04" w14:paraId="0AB71CF3" w14:textId="77777777">
        <w:trPr>
          <w:trHeight w:val="330"/>
        </w:trPr>
        <w:tc>
          <w:tcPr>
            <w:tcW w:w="4180" w:type="dxa"/>
            <w:hideMark/>
          </w:tcPr>
          <w:p w14:paraId="0EA78175" w14:textId="77777777" w:rsidR="005C2F04" w:rsidRDefault="00072C48">
            <w:pPr>
              <w:spacing w:line="240" w:lineRule="auto"/>
              <w:jc w:val="left"/>
              <w:rPr>
                <w:rFonts w:eastAsia="Times New Roman" w:cs="Times New Roman"/>
                <w:color w:val="000000"/>
                <w:szCs w:val="24"/>
                <w:lang w:eastAsia="en-GB" w:bidi="bn-BD"/>
              </w:rPr>
            </w:pPr>
            <w:r>
              <w:rPr>
                <w:rFonts w:eastAsia="Times New Roman" w:cs="Times New Roman"/>
                <w:szCs w:val="24"/>
                <w:lang w:eastAsia="en-GB" w:bidi="bn-BD"/>
              </w:rPr>
              <w:t>ROE= Net income/ Shareholder's Equity</w:t>
            </w:r>
          </w:p>
        </w:tc>
        <w:tc>
          <w:tcPr>
            <w:tcW w:w="2700" w:type="dxa"/>
            <w:hideMark/>
          </w:tcPr>
          <w:p w14:paraId="4B1E3048"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431/3088</w:t>
            </w:r>
          </w:p>
        </w:tc>
        <w:tc>
          <w:tcPr>
            <w:tcW w:w="3040" w:type="dxa"/>
            <w:hideMark/>
          </w:tcPr>
          <w:p w14:paraId="602F1EA2"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366/2912</w:t>
            </w:r>
          </w:p>
        </w:tc>
      </w:tr>
      <w:tr w:rsidR="005C2F04" w14:paraId="7AABD8CA" w14:textId="77777777">
        <w:trPr>
          <w:trHeight w:val="330"/>
        </w:trPr>
        <w:tc>
          <w:tcPr>
            <w:tcW w:w="4180" w:type="dxa"/>
            <w:noWrap/>
            <w:hideMark/>
          </w:tcPr>
          <w:p w14:paraId="2DDE3F90" w14:textId="77777777" w:rsidR="005C2F04" w:rsidRDefault="005C2F04">
            <w:pPr>
              <w:spacing w:line="240" w:lineRule="auto"/>
              <w:rPr>
                <w:rFonts w:eastAsia="Times New Roman" w:cs="Times New Roman"/>
                <w:color w:val="000000"/>
                <w:szCs w:val="24"/>
                <w:lang w:eastAsia="en-GB" w:bidi="bn-BD"/>
              </w:rPr>
            </w:pPr>
          </w:p>
        </w:tc>
        <w:tc>
          <w:tcPr>
            <w:tcW w:w="2700" w:type="dxa"/>
            <w:hideMark/>
          </w:tcPr>
          <w:p w14:paraId="42395460"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0.139527355</w:t>
            </w:r>
          </w:p>
        </w:tc>
        <w:tc>
          <w:tcPr>
            <w:tcW w:w="3040" w:type="dxa"/>
            <w:hideMark/>
          </w:tcPr>
          <w:p w14:paraId="2C66B148"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0.125643666</w:t>
            </w:r>
          </w:p>
        </w:tc>
      </w:tr>
    </w:tbl>
    <w:p w14:paraId="2DA8C215" w14:textId="77777777" w:rsidR="005C2F04" w:rsidRDefault="005C2F04"/>
    <w:p w14:paraId="3E2A6D7B" w14:textId="77777777" w:rsidR="005C2F04" w:rsidRDefault="00072C48">
      <w:pPr>
        <w:rPr>
          <w:b/>
          <w:bCs/>
        </w:rPr>
      </w:pPr>
      <w:r>
        <w:rPr>
          <w:b/>
          <w:bCs/>
        </w:rPr>
        <w:t>3- Earnings per share</w:t>
      </w:r>
    </w:p>
    <w:tbl>
      <w:tblPr>
        <w:tblStyle w:val="a3"/>
        <w:tblW w:w="9920" w:type="dxa"/>
        <w:tblLook w:val="04A0" w:firstRow="1" w:lastRow="0" w:firstColumn="1" w:lastColumn="0" w:noHBand="0" w:noVBand="1"/>
      </w:tblPr>
      <w:tblGrid>
        <w:gridCol w:w="4180"/>
        <w:gridCol w:w="2700"/>
        <w:gridCol w:w="3040"/>
      </w:tblGrid>
      <w:tr w:rsidR="005C2F04" w14:paraId="7E5D067F" w14:textId="77777777">
        <w:trPr>
          <w:trHeight w:val="645"/>
        </w:trPr>
        <w:tc>
          <w:tcPr>
            <w:tcW w:w="4180" w:type="dxa"/>
            <w:shd w:val="clear" w:color="auto" w:fill="E2EFD9"/>
            <w:hideMark/>
          </w:tcPr>
          <w:p w14:paraId="7CB6D6F4"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Formula</w:t>
            </w:r>
          </w:p>
        </w:tc>
        <w:tc>
          <w:tcPr>
            <w:tcW w:w="2700" w:type="dxa"/>
            <w:shd w:val="clear" w:color="auto" w:fill="E2EFD9"/>
            <w:hideMark/>
          </w:tcPr>
          <w:p w14:paraId="0D615597"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szCs w:val="24"/>
                <w:lang w:eastAsia="en-GB" w:bidi="bn-BD"/>
              </w:rPr>
              <w:t>2021</w:t>
            </w:r>
          </w:p>
        </w:tc>
        <w:tc>
          <w:tcPr>
            <w:tcW w:w="3040" w:type="dxa"/>
            <w:shd w:val="clear" w:color="auto" w:fill="E2EFD9"/>
            <w:hideMark/>
          </w:tcPr>
          <w:p w14:paraId="6A1D3A93"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szCs w:val="24"/>
                <w:lang w:eastAsia="en-GB" w:bidi="bn-BD"/>
              </w:rPr>
              <w:t>2020</w:t>
            </w:r>
          </w:p>
        </w:tc>
      </w:tr>
      <w:tr w:rsidR="005C2F04" w14:paraId="1C93760A" w14:textId="77777777">
        <w:trPr>
          <w:trHeight w:val="645"/>
        </w:trPr>
        <w:tc>
          <w:tcPr>
            <w:tcW w:w="4180" w:type="dxa"/>
            <w:hideMark/>
          </w:tcPr>
          <w:p w14:paraId="51CF21F5" w14:textId="77777777" w:rsidR="005C2F04" w:rsidRDefault="00072C48">
            <w:pPr>
              <w:spacing w:line="240" w:lineRule="auto"/>
              <w:jc w:val="left"/>
              <w:rPr>
                <w:rFonts w:eastAsia="Times New Roman" w:cs="Times New Roman"/>
                <w:color w:val="000000"/>
                <w:szCs w:val="24"/>
                <w:lang w:eastAsia="en-GB" w:bidi="bn-BD"/>
              </w:rPr>
            </w:pPr>
            <w:r>
              <w:rPr>
                <w:rFonts w:eastAsia="Times New Roman" w:cs="Times New Roman"/>
                <w:szCs w:val="24"/>
                <w:lang w:eastAsia="en-GB" w:bidi="bn-BD"/>
              </w:rPr>
              <w:t xml:space="preserve"> Net income/ average Share outstanding</w:t>
            </w:r>
          </w:p>
        </w:tc>
        <w:tc>
          <w:tcPr>
            <w:tcW w:w="2700" w:type="dxa"/>
            <w:hideMark/>
          </w:tcPr>
          <w:p w14:paraId="12569C88"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431/5.12</w:t>
            </w:r>
          </w:p>
        </w:tc>
        <w:tc>
          <w:tcPr>
            <w:tcW w:w="3040" w:type="dxa"/>
            <w:hideMark/>
          </w:tcPr>
          <w:p w14:paraId="1FBFCFCC"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366/4</w:t>
            </w:r>
          </w:p>
        </w:tc>
      </w:tr>
      <w:tr w:rsidR="005C2F04" w14:paraId="56A1809D" w14:textId="77777777">
        <w:trPr>
          <w:trHeight w:val="330"/>
        </w:trPr>
        <w:tc>
          <w:tcPr>
            <w:tcW w:w="4180" w:type="dxa"/>
            <w:noWrap/>
            <w:hideMark/>
          </w:tcPr>
          <w:p w14:paraId="6024288F" w14:textId="77777777" w:rsidR="005C2F04" w:rsidRDefault="005C2F04">
            <w:pPr>
              <w:spacing w:line="240" w:lineRule="auto"/>
              <w:rPr>
                <w:rFonts w:eastAsia="Times New Roman" w:cs="Times New Roman"/>
                <w:color w:val="000000"/>
                <w:szCs w:val="24"/>
                <w:lang w:eastAsia="en-GB" w:bidi="bn-BD"/>
              </w:rPr>
            </w:pPr>
          </w:p>
        </w:tc>
        <w:tc>
          <w:tcPr>
            <w:tcW w:w="2700" w:type="dxa"/>
            <w:hideMark/>
          </w:tcPr>
          <w:p w14:paraId="6634E85D"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84.01559454</w:t>
            </w:r>
          </w:p>
        </w:tc>
        <w:tc>
          <w:tcPr>
            <w:tcW w:w="3040" w:type="dxa"/>
            <w:hideMark/>
          </w:tcPr>
          <w:p w14:paraId="16C31FA3"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73.2</w:t>
            </w:r>
          </w:p>
        </w:tc>
      </w:tr>
    </w:tbl>
    <w:p w14:paraId="0CCFDD0E" w14:textId="77777777" w:rsidR="005C2F04" w:rsidRDefault="005C2F04"/>
    <w:p w14:paraId="1D6029A5" w14:textId="77777777" w:rsidR="005C2F04" w:rsidRDefault="00072C48">
      <w:pPr>
        <w:spacing w:line="259" w:lineRule="auto"/>
        <w:jc w:val="left"/>
        <w:rPr>
          <w:b/>
          <w:bCs/>
        </w:rPr>
      </w:pPr>
      <w:r>
        <w:rPr>
          <w:b/>
          <w:bCs/>
        </w:rPr>
        <w:br w:type="page"/>
      </w:r>
    </w:p>
    <w:p w14:paraId="0D2A6454" w14:textId="77777777" w:rsidR="005C2F04" w:rsidRDefault="00072C48">
      <w:pPr>
        <w:rPr>
          <w:b/>
          <w:bCs/>
        </w:rPr>
      </w:pPr>
      <w:r>
        <w:rPr>
          <w:b/>
          <w:bCs/>
        </w:rPr>
        <w:t>4- Net profit margin</w:t>
      </w:r>
    </w:p>
    <w:tbl>
      <w:tblPr>
        <w:tblStyle w:val="a3"/>
        <w:tblW w:w="9920" w:type="dxa"/>
        <w:tblLook w:val="04A0" w:firstRow="1" w:lastRow="0" w:firstColumn="1" w:lastColumn="0" w:noHBand="0" w:noVBand="1"/>
      </w:tblPr>
      <w:tblGrid>
        <w:gridCol w:w="4180"/>
        <w:gridCol w:w="2700"/>
        <w:gridCol w:w="3040"/>
      </w:tblGrid>
      <w:tr w:rsidR="005C2F04" w14:paraId="2213B652" w14:textId="77777777">
        <w:trPr>
          <w:trHeight w:val="645"/>
        </w:trPr>
        <w:tc>
          <w:tcPr>
            <w:tcW w:w="4180" w:type="dxa"/>
            <w:shd w:val="clear" w:color="auto" w:fill="E2EFD9"/>
            <w:hideMark/>
          </w:tcPr>
          <w:p w14:paraId="2E57A5A3"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Formula</w:t>
            </w:r>
          </w:p>
        </w:tc>
        <w:tc>
          <w:tcPr>
            <w:tcW w:w="2700" w:type="dxa"/>
            <w:shd w:val="clear" w:color="auto" w:fill="E2EFD9"/>
            <w:hideMark/>
          </w:tcPr>
          <w:p w14:paraId="737A1DC0"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szCs w:val="24"/>
                <w:lang w:eastAsia="en-GB" w:bidi="bn-BD"/>
              </w:rPr>
              <w:t>2021</w:t>
            </w:r>
          </w:p>
        </w:tc>
        <w:tc>
          <w:tcPr>
            <w:tcW w:w="3040" w:type="dxa"/>
            <w:shd w:val="clear" w:color="auto" w:fill="E2EFD9"/>
            <w:hideMark/>
          </w:tcPr>
          <w:p w14:paraId="2ED45027"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szCs w:val="24"/>
                <w:lang w:eastAsia="en-GB" w:bidi="bn-BD"/>
              </w:rPr>
              <w:t>2020</w:t>
            </w:r>
          </w:p>
        </w:tc>
      </w:tr>
      <w:tr w:rsidR="005C2F04" w14:paraId="4CC142C4" w14:textId="77777777">
        <w:trPr>
          <w:trHeight w:val="330"/>
        </w:trPr>
        <w:tc>
          <w:tcPr>
            <w:tcW w:w="4180" w:type="dxa"/>
            <w:hideMark/>
          </w:tcPr>
          <w:p w14:paraId="69462C92" w14:textId="77777777" w:rsidR="005C2F04" w:rsidRDefault="00072C48">
            <w:pPr>
              <w:spacing w:line="240" w:lineRule="auto"/>
              <w:jc w:val="left"/>
              <w:rPr>
                <w:rFonts w:eastAsia="Times New Roman" w:cs="Times New Roman"/>
                <w:color w:val="000000"/>
                <w:szCs w:val="24"/>
                <w:lang w:eastAsia="en-GB" w:bidi="bn-BD"/>
              </w:rPr>
            </w:pPr>
            <w:r>
              <w:rPr>
                <w:rFonts w:eastAsia="Times New Roman" w:cs="Times New Roman"/>
                <w:szCs w:val="24"/>
                <w:lang w:eastAsia="en-GB" w:bidi="bn-BD"/>
              </w:rPr>
              <w:t>(Net income/ net sales) *100</w:t>
            </w:r>
          </w:p>
        </w:tc>
        <w:tc>
          <w:tcPr>
            <w:tcW w:w="2700" w:type="dxa"/>
            <w:hideMark/>
          </w:tcPr>
          <w:p w14:paraId="4428D380"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(431/6738) *100</w:t>
            </w:r>
          </w:p>
        </w:tc>
        <w:tc>
          <w:tcPr>
            <w:tcW w:w="3040" w:type="dxa"/>
            <w:hideMark/>
          </w:tcPr>
          <w:p w14:paraId="6D46B601"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(366/6441) *100</w:t>
            </w:r>
          </w:p>
        </w:tc>
      </w:tr>
      <w:tr w:rsidR="005C2F04" w14:paraId="638BBF7F" w14:textId="77777777">
        <w:trPr>
          <w:trHeight w:val="330"/>
        </w:trPr>
        <w:tc>
          <w:tcPr>
            <w:tcW w:w="4180" w:type="dxa"/>
            <w:noWrap/>
            <w:hideMark/>
          </w:tcPr>
          <w:p w14:paraId="2D2B4387" w14:textId="77777777" w:rsidR="005C2F04" w:rsidRDefault="005C2F04">
            <w:pPr>
              <w:spacing w:line="240" w:lineRule="auto"/>
              <w:rPr>
                <w:rFonts w:eastAsia="Times New Roman" w:cs="Times New Roman"/>
                <w:color w:val="000000"/>
                <w:szCs w:val="24"/>
                <w:lang w:eastAsia="en-GB" w:bidi="bn-BD"/>
              </w:rPr>
            </w:pPr>
          </w:p>
        </w:tc>
        <w:tc>
          <w:tcPr>
            <w:tcW w:w="2700" w:type="dxa"/>
            <w:hideMark/>
          </w:tcPr>
          <w:p w14:paraId="6FCA6237"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6.46052241</w:t>
            </w:r>
          </w:p>
        </w:tc>
        <w:tc>
          <w:tcPr>
            <w:tcW w:w="3040" w:type="dxa"/>
            <w:hideMark/>
          </w:tcPr>
          <w:p w14:paraId="4226BF75"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5.739170936</w:t>
            </w:r>
          </w:p>
        </w:tc>
      </w:tr>
    </w:tbl>
    <w:p w14:paraId="033E5CBB" w14:textId="77777777" w:rsidR="005C2F04" w:rsidRDefault="005C2F04"/>
    <w:p w14:paraId="0A783380" w14:textId="77777777" w:rsidR="005C2F04" w:rsidRDefault="00072C48">
      <w:pPr>
        <w:rPr>
          <w:b/>
          <w:bCs/>
        </w:rPr>
      </w:pPr>
      <w:r>
        <w:rPr>
          <w:b/>
          <w:bCs/>
        </w:rPr>
        <w:t>5- Asset turnover</w:t>
      </w:r>
    </w:p>
    <w:tbl>
      <w:tblPr>
        <w:tblStyle w:val="a3"/>
        <w:tblW w:w="9920" w:type="dxa"/>
        <w:tblLook w:val="04A0" w:firstRow="1" w:lastRow="0" w:firstColumn="1" w:lastColumn="0" w:noHBand="0" w:noVBand="1"/>
      </w:tblPr>
      <w:tblGrid>
        <w:gridCol w:w="4180"/>
        <w:gridCol w:w="2700"/>
        <w:gridCol w:w="3040"/>
      </w:tblGrid>
      <w:tr w:rsidR="005C2F04" w14:paraId="4BDD5D09" w14:textId="77777777">
        <w:trPr>
          <w:trHeight w:val="330"/>
        </w:trPr>
        <w:tc>
          <w:tcPr>
            <w:tcW w:w="4180" w:type="dxa"/>
            <w:shd w:val="clear" w:color="auto" w:fill="E2EFD9"/>
          </w:tcPr>
          <w:p w14:paraId="405C6681" w14:textId="77777777" w:rsidR="005C2F04" w:rsidRDefault="00072C48">
            <w:pPr>
              <w:spacing w:line="240" w:lineRule="auto"/>
              <w:jc w:val="center"/>
              <w:rPr>
                <w:rFonts w:eastAsia="Times New Roman" w:cs="Times New Roman"/>
                <w:b/>
                <w:bCs/>
                <w:szCs w:val="24"/>
                <w:lang w:eastAsia="en-GB" w:bidi="bn-BD"/>
              </w:rPr>
            </w:pPr>
            <w:r>
              <w:rPr>
                <w:rFonts w:eastAsia="Times New Roman" w:cs="Times New Roman"/>
                <w:b/>
                <w:bCs/>
                <w:szCs w:val="24"/>
                <w:lang w:eastAsia="en-GB" w:bidi="bn-BD"/>
              </w:rPr>
              <w:t>Formula</w:t>
            </w:r>
          </w:p>
        </w:tc>
        <w:tc>
          <w:tcPr>
            <w:tcW w:w="2700" w:type="dxa"/>
            <w:shd w:val="clear" w:color="auto" w:fill="E2EFD9"/>
          </w:tcPr>
          <w:p w14:paraId="33D54BC1"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2021</w:t>
            </w:r>
          </w:p>
        </w:tc>
        <w:tc>
          <w:tcPr>
            <w:tcW w:w="3040" w:type="dxa"/>
            <w:shd w:val="clear" w:color="auto" w:fill="E2EFD9"/>
          </w:tcPr>
          <w:p w14:paraId="18C8010F"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2020</w:t>
            </w:r>
          </w:p>
        </w:tc>
      </w:tr>
      <w:tr w:rsidR="005C2F04" w14:paraId="4F3E23D6" w14:textId="77777777">
        <w:trPr>
          <w:trHeight w:val="330"/>
        </w:trPr>
        <w:tc>
          <w:tcPr>
            <w:tcW w:w="4180" w:type="dxa"/>
            <w:shd w:val="clear" w:color="auto" w:fill="FFFFFF"/>
            <w:hideMark/>
          </w:tcPr>
          <w:p w14:paraId="06471224" w14:textId="77777777" w:rsidR="005C2F04" w:rsidRDefault="00072C48">
            <w:pPr>
              <w:spacing w:line="240" w:lineRule="auto"/>
              <w:jc w:val="left"/>
              <w:rPr>
                <w:rFonts w:eastAsia="Times New Roman" w:cs="Times New Roman"/>
                <w:color w:val="000000"/>
                <w:szCs w:val="24"/>
                <w:lang w:eastAsia="en-GB" w:bidi="bn-BD"/>
              </w:rPr>
            </w:pPr>
            <w:r>
              <w:rPr>
                <w:rFonts w:eastAsia="Times New Roman" w:cs="Times New Roman"/>
                <w:szCs w:val="24"/>
                <w:lang w:eastAsia="en-GB" w:bidi="bn-BD"/>
              </w:rPr>
              <w:t>(Net sales/Average Assets)</w:t>
            </w:r>
          </w:p>
        </w:tc>
        <w:tc>
          <w:tcPr>
            <w:tcW w:w="2700" w:type="dxa"/>
            <w:shd w:val="clear" w:color="auto" w:fill="FFFFFF"/>
            <w:hideMark/>
          </w:tcPr>
          <w:p w14:paraId="6F8FA9D2"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(6738/19824)</w:t>
            </w:r>
          </w:p>
        </w:tc>
        <w:tc>
          <w:tcPr>
            <w:tcW w:w="3040" w:type="dxa"/>
            <w:shd w:val="clear" w:color="auto" w:fill="FFFFFF"/>
            <w:hideMark/>
          </w:tcPr>
          <w:p w14:paraId="7572C6B6"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(6441/19824)</w:t>
            </w:r>
          </w:p>
        </w:tc>
      </w:tr>
      <w:tr w:rsidR="005C2F04" w14:paraId="0D7D3EAC" w14:textId="77777777">
        <w:trPr>
          <w:trHeight w:val="330"/>
        </w:trPr>
        <w:tc>
          <w:tcPr>
            <w:tcW w:w="4180" w:type="dxa"/>
            <w:shd w:val="clear" w:color="auto" w:fill="FFFFFF"/>
            <w:noWrap/>
            <w:hideMark/>
          </w:tcPr>
          <w:p w14:paraId="1DF19BFD" w14:textId="77777777" w:rsidR="005C2F04" w:rsidRDefault="005C2F04">
            <w:pPr>
              <w:spacing w:line="240" w:lineRule="auto"/>
              <w:rPr>
                <w:rFonts w:eastAsia="Times New Roman" w:cs="Times New Roman"/>
                <w:color w:val="000000"/>
                <w:szCs w:val="24"/>
                <w:lang w:eastAsia="en-GB" w:bidi="bn-BD"/>
              </w:rPr>
            </w:pPr>
          </w:p>
        </w:tc>
        <w:tc>
          <w:tcPr>
            <w:tcW w:w="2700" w:type="dxa"/>
            <w:shd w:val="clear" w:color="auto" w:fill="FFFFFF"/>
            <w:hideMark/>
          </w:tcPr>
          <w:p w14:paraId="58FA0B2E"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0.339891041</w:t>
            </w:r>
          </w:p>
        </w:tc>
        <w:tc>
          <w:tcPr>
            <w:tcW w:w="3040" w:type="dxa"/>
            <w:shd w:val="clear" w:color="auto" w:fill="FFFFFF"/>
            <w:hideMark/>
          </w:tcPr>
          <w:p w14:paraId="0B8BCE7D"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0.324909201</w:t>
            </w:r>
          </w:p>
        </w:tc>
      </w:tr>
    </w:tbl>
    <w:p w14:paraId="18D9F4E0" w14:textId="77777777" w:rsidR="005C2F04" w:rsidRDefault="005C2F04"/>
    <w:tbl>
      <w:tblPr>
        <w:tblStyle w:val="a3"/>
        <w:tblW w:w="6880" w:type="dxa"/>
        <w:tblLook w:val="04A0" w:firstRow="1" w:lastRow="0" w:firstColumn="1" w:lastColumn="0" w:noHBand="0" w:noVBand="1"/>
      </w:tblPr>
      <w:tblGrid>
        <w:gridCol w:w="4180"/>
        <w:gridCol w:w="2700"/>
      </w:tblGrid>
      <w:tr w:rsidR="005C2F04" w14:paraId="3A0B0D79" w14:textId="77777777">
        <w:trPr>
          <w:trHeight w:val="300"/>
        </w:trPr>
        <w:tc>
          <w:tcPr>
            <w:tcW w:w="4180" w:type="dxa"/>
            <w:shd w:val="clear" w:color="auto" w:fill="DEEAF6"/>
            <w:noWrap/>
            <w:hideMark/>
          </w:tcPr>
          <w:p w14:paraId="7C93E52D" w14:textId="77777777" w:rsidR="005C2F04" w:rsidRDefault="00072C48">
            <w:pPr>
              <w:rPr>
                <w:b/>
                <w:bCs/>
                <w:lang w:eastAsia="en-GB" w:bidi="bn-BD"/>
              </w:rPr>
            </w:pPr>
            <w:r>
              <w:rPr>
                <w:b/>
                <w:bCs/>
                <w:lang w:eastAsia="en-GB" w:bidi="bn-BD"/>
              </w:rPr>
              <w:t>Working-02</w:t>
            </w:r>
          </w:p>
        </w:tc>
        <w:tc>
          <w:tcPr>
            <w:tcW w:w="2700" w:type="dxa"/>
            <w:shd w:val="clear" w:color="auto" w:fill="DEEAF6"/>
            <w:noWrap/>
            <w:hideMark/>
          </w:tcPr>
          <w:p w14:paraId="50CBEB34" w14:textId="77777777" w:rsidR="005C2F04" w:rsidRDefault="005C2F04">
            <w:pPr>
              <w:rPr>
                <w:lang w:eastAsia="en-GB" w:bidi="bn-BD"/>
              </w:rPr>
            </w:pPr>
          </w:p>
        </w:tc>
      </w:tr>
      <w:tr w:rsidR="005C2F04" w14:paraId="1730209D" w14:textId="77777777">
        <w:trPr>
          <w:trHeight w:val="300"/>
        </w:trPr>
        <w:tc>
          <w:tcPr>
            <w:tcW w:w="4180" w:type="dxa"/>
            <w:noWrap/>
            <w:hideMark/>
          </w:tcPr>
          <w:p w14:paraId="55109DCB" w14:textId="77777777" w:rsidR="005C2F04" w:rsidRDefault="00072C48">
            <w:pPr>
              <w:rPr>
                <w:lang w:eastAsia="en-GB" w:bidi="bn-BD"/>
              </w:rPr>
            </w:pPr>
            <w:r>
              <w:rPr>
                <w:lang w:eastAsia="en-GB" w:bidi="bn-BD"/>
              </w:rPr>
              <w:t>Average Assets</w:t>
            </w:r>
          </w:p>
        </w:tc>
        <w:tc>
          <w:tcPr>
            <w:tcW w:w="2700" w:type="dxa"/>
            <w:noWrap/>
            <w:hideMark/>
          </w:tcPr>
          <w:p w14:paraId="79824F7B" w14:textId="77777777" w:rsidR="005C2F04" w:rsidRDefault="00072C48">
            <w:pPr>
              <w:rPr>
                <w:lang w:eastAsia="en-GB" w:bidi="bn-BD"/>
              </w:rPr>
            </w:pPr>
            <w:r>
              <w:rPr>
                <w:lang w:eastAsia="en-GB" w:bidi="bn-BD"/>
              </w:rPr>
              <w:t>9736 +10087</w:t>
            </w:r>
          </w:p>
        </w:tc>
      </w:tr>
      <w:tr w:rsidR="005C2F04" w14:paraId="1B2BBD5F" w14:textId="77777777">
        <w:trPr>
          <w:trHeight w:val="300"/>
        </w:trPr>
        <w:tc>
          <w:tcPr>
            <w:tcW w:w="4180" w:type="dxa"/>
            <w:noWrap/>
            <w:hideMark/>
          </w:tcPr>
          <w:p w14:paraId="2C5FF57D" w14:textId="77777777" w:rsidR="005C2F04" w:rsidRDefault="005C2F04">
            <w:pPr>
              <w:rPr>
                <w:lang w:eastAsia="en-GB" w:bidi="bn-BD"/>
              </w:rPr>
            </w:pPr>
          </w:p>
        </w:tc>
        <w:tc>
          <w:tcPr>
            <w:tcW w:w="2700" w:type="dxa"/>
            <w:noWrap/>
            <w:hideMark/>
          </w:tcPr>
          <w:p w14:paraId="785976B4" w14:textId="77777777" w:rsidR="005C2F04" w:rsidRDefault="00072C48">
            <w:pPr>
              <w:rPr>
                <w:lang w:eastAsia="en-GB" w:bidi="bn-BD"/>
              </w:rPr>
            </w:pPr>
            <w:r>
              <w:rPr>
                <w:lang w:eastAsia="en-GB" w:bidi="bn-BD"/>
              </w:rPr>
              <w:t>19824</w:t>
            </w:r>
          </w:p>
        </w:tc>
      </w:tr>
    </w:tbl>
    <w:p w14:paraId="780CA13A" w14:textId="77777777" w:rsidR="005C2F04" w:rsidRDefault="005C2F04"/>
    <w:p w14:paraId="1792255C" w14:textId="77777777" w:rsidR="005C2F04" w:rsidRDefault="00072C48">
      <w:pPr>
        <w:spacing w:line="259" w:lineRule="auto"/>
        <w:jc w:val="left"/>
      </w:pPr>
      <w:r>
        <w:br w:type="page"/>
      </w:r>
    </w:p>
    <w:p w14:paraId="5CAFF47D" w14:textId="77777777" w:rsidR="005C2F04" w:rsidRDefault="00072C48">
      <w:pPr>
        <w:rPr>
          <w:b/>
          <w:bCs/>
        </w:rPr>
      </w:pPr>
      <w:r>
        <w:rPr>
          <w:b/>
          <w:bCs/>
        </w:rPr>
        <w:t>6- Stock holding days</w:t>
      </w:r>
    </w:p>
    <w:tbl>
      <w:tblPr>
        <w:tblStyle w:val="a3"/>
        <w:tblW w:w="9920" w:type="dxa"/>
        <w:tblLook w:val="04A0" w:firstRow="1" w:lastRow="0" w:firstColumn="1" w:lastColumn="0" w:noHBand="0" w:noVBand="1"/>
      </w:tblPr>
      <w:tblGrid>
        <w:gridCol w:w="4180"/>
        <w:gridCol w:w="2700"/>
        <w:gridCol w:w="3040"/>
      </w:tblGrid>
      <w:tr w:rsidR="005C2F04" w14:paraId="1BB719F2" w14:textId="77777777">
        <w:trPr>
          <w:trHeight w:val="330"/>
        </w:trPr>
        <w:tc>
          <w:tcPr>
            <w:tcW w:w="4180" w:type="dxa"/>
            <w:shd w:val="clear" w:color="auto" w:fill="E2EFD9"/>
          </w:tcPr>
          <w:p w14:paraId="654356D8" w14:textId="77777777" w:rsidR="005C2F04" w:rsidRDefault="00072C48">
            <w:pPr>
              <w:spacing w:line="240" w:lineRule="auto"/>
              <w:jc w:val="center"/>
              <w:rPr>
                <w:rFonts w:eastAsia="Times New Roman" w:cs="Times New Roman"/>
                <w:b/>
                <w:bCs/>
                <w:szCs w:val="24"/>
                <w:lang w:eastAsia="en-GB" w:bidi="bn-BD"/>
              </w:rPr>
            </w:pPr>
            <w:r>
              <w:rPr>
                <w:rFonts w:eastAsia="Times New Roman" w:cs="Times New Roman"/>
                <w:b/>
                <w:bCs/>
                <w:szCs w:val="24"/>
                <w:lang w:eastAsia="en-GB" w:bidi="bn-BD"/>
              </w:rPr>
              <w:t>Formula</w:t>
            </w:r>
          </w:p>
        </w:tc>
        <w:tc>
          <w:tcPr>
            <w:tcW w:w="2700" w:type="dxa"/>
            <w:shd w:val="clear" w:color="auto" w:fill="E2EFD9"/>
          </w:tcPr>
          <w:p w14:paraId="63678AD6"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2021</w:t>
            </w:r>
          </w:p>
        </w:tc>
        <w:tc>
          <w:tcPr>
            <w:tcW w:w="3040" w:type="dxa"/>
            <w:shd w:val="clear" w:color="auto" w:fill="E2EFD9"/>
          </w:tcPr>
          <w:p w14:paraId="164622F0"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2020</w:t>
            </w:r>
          </w:p>
        </w:tc>
      </w:tr>
      <w:tr w:rsidR="005C2F04" w14:paraId="043D11ED" w14:textId="77777777">
        <w:trPr>
          <w:trHeight w:val="330"/>
        </w:trPr>
        <w:tc>
          <w:tcPr>
            <w:tcW w:w="4180" w:type="dxa"/>
            <w:shd w:val="clear" w:color="auto" w:fill="FFFFFF"/>
            <w:hideMark/>
          </w:tcPr>
          <w:p w14:paraId="5A6B1AB3" w14:textId="77777777" w:rsidR="005C2F04" w:rsidRDefault="00072C48">
            <w:r>
              <w:t>Stock holding days = (average inventory / cost of goods sold) x period length</w:t>
            </w:r>
          </w:p>
        </w:tc>
        <w:tc>
          <w:tcPr>
            <w:tcW w:w="2700" w:type="dxa"/>
            <w:shd w:val="clear" w:color="auto" w:fill="FFFFFF"/>
            <w:hideMark/>
          </w:tcPr>
          <w:p w14:paraId="59EC314C"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329.5/3235 x 365</w:t>
            </w:r>
          </w:p>
          <w:p w14:paraId="552C1C81" w14:textId="77777777" w:rsidR="005C2F04" w:rsidRDefault="005C2F04">
            <w:pPr>
              <w:spacing w:line="240" w:lineRule="auto"/>
              <w:rPr>
                <w:rFonts w:eastAsia="Times New Roman" w:cs="Times New Roman"/>
                <w:color w:val="000000"/>
                <w:szCs w:val="24"/>
                <w:lang w:eastAsia="en-GB" w:bidi="bn-BD"/>
              </w:rPr>
            </w:pPr>
          </w:p>
          <w:p w14:paraId="184E7049"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 xml:space="preserve">                                      37</w:t>
            </w:r>
          </w:p>
        </w:tc>
        <w:tc>
          <w:tcPr>
            <w:tcW w:w="3040" w:type="dxa"/>
            <w:shd w:val="clear" w:color="auto" w:fill="FFFFFF"/>
            <w:hideMark/>
          </w:tcPr>
          <w:p w14:paraId="143657D2"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 xml:space="preserve">683.5 /3096 x 365 </w:t>
            </w:r>
          </w:p>
          <w:p w14:paraId="03D3C8B8" w14:textId="77777777" w:rsidR="005C2F04" w:rsidRDefault="005C2F04">
            <w:pPr>
              <w:spacing w:line="240" w:lineRule="auto"/>
              <w:rPr>
                <w:rFonts w:eastAsia="Times New Roman" w:cs="Times New Roman"/>
                <w:color w:val="000000"/>
                <w:szCs w:val="24"/>
                <w:lang w:eastAsia="en-GB" w:bidi="bn-BD"/>
              </w:rPr>
            </w:pPr>
          </w:p>
          <w:p w14:paraId="6EC7DB83"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 xml:space="preserve">                                              81</w:t>
            </w:r>
          </w:p>
        </w:tc>
      </w:tr>
      <w:tr w:rsidR="005C2F04" w14:paraId="143C859C" w14:textId="77777777">
        <w:trPr>
          <w:trHeight w:val="330"/>
        </w:trPr>
        <w:tc>
          <w:tcPr>
            <w:tcW w:w="4180" w:type="dxa"/>
            <w:shd w:val="clear" w:color="auto" w:fill="FFFFFF"/>
            <w:noWrap/>
            <w:hideMark/>
          </w:tcPr>
          <w:p w14:paraId="35E562C7" w14:textId="77777777" w:rsidR="005C2F04" w:rsidRDefault="005C2F04">
            <w:pPr>
              <w:spacing w:line="240" w:lineRule="auto"/>
              <w:rPr>
                <w:rFonts w:eastAsia="Times New Roman" w:cs="Times New Roman"/>
                <w:color w:val="000000"/>
                <w:szCs w:val="24"/>
                <w:lang w:eastAsia="en-GB" w:bidi="bn-BD"/>
              </w:rPr>
            </w:pPr>
          </w:p>
        </w:tc>
        <w:tc>
          <w:tcPr>
            <w:tcW w:w="2700" w:type="dxa"/>
            <w:shd w:val="clear" w:color="auto" w:fill="FFFFFF"/>
            <w:hideMark/>
          </w:tcPr>
          <w:p w14:paraId="3C0B302E" w14:textId="77777777" w:rsidR="005C2F04" w:rsidRDefault="005C2F04">
            <w:pPr>
              <w:spacing w:line="240" w:lineRule="auto"/>
              <w:rPr>
                <w:rFonts w:eastAsia="Times New Roman" w:cs="Times New Roman"/>
                <w:color w:val="000000"/>
                <w:szCs w:val="24"/>
                <w:lang w:eastAsia="en-GB" w:bidi="bn-BD"/>
              </w:rPr>
            </w:pPr>
          </w:p>
        </w:tc>
        <w:tc>
          <w:tcPr>
            <w:tcW w:w="3040" w:type="dxa"/>
            <w:shd w:val="clear" w:color="auto" w:fill="FFFFFF"/>
            <w:hideMark/>
          </w:tcPr>
          <w:p w14:paraId="14441DEB" w14:textId="77777777" w:rsidR="005C2F04" w:rsidRDefault="005C2F04">
            <w:pPr>
              <w:spacing w:line="240" w:lineRule="auto"/>
              <w:rPr>
                <w:rFonts w:eastAsia="Times New Roman" w:cs="Times New Roman"/>
                <w:color w:val="000000"/>
                <w:szCs w:val="24"/>
                <w:lang w:eastAsia="en-GB" w:bidi="bn-BD"/>
              </w:rPr>
            </w:pPr>
          </w:p>
        </w:tc>
      </w:tr>
    </w:tbl>
    <w:p w14:paraId="70DE5EDA" w14:textId="77777777" w:rsidR="005C2F04" w:rsidRDefault="005C2F04"/>
    <w:p w14:paraId="1DE9BF58" w14:textId="77777777" w:rsidR="005C2F04" w:rsidRDefault="00072C48">
      <w:pPr>
        <w:rPr>
          <w:b/>
          <w:bCs/>
        </w:rPr>
      </w:pPr>
      <w:r>
        <w:rPr>
          <w:b/>
          <w:bCs/>
        </w:rPr>
        <w:t xml:space="preserve">Working </w:t>
      </w:r>
    </w:p>
    <w:p w14:paraId="2B5E470C" w14:textId="77777777" w:rsidR="005C2F04" w:rsidRDefault="00072C48">
      <w:r>
        <w:t>Average inventory = (Beginning inventory + Ending Inventory)/2 = (0+659)/2 = 329.5</w:t>
      </w:r>
    </w:p>
    <w:p w14:paraId="5AD8540D" w14:textId="77777777" w:rsidR="005C2F04" w:rsidRDefault="00072C48">
      <w:r>
        <w:t xml:space="preserve"> Year 2021 (659+708)/2 = 683.5</w:t>
      </w:r>
    </w:p>
    <w:p w14:paraId="381D5582" w14:textId="77777777" w:rsidR="005C2F04" w:rsidRDefault="00072C48">
      <w:r>
        <w:t>Cost of goods sold = 3235 &amp; 3096</w:t>
      </w:r>
    </w:p>
    <w:p w14:paraId="58662D73" w14:textId="77777777" w:rsidR="005C2F04" w:rsidRDefault="00072C48">
      <w:r>
        <w:t>Period Length =   365</w:t>
      </w:r>
    </w:p>
    <w:p w14:paraId="62EA6AB8" w14:textId="77777777" w:rsidR="005C2F04" w:rsidRDefault="00072C48">
      <w:pPr>
        <w:rPr>
          <w:b/>
          <w:bCs/>
        </w:rPr>
      </w:pPr>
      <w:r>
        <w:rPr>
          <w:b/>
          <w:bCs/>
        </w:rPr>
        <w:t>7- Debtors collection period</w:t>
      </w:r>
    </w:p>
    <w:tbl>
      <w:tblPr>
        <w:tblStyle w:val="a3"/>
        <w:tblW w:w="8792" w:type="dxa"/>
        <w:tblLook w:val="04A0" w:firstRow="1" w:lastRow="0" w:firstColumn="1" w:lastColumn="0" w:noHBand="0" w:noVBand="1"/>
      </w:tblPr>
      <w:tblGrid>
        <w:gridCol w:w="1789"/>
        <w:gridCol w:w="3735"/>
        <w:gridCol w:w="1701"/>
        <w:gridCol w:w="1567"/>
      </w:tblGrid>
      <w:tr w:rsidR="005C2F04" w14:paraId="323ECE25" w14:textId="77777777">
        <w:trPr>
          <w:trHeight w:val="280"/>
        </w:trPr>
        <w:tc>
          <w:tcPr>
            <w:tcW w:w="1789" w:type="dxa"/>
            <w:noWrap/>
            <w:hideMark/>
          </w:tcPr>
          <w:p w14:paraId="560CFBCB" w14:textId="77777777" w:rsidR="005C2F04" w:rsidRDefault="005C2F04">
            <w:pPr>
              <w:spacing w:line="240" w:lineRule="auto"/>
              <w:jc w:val="left"/>
              <w:rPr>
                <w:rFonts w:eastAsia="Times New Roman" w:cs="Times New Roman"/>
                <w:sz w:val="20"/>
                <w:szCs w:val="24"/>
                <w:lang w:eastAsia="en-GB" w:bidi="bn-BD"/>
              </w:rPr>
            </w:pPr>
          </w:p>
        </w:tc>
        <w:tc>
          <w:tcPr>
            <w:tcW w:w="3735" w:type="dxa"/>
            <w:shd w:val="clear" w:color="auto" w:fill="C5E0B3"/>
            <w:noWrap/>
            <w:hideMark/>
          </w:tcPr>
          <w:p w14:paraId="4B248A9D" w14:textId="77777777" w:rsidR="005C2F04" w:rsidRDefault="00072C48">
            <w:pPr>
              <w:spacing w:line="240" w:lineRule="auto"/>
              <w:jc w:val="center"/>
              <w:rPr>
                <w:rFonts w:eastAsia="Times New Roman" w:cs="Times New Roman"/>
                <w:b/>
                <w:bCs/>
                <w:szCs w:val="24"/>
                <w:lang w:eastAsia="en-GB" w:bidi="bn-BD"/>
              </w:rPr>
            </w:pPr>
            <w:r>
              <w:rPr>
                <w:rFonts w:eastAsia="Times New Roman" w:cs="Times New Roman"/>
                <w:b/>
                <w:bCs/>
                <w:szCs w:val="24"/>
                <w:lang w:eastAsia="en-GB" w:bidi="bn-BD"/>
              </w:rPr>
              <w:t>Formula</w:t>
            </w:r>
          </w:p>
        </w:tc>
        <w:tc>
          <w:tcPr>
            <w:tcW w:w="1701" w:type="dxa"/>
            <w:shd w:val="clear" w:color="auto" w:fill="C5E0B3"/>
            <w:noWrap/>
            <w:hideMark/>
          </w:tcPr>
          <w:p w14:paraId="53E68A24"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2021</w:t>
            </w:r>
          </w:p>
        </w:tc>
        <w:tc>
          <w:tcPr>
            <w:tcW w:w="1567" w:type="dxa"/>
            <w:shd w:val="clear" w:color="auto" w:fill="C5E0B3"/>
            <w:noWrap/>
            <w:hideMark/>
          </w:tcPr>
          <w:p w14:paraId="4E4E7080"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2020</w:t>
            </w:r>
          </w:p>
        </w:tc>
      </w:tr>
      <w:tr w:rsidR="005C2F04" w14:paraId="1F2C8F53" w14:textId="77777777">
        <w:trPr>
          <w:trHeight w:val="280"/>
        </w:trPr>
        <w:tc>
          <w:tcPr>
            <w:tcW w:w="1789" w:type="dxa"/>
            <w:noWrap/>
            <w:hideMark/>
          </w:tcPr>
          <w:p w14:paraId="2E772DA5" w14:textId="77777777" w:rsidR="005C2F04" w:rsidRDefault="00072C48">
            <w:pPr>
              <w:spacing w:line="240" w:lineRule="auto"/>
              <w:rPr>
                <w:rFonts w:eastAsia="Times New Roman" w:cs="Times New Roman"/>
                <w:color w:val="000000"/>
                <w:szCs w:val="24"/>
                <w:lang w:eastAsia="en-GB" w:bidi="bn-BD"/>
              </w:rPr>
            </w:pPr>
            <w:r>
              <w:rPr>
                <w:bCs/>
              </w:rPr>
              <w:t>Debtors collection period ratio</w:t>
            </w:r>
          </w:p>
        </w:tc>
        <w:tc>
          <w:tcPr>
            <w:tcW w:w="3735" w:type="dxa"/>
            <w:noWrap/>
            <w:hideMark/>
          </w:tcPr>
          <w:p w14:paraId="2D1EE25E"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 xml:space="preserve">Debtors (amount of money owned) / sales </w:t>
            </w:r>
            <w:r>
              <w:t>x period length</w:t>
            </w:r>
          </w:p>
        </w:tc>
        <w:tc>
          <w:tcPr>
            <w:tcW w:w="1701" w:type="dxa"/>
            <w:noWrap/>
            <w:hideMark/>
          </w:tcPr>
          <w:p w14:paraId="14DEF84F" w14:textId="77777777" w:rsidR="005C2F04" w:rsidRDefault="00072C48">
            <w:pPr>
              <w:spacing w:line="240" w:lineRule="auto"/>
              <w:jc w:val="left"/>
              <w:rPr>
                <w:rFonts w:eastAsia="Times New Roman" w:cs="Times New Roman"/>
                <w:color w:val="000000"/>
                <w:lang w:eastAsia="en-GB" w:bidi="bn-BD"/>
              </w:rPr>
            </w:pPr>
            <w:r>
              <w:rPr>
                <w:rFonts w:eastAsia="Times New Roman" w:cs="Times New Roman"/>
                <w:color w:val="000000"/>
                <w:lang w:eastAsia="en-GB" w:bidi="bn-BD"/>
              </w:rPr>
              <w:t xml:space="preserve">1249/ 6738 </w:t>
            </w:r>
            <w:r>
              <w:t>x 365</w:t>
            </w:r>
          </w:p>
        </w:tc>
        <w:tc>
          <w:tcPr>
            <w:tcW w:w="1567" w:type="dxa"/>
            <w:noWrap/>
            <w:hideMark/>
          </w:tcPr>
          <w:p w14:paraId="48E89F1A" w14:textId="77777777" w:rsidR="005C2F04" w:rsidRDefault="00072C48">
            <w:pPr>
              <w:spacing w:line="240" w:lineRule="auto"/>
              <w:jc w:val="left"/>
              <w:rPr>
                <w:rFonts w:eastAsia="Times New Roman" w:cs="Times New Roman"/>
                <w:color w:val="000000"/>
                <w:lang w:eastAsia="en-GB" w:bidi="bn-BD"/>
              </w:rPr>
            </w:pPr>
            <w:r>
              <w:rPr>
                <w:rFonts w:eastAsia="Times New Roman" w:cs="Times New Roman"/>
                <w:color w:val="000000"/>
                <w:lang w:eastAsia="en-GB" w:bidi="bn-BD"/>
              </w:rPr>
              <w:t>2355/ 6441</w:t>
            </w:r>
            <w:r>
              <w:t xml:space="preserve"> x 365</w:t>
            </w:r>
          </w:p>
        </w:tc>
      </w:tr>
      <w:tr w:rsidR="005C2F04" w14:paraId="43086D80" w14:textId="77777777">
        <w:trPr>
          <w:trHeight w:val="280"/>
        </w:trPr>
        <w:tc>
          <w:tcPr>
            <w:tcW w:w="5524" w:type="dxa"/>
            <w:gridSpan w:val="2"/>
            <w:noWrap/>
            <w:hideMark/>
          </w:tcPr>
          <w:p w14:paraId="0B8325B1" w14:textId="77777777" w:rsidR="005C2F04" w:rsidRDefault="005C2F04">
            <w:pPr>
              <w:spacing w:line="240" w:lineRule="auto"/>
              <w:rPr>
                <w:rFonts w:eastAsia="Times New Roman" w:cs="Times New Roman"/>
                <w:sz w:val="20"/>
                <w:szCs w:val="20"/>
                <w:lang w:eastAsia="en-GB" w:bidi="bn-BD"/>
              </w:rPr>
            </w:pPr>
          </w:p>
        </w:tc>
        <w:tc>
          <w:tcPr>
            <w:tcW w:w="1701" w:type="dxa"/>
            <w:noWrap/>
            <w:hideMark/>
          </w:tcPr>
          <w:p w14:paraId="4149B62A" w14:textId="77777777" w:rsidR="005C2F04" w:rsidRDefault="00072C48">
            <w:pPr>
              <w:tabs>
                <w:tab w:val="left" w:pos="1358"/>
                <w:tab w:val="right" w:pos="1485"/>
              </w:tabs>
              <w:spacing w:line="240" w:lineRule="auto"/>
              <w:jc w:val="left"/>
              <w:rPr>
                <w:rFonts w:eastAsia="Times New Roman" w:cs="Times New Roman"/>
                <w:color w:val="000000"/>
                <w:lang w:eastAsia="en-GB" w:bidi="bn-BD"/>
              </w:rPr>
            </w:pPr>
            <w:r>
              <w:rPr>
                <w:rFonts w:eastAsia="Times New Roman" w:cs="Times New Roman"/>
                <w:color w:val="000000"/>
                <w:lang w:eastAsia="en-GB" w:bidi="bn-BD"/>
              </w:rPr>
              <w:t xml:space="preserve">                      66</w:t>
            </w:r>
          </w:p>
        </w:tc>
        <w:tc>
          <w:tcPr>
            <w:tcW w:w="1567" w:type="dxa"/>
            <w:noWrap/>
            <w:hideMark/>
          </w:tcPr>
          <w:p w14:paraId="43DE524F" w14:textId="77777777" w:rsidR="005C2F04" w:rsidRDefault="00072C48">
            <w:pPr>
              <w:spacing w:line="240" w:lineRule="auto"/>
              <w:rPr>
                <w:rFonts w:eastAsia="Times New Roman" w:cs="Times New Roman"/>
                <w:color w:val="000000"/>
                <w:lang w:eastAsia="en-GB" w:bidi="bn-BD"/>
              </w:rPr>
            </w:pPr>
            <w:r>
              <w:rPr>
                <w:rFonts w:eastAsia="Times New Roman" w:cs="Times New Roman"/>
                <w:color w:val="000000"/>
                <w:lang w:eastAsia="en-GB" w:bidi="bn-BD"/>
              </w:rPr>
              <w:t xml:space="preserve">                 133</w:t>
            </w:r>
          </w:p>
        </w:tc>
      </w:tr>
    </w:tbl>
    <w:p w14:paraId="355DA84F" w14:textId="77777777" w:rsidR="005C2F04" w:rsidRDefault="005C2F04"/>
    <w:p w14:paraId="650EAC40" w14:textId="77777777" w:rsidR="005C2F04" w:rsidRDefault="00072C48">
      <w:pPr>
        <w:rPr>
          <w:b/>
          <w:bCs/>
        </w:rPr>
      </w:pPr>
      <w:r>
        <w:rPr>
          <w:b/>
          <w:bCs/>
        </w:rPr>
        <w:t>8- Current ratio</w:t>
      </w:r>
    </w:p>
    <w:tbl>
      <w:tblPr>
        <w:tblStyle w:val="a3"/>
        <w:tblW w:w="8792" w:type="dxa"/>
        <w:tblLook w:val="04A0" w:firstRow="1" w:lastRow="0" w:firstColumn="1" w:lastColumn="0" w:noHBand="0" w:noVBand="1"/>
      </w:tblPr>
      <w:tblGrid>
        <w:gridCol w:w="1789"/>
        <w:gridCol w:w="3735"/>
        <w:gridCol w:w="1701"/>
        <w:gridCol w:w="1567"/>
      </w:tblGrid>
      <w:tr w:rsidR="005C2F04" w14:paraId="4011B1FF" w14:textId="77777777">
        <w:trPr>
          <w:trHeight w:val="280"/>
        </w:trPr>
        <w:tc>
          <w:tcPr>
            <w:tcW w:w="1789" w:type="dxa"/>
            <w:noWrap/>
            <w:hideMark/>
          </w:tcPr>
          <w:p w14:paraId="7EF2ED03" w14:textId="77777777" w:rsidR="005C2F04" w:rsidRDefault="005C2F04">
            <w:pPr>
              <w:spacing w:line="240" w:lineRule="auto"/>
              <w:jc w:val="left"/>
              <w:rPr>
                <w:rFonts w:eastAsia="Times New Roman" w:cs="Times New Roman"/>
                <w:sz w:val="20"/>
                <w:szCs w:val="24"/>
                <w:lang w:eastAsia="en-GB" w:bidi="bn-BD"/>
              </w:rPr>
            </w:pPr>
          </w:p>
        </w:tc>
        <w:tc>
          <w:tcPr>
            <w:tcW w:w="3735" w:type="dxa"/>
            <w:shd w:val="clear" w:color="auto" w:fill="C5E0B3"/>
            <w:noWrap/>
            <w:hideMark/>
          </w:tcPr>
          <w:p w14:paraId="487B7D28" w14:textId="77777777" w:rsidR="005C2F04" w:rsidRDefault="00072C48">
            <w:pPr>
              <w:spacing w:line="240" w:lineRule="auto"/>
              <w:jc w:val="center"/>
              <w:rPr>
                <w:rFonts w:eastAsia="Times New Roman" w:cs="Times New Roman"/>
                <w:b/>
                <w:bCs/>
                <w:szCs w:val="24"/>
                <w:lang w:eastAsia="en-GB" w:bidi="bn-BD"/>
              </w:rPr>
            </w:pPr>
            <w:r>
              <w:rPr>
                <w:rFonts w:eastAsia="Times New Roman" w:cs="Times New Roman"/>
                <w:b/>
                <w:bCs/>
                <w:szCs w:val="24"/>
                <w:lang w:eastAsia="en-GB" w:bidi="bn-BD"/>
              </w:rPr>
              <w:t>Formula</w:t>
            </w:r>
          </w:p>
        </w:tc>
        <w:tc>
          <w:tcPr>
            <w:tcW w:w="1701" w:type="dxa"/>
            <w:shd w:val="clear" w:color="auto" w:fill="C5E0B3"/>
            <w:noWrap/>
            <w:hideMark/>
          </w:tcPr>
          <w:p w14:paraId="447D451E"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2021</w:t>
            </w:r>
          </w:p>
        </w:tc>
        <w:tc>
          <w:tcPr>
            <w:tcW w:w="1567" w:type="dxa"/>
            <w:shd w:val="clear" w:color="auto" w:fill="C5E0B3"/>
            <w:noWrap/>
            <w:hideMark/>
          </w:tcPr>
          <w:p w14:paraId="14D164B8"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2020</w:t>
            </w:r>
          </w:p>
        </w:tc>
      </w:tr>
      <w:tr w:rsidR="005C2F04" w14:paraId="3267F999" w14:textId="77777777">
        <w:trPr>
          <w:trHeight w:val="280"/>
        </w:trPr>
        <w:tc>
          <w:tcPr>
            <w:tcW w:w="1789" w:type="dxa"/>
            <w:noWrap/>
            <w:hideMark/>
          </w:tcPr>
          <w:p w14:paraId="01E66499"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Current ratio</w:t>
            </w:r>
          </w:p>
        </w:tc>
        <w:tc>
          <w:tcPr>
            <w:tcW w:w="3735" w:type="dxa"/>
            <w:noWrap/>
            <w:hideMark/>
          </w:tcPr>
          <w:p w14:paraId="7EADF6B4"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Current assets/Current Liabilities</w:t>
            </w:r>
          </w:p>
        </w:tc>
        <w:tc>
          <w:tcPr>
            <w:tcW w:w="1701" w:type="dxa"/>
            <w:noWrap/>
            <w:hideMark/>
          </w:tcPr>
          <w:p w14:paraId="72DE4F47" w14:textId="77777777" w:rsidR="005C2F04" w:rsidRDefault="00072C48">
            <w:pPr>
              <w:spacing w:line="240" w:lineRule="auto"/>
              <w:jc w:val="left"/>
              <w:rPr>
                <w:rFonts w:eastAsia="Times New Roman" w:cs="Times New Roman"/>
                <w:color w:val="000000"/>
                <w:lang w:eastAsia="en-GB" w:bidi="bn-BD"/>
              </w:rPr>
            </w:pPr>
            <w:r>
              <w:rPr>
                <w:rFonts w:eastAsia="Times New Roman" w:cs="Times New Roman"/>
                <w:color w:val="000000"/>
                <w:lang w:eastAsia="en-GB" w:bidi="bn-BD"/>
              </w:rPr>
              <w:t>2303/ 2511</w:t>
            </w:r>
          </w:p>
        </w:tc>
        <w:tc>
          <w:tcPr>
            <w:tcW w:w="1567" w:type="dxa"/>
            <w:noWrap/>
            <w:hideMark/>
          </w:tcPr>
          <w:p w14:paraId="55943953" w14:textId="77777777" w:rsidR="005C2F04" w:rsidRDefault="00072C48">
            <w:pPr>
              <w:spacing w:line="240" w:lineRule="auto"/>
              <w:jc w:val="left"/>
              <w:rPr>
                <w:rFonts w:eastAsia="Times New Roman" w:cs="Times New Roman"/>
                <w:color w:val="000000"/>
                <w:lang w:eastAsia="en-GB" w:bidi="bn-BD"/>
              </w:rPr>
            </w:pPr>
            <w:r>
              <w:rPr>
                <w:rFonts w:eastAsia="Times New Roman" w:cs="Times New Roman"/>
                <w:color w:val="000000"/>
                <w:lang w:eastAsia="en-GB" w:bidi="bn-BD"/>
              </w:rPr>
              <w:t>2355/ 3046</w:t>
            </w:r>
          </w:p>
        </w:tc>
      </w:tr>
      <w:tr w:rsidR="005C2F04" w14:paraId="70571B7F" w14:textId="77777777">
        <w:trPr>
          <w:trHeight w:val="280"/>
        </w:trPr>
        <w:tc>
          <w:tcPr>
            <w:tcW w:w="5524" w:type="dxa"/>
            <w:gridSpan w:val="2"/>
            <w:noWrap/>
            <w:hideMark/>
          </w:tcPr>
          <w:p w14:paraId="59DF3141" w14:textId="77777777" w:rsidR="005C2F04" w:rsidRDefault="005C2F04">
            <w:pPr>
              <w:spacing w:line="240" w:lineRule="auto"/>
              <w:rPr>
                <w:rFonts w:eastAsia="Times New Roman" w:cs="Times New Roman"/>
                <w:sz w:val="20"/>
                <w:szCs w:val="20"/>
                <w:lang w:eastAsia="en-GB" w:bidi="bn-BD"/>
              </w:rPr>
            </w:pPr>
          </w:p>
        </w:tc>
        <w:tc>
          <w:tcPr>
            <w:tcW w:w="1701" w:type="dxa"/>
            <w:noWrap/>
            <w:hideMark/>
          </w:tcPr>
          <w:p w14:paraId="6271802D" w14:textId="77777777" w:rsidR="005C2F04" w:rsidRDefault="00072C48">
            <w:pPr>
              <w:spacing w:line="240" w:lineRule="auto"/>
              <w:jc w:val="right"/>
              <w:rPr>
                <w:rFonts w:eastAsia="Times New Roman" w:cs="Times New Roman"/>
                <w:color w:val="000000"/>
                <w:lang w:eastAsia="en-GB" w:bidi="bn-BD"/>
              </w:rPr>
            </w:pPr>
            <w:r>
              <w:rPr>
                <w:rFonts w:eastAsia="Times New Roman" w:cs="Times New Roman"/>
                <w:color w:val="000000"/>
                <w:lang w:eastAsia="en-GB" w:bidi="bn-BD"/>
              </w:rPr>
              <w:t>1</w:t>
            </w:r>
          </w:p>
        </w:tc>
        <w:tc>
          <w:tcPr>
            <w:tcW w:w="1567" w:type="dxa"/>
            <w:noWrap/>
            <w:hideMark/>
          </w:tcPr>
          <w:p w14:paraId="374F17F6" w14:textId="77777777" w:rsidR="005C2F04" w:rsidRDefault="00072C48">
            <w:pPr>
              <w:spacing w:line="240" w:lineRule="auto"/>
              <w:jc w:val="right"/>
              <w:rPr>
                <w:rFonts w:eastAsia="Times New Roman" w:cs="Times New Roman"/>
                <w:color w:val="000000"/>
                <w:lang w:eastAsia="en-GB" w:bidi="bn-BD"/>
              </w:rPr>
            </w:pPr>
            <w:r>
              <w:rPr>
                <w:rFonts w:eastAsia="Times New Roman" w:cs="Times New Roman"/>
                <w:color w:val="000000"/>
                <w:lang w:eastAsia="en-GB" w:bidi="bn-BD"/>
              </w:rPr>
              <w:t>1</w:t>
            </w:r>
          </w:p>
        </w:tc>
      </w:tr>
    </w:tbl>
    <w:p w14:paraId="58C6BCE3" w14:textId="77777777" w:rsidR="005C2F04" w:rsidRDefault="00072C48">
      <w:pPr>
        <w:spacing w:line="259" w:lineRule="auto"/>
        <w:jc w:val="left"/>
        <w:rPr>
          <w:b/>
          <w:bCs/>
        </w:rPr>
      </w:pPr>
      <w:r>
        <w:rPr>
          <w:b/>
          <w:bCs/>
        </w:rPr>
        <w:br w:type="page"/>
      </w:r>
    </w:p>
    <w:p w14:paraId="5B494414" w14:textId="77777777" w:rsidR="005C2F04" w:rsidRDefault="00072C48">
      <w:pPr>
        <w:rPr>
          <w:b/>
          <w:bCs/>
        </w:rPr>
      </w:pPr>
      <w:r>
        <w:rPr>
          <w:b/>
          <w:bCs/>
        </w:rPr>
        <w:t>9- Gearing ratio</w:t>
      </w:r>
    </w:p>
    <w:tbl>
      <w:tblPr>
        <w:tblStyle w:val="a3"/>
        <w:tblW w:w="8040" w:type="dxa"/>
        <w:tblLook w:val="04A0" w:firstRow="1" w:lastRow="0" w:firstColumn="1" w:lastColumn="0" w:noHBand="0" w:noVBand="1"/>
      </w:tblPr>
      <w:tblGrid>
        <w:gridCol w:w="2800"/>
        <w:gridCol w:w="3080"/>
        <w:gridCol w:w="1243"/>
        <w:gridCol w:w="1243"/>
      </w:tblGrid>
      <w:tr w:rsidR="005C2F04" w14:paraId="73974F07" w14:textId="77777777">
        <w:trPr>
          <w:trHeight w:val="315"/>
        </w:trPr>
        <w:tc>
          <w:tcPr>
            <w:tcW w:w="2800" w:type="dxa"/>
            <w:shd w:val="clear" w:color="auto" w:fill="C5E0B3"/>
            <w:noWrap/>
            <w:hideMark/>
          </w:tcPr>
          <w:p w14:paraId="24C59786" w14:textId="77777777" w:rsidR="005C2F04" w:rsidRDefault="005C2F04">
            <w:pPr>
              <w:spacing w:line="240" w:lineRule="auto"/>
              <w:jc w:val="center"/>
              <w:rPr>
                <w:rFonts w:eastAsia="Times New Roman" w:cs="Times New Roman"/>
                <w:b/>
                <w:bCs/>
                <w:szCs w:val="24"/>
                <w:lang w:eastAsia="en-GB" w:bidi="bn-BD"/>
              </w:rPr>
            </w:pPr>
          </w:p>
        </w:tc>
        <w:tc>
          <w:tcPr>
            <w:tcW w:w="3080" w:type="dxa"/>
            <w:shd w:val="clear" w:color="auto" w:fill="C5E0B3"/>
            <w:noWrap/>
            <w:hideMark/>
          </w:tcPr>
          <w:p w14:paraId="4B52A481" w14:textId="77777777" w:rsidR="005C2F04" w:rsidRDefault="00072C48">
            <w:pPr>
              <w:spacing w:line="240" w:lineRule="auto"/>
              <w:jc w:val="center"/>
              <w:rPr>
                <w:rFonts w:eastAsia="Times New Roman" w:cs="Times New Roman"/>
                <w:b/>
                <w:bCs/>
                <w:szCs w:val="24"/>
                <w:lang w:eastAsia="en-GB" w:bidi="bn-BD"/>
              </w:rPr>
            </w:pPr>
            <w:r>
              <w:rPr>
                <w:rFonts w:eastAsia="Times New Roman" w:cs="Times New Roman"/>
                <w:b/>
                <w:bCs/>
                <w:szCs w:val="24"/>
                <w:lang w:eastAsia="en-GB" w:bidi="bn-BD"/>
              </w:rPr>
              <w:t>Formula</w:t>
            </w:r>
          </w:p>
        </w:tc>
        <w:tc>
          <w:tcPr>
            <w:tcW w:w="1080" w:type="dxa"/>
            <w:shd w:val="clear" w:color="auto" w:fill="C5E0B3"/>
            <w:noWrap/>
            <w:hideMark/>
          </w:tcPr>
          <w:p w14:paraId="3C7DC4E0"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2021</w:t>
            </w:r>
          </w:p>
        </w:tc>
        <w:tc>
          <w:tcPr>
            <w:tcW w:w="1080" w:type="dxa"/>
            <w:shd w:val="clear" w:color="auto" w:fill="C5E0B3"/>
            <w:noWrap/>
            <w:hideMark/>
          </w:tcPr>
          <w:p w14:paraId="3FF6A150" w14:textId="77777777" w:rsidR="005C2F04" w:rsidRDefault="00072C48">
            <w:pPr>
              <w:spacing w:line="240" w:lineRule="auto"/>
              <w:jc w:val="center"/>
              <w:rPr>
                <w:rFonts w:eastAsia="Times New Roman" w:cs="Times New Roman"/>
                <w:b/>
                <w:bCs/>
                <w:color w:val="000000"/>
                <w:szCs w:val="24"/>
                <w:lang w:eastAsia="en-GB" w:bidi="bn-BD"/>
              </w:rPr>
            </w:pPr>
            <w:r>
              <w:rPr>
                <w:rFonts w:eastAsia="Times New Roman" w:cs="Times New Roman"/>
                <w:b/>
                <w:bCs/>
                <w:color w:val="000000"/>
                <w:szCs w:val="24"/>
                <w:lang w:eastAsia="en-GB" w:bidi="bn-BD"/>
              </w:rPr>
              <w:t>2020</w:t>
            </w:r>
          </w:p>
        </w:tc>
      </w:tr>
      <w:tr w:rsidR="005C2F04" w14:paraId="51699938" w14:textId="77777777">
        <w:trPr>
          <w:trHeight w:val="315"/>
        </w:trPr>
        <w:tc>
          <w:tcPr>
            <w:tcW w:w="2800" w:type="dxa"/>
            <w:noWrap/>
            <w:hideMark/>
          </w:tcPr>
          <w:p w14:paraId="0EBFBF00"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Gearing ratio</w:t>
            </w:r>
          </w:p>
        </w:tc>
        <w:tc>
          <w:tcPr>
            <w:tcW w:w="3080" w:type="dxa"/>
            <w:noWrap/>
            <w:hideMark/>
          </w:tcPr>
          <w:p w14:paraId="6D0F156D" w14:textId="77777777" w:rsidR="005C2F04" w:rsidRDefault="00072C48">
            <w:pPr>
              <w:spacing w:line="240" w:lineRule="auto"/>
              <w:jc w:val="left"/>
              <w:rPr>
                <w:rFonts w:eastAsia="Times New Roman" w:cs="Times New Roman"/>
                <w:color w:val="000000"/>
                <w:lang w:eastAsia="en-GB" w:bidi="bn-BD"/>
              </w:rPr>
            </w:pPr>
            <w:r>
              <w:rPr>
                <w:rFonts w:eastAsia="Times New Roman" w:cs="Times New Roman"/>
                <w:color w:val="000000"/>
                <w:lang w:eastAsia="en-GB" w:bidi="bn-BD"/>
              </w:rPr>
              <w:t>Total debt/ Total Equity</w:t>
            </w:r>
          </w:p>
        </w:tc>
        <w:tc>
          <w:tcPr>
            <w:tcW w:w="1080" w:type="dxa"/>
            <w:noWrap/>
            <w:hideMark/>
          </w:tcPr>
          <w:p w14:paraId="76B5D9CD" w14:textId="77777777" w:rsidR="005C2F04" w:rsidRDefault="00072C48">
            <w:pPr>
              <w:spacing w:line="240" w:lineRule="auto"/>
              <w:jc w:val="left"/>
              <w:rPr>
                <w:rFonts w:eastAsia="Times New Roman" w:cs="Times New Roman"/>
                <w:color w:val="000000"/>
                <w:lang w:eastAsia="en-GB" w:bidi="bn-BD"/>
              </w:rPr>
            </w:pPr>
            <w:r>
              <w:rPr>
                <w:rFonts w:eastAsia="Times New Roman" w:cs="Times New Roman"/>
                <w:color w:val="000000"/>
                <w:lang w:eastAsia="en-GB" w:bidi="bn-BD"/>
              </w:rPr>
              <w:t>6648/3088</w:t>
            </w:r>
          </w:p>
        </w:tc>
        <w:tc>
          <w:tcPr>
            <w:tcW w:w="1080" w:type="dxa"/>
            <w:noWrap/>
            <w:hideMark/>
          </w:tcPr>
          <w:p w14:paraId="39717A32" w14:textId="77777777" w:rsidR="005C2F04" w:rsidRDefault="00072C48">
            <w:pPr>
              <w:spacing w:line="240" w:lineRule="auto"/>
              <w:jc w:val="left"/>
              <w:rPr>
                <w:rFonts w:eastAsia="Times New Roman" w:cs="Times New Roman"/>
                <w:color w:val="000000"/>
                <w:lang w:eastAsia="en-GB" w:bidi="bn-BD"/>
              </w:rPr>
            </w:pPr>
            <w:r>
              <w:rPr>
                <w:rFonts w:eastAsia="Times New Roman" w:cs="Times New Roman"/>
                <w:color w:val="000000"/>
                <w:lang w:eastAsia="en-GB" w:bidi="bn-BD"/>
              </w:rPr>
              <w:t>7175/2912</w:t>
            </w:r>
          </w:p>
        </w:tc>
      </w:tr>
      <w:tr w:rsidR="005C2F04" w14:paraId="493A88E3" w14:textId="77777777">
        <w:trPr>
          <w:trHeight w:val="315"/>
        </w:trPr>
        <w:tc>
          <w:tcPr>
            <w:tcW w:w="2800" w:type="dxa"/>
            <w:noWrap/>
            <w:hideMark/>
          </w:tcPr>
          <w:p w14:paraId="5B27D701" w14:textId="77777777" w:rsidR="005C2F04" w:rsidRDefault="005C2F04">
            <w:pPr>
              <w:spacing w:line="240" w:lineRule="auto"/>
              <w:jc w:val="left"/>
              <w:rPr>
                <w:rFonts w:eastAsia="Times New Roman" w:cs="Times New Roman"/>
                <w:color w:val="000000"/>
                <w:lang w:eastAsia="en-GB" w:bidi="bn-BD"/>
              </w:rPr>
            </w:pPr>
          </w:p>
        </w:tc>
        <w:tc>
          <w:tcPr>
            <w:tcW w:w="3080" w:type="dxa"/>
            <w:noWrap/>
            <w:hideMark/>
          </w:tcPr>
          <w:p w14:paraId="22701D27" w14:textId="77777777" w:rsidR="005C2F04" w:rsidRDefault="005C2F04">
            <w:pPr>
              <w:spacing w:line="240" w:lineRule="auto"/>
              <w:rPr>
                <w:rFonts w:eastAsia="Times New Roman" w:cs="Times New Roman"/>
                <w:sz w:val="20"/>
                <w:szCs w:val="20"/>
                <w:lang w:eastAsia="en-GB" w:bidi="bn-BD"/>
              </w:rPr>
            </w:pPr>
          </w:p>
        </w:tc>
        <w:tc>
          <w:tcPr>
            <w:tcW w:w="1080" w:type="dxa"/>
            <w:noWrap/>
            <w:hideMark/>
          </w:tcPr>
          <w:p w14:paraId="421B2833" w14:textId="77777777" w:rsidR="005C2F04" w:rsidRDefault="00072C48">
            <w:pPr>
              <w:spacing w:line="240" w:lineRule="auto"/>
              <w:jc w:val="right"/>
              <w:rPr>
                <w:rFonts w:eastAsia="Times New Roman" w:cs="Times New Roman"/>
                <w:color w:val="000000"/>
                <w:lang w:eastAsia="en-GB" w:bidi="bn-BD"/>
              </w:rPr>
            </w:pPr>
            <w:r>
              <w:rPr>
                <w:rFonts w:eastAsia="Times New Roman" w:cs="Times New Roman"/>
                <w:color w:val="000000"/>
                <w:lang w:eastAsia="en-GB" w:bidi="bn-BD"/>
              </w:rPr>
              <w:t>2.1521528</w:t>
            </w:r>
          </w:p>
        </w:tc>
        <w:tc>
          <w:tcPr>
            <w:tcW w:w="1080" w:type="dxa"/>
            <w:noWrap/>
            <w:hideMark/>
          </w:tcPr>
          <w:p w14:paraId="26E20DDC" w14:textId="77777777" w:rsidR="005C2F04" w:rsidRDefault="00072C48">
            <w:pPr>
              <w:spacing w:line="240" w:lineRule="auto"/>
              <w:jc w:val="right"/>
              <w:rPr>
                <w:rFonts w:eastAsia="Times New Roman" w:cs="Times New Roman"/>
                <w:color w:val="000000"/>
                <w:lang w:eastAsia="en-GB" w:bidi="bn-BD"/>
              </w:rPr>
            </w:pPr>
            <w:r>
              <w:rPr>
                <w:rFonts w:eastAsia="Times New Roman" w:cs="Times New Roman"/>
                <w:color w:val="000000"/>
                <w:lang w:eastAsia="en-GB" w:bidi="bn-BD"/>
              </w:rPr>
              <w:t>2.4630965</w:t>
            </w:r>
          </w:p>
        </w:tc>
      </w:tr>
    </w:tbl>
    <w:p w14:paraId="65A24FBE" w14:textId="77777777" w:rsidR="005C2F04" w:rsidRDefault="005C2F04"/>
    <w:p w14:paraId="1EDA1FB7" w14:textId="77777777" w:rsidR="005C2F04" w:rsidRDefault="00072C48">
      <w:pPr>
        <w:rPr>
          <w:b/>
          <w:bCs/>
        </w:rPr>
      </w:pPr>
      <w:r>
        <w:rPr>
          <w:b/>
          <w:bCs/>
        </w:rPr>
        <w:t>10- Interest cover</w:t>
      </w:r>
    </w:p>
    <w:tbl>
      <w:tblPr>
        <w:tblStyle w:val="a3"/>
        <w:tblW w:w="8040" w:type="dxa"/>
        <w:tblLook w:val="04A0" w:firstRow="1" w:lastRow="0" w:firstColumn="1" w:lastColumn="0" w:noHBand="0" w:noVBand="1"/>
      </w:tblPr>
      <w:tblGrid>
        <w:gridCol w:w="2800"/>
        <w:gridCol w:w="3080"/>
        <w:gridCol w:w="1236"/>
        <w:gridCol w:w="1116"/>
      </w:tblGrid>
      <w:tr w:rsidR="005C2F04" w14:paraId="3487D953" w14:textId="77777777">
        <w:trPr>
          <w:trHeight w:val="315"/>
        </w:trPr>
        <w:tc>
          <w:tcPr>
            <w:tcW w:w="2800" w:type="dxa"/>
            <w:shd w:val="clear" w:color="auto" w:fill="C5E0B3"/>
            <w:noWrap/>
            <w:hideMark/>
          </w:tcPr>
          <w:p w14:paraId="30FF7457" w14:textId="77777777" w:rsidR="005C2F04" w:rsidRDefault="005C2F04">
            <w:pPr>
              <w:spacing w:line="240" w:lineRule="auto"/>
              <w:jc w:val="left"/>
              <w:rPr>
                <w:rFonts w:eastAsia="Times New Roman" w:cs="Times New Roman"/>
                <w:sz w:val="20"/>
                <w:szCs w:val="24"/>
                <w:lang w:eastAsia="en-GB" w:bidi="bn-BD"/>
              </w:rPr>
            </w:pPr>
          </w:p>
        </w:tc>
        <w:tc>
          <w:tcPr>
            <w:tcW w:w="3080" w:type="dxa"/>
            <w:shd w:val="clear" w:color="auto" w:fill="C5E0B3"/>
            <w:noWrap/>
            <w:hideMark/>
          </w:tcPr>
          <w:p w14:paraId="531F04AC" w14:textId="77777777" w:rsidR="005C2F04" w:rsidRDefault="00072C48">
            <w:pPr>
              <w:spacing w:line="240" w:lineRule="auto"/>
              <w:rPr>
                <w:rFonts w:eastAsia="Times New Roman" w:cs="Times New Roman"/>
                <w:sz w:val="20"/>
                <w:szCs w:val="20"/>
                <w:lang w:eastAsia="en-GB" w:bidi="bn-BD"/>
              </w:rPr>
            </w:pPr>
            <w:r>
              <w:rPr>
                <w:rFonts w:eastAsia="Times New Roman" w:cs="Times New Roman"/>
                <w:b/>
                <w:bCs/>
                <w:szCs w:val="24"/>
                <w:lang w:eastAsia="en-GB" w:bidi="bn-BD"/>
              </w:rPr>
              <w:t>Formula</w:t>
            </w:r>
          </w:p>
        </w:tc>
        <w:tc>
          <w:tcPr>
            <w:tcW w:w="1080" w:type="dxa"/>
            <w:shd w:val="clear" w:color="auto" w:fill="C5E0B3"/>
            <w:noWrap/>
            <w:hideMark/>
          </w:tcPr>
          <w:p w14:paraId="680316DE" w14:textId="77777777" w:rsidR="005C2F04" w:rsidRDefault="00072C48">
            <w:pPr>
              <w:spacing w:line="240" w:lineRule="auto"/>
              <w:jc w:val="center"/>
              <w:rPr>
                <w:rFonts w:eastAsia="Times New Roman" w:cs="Times New Roman"/>
                <w:color w:val="000000"/>
                <w:lang w:eastAsia="en-GB" w:bidi="bn-BD"/>
              </w:rPr>
            </w:pPr>
            <w:r>
              <w:rPr>
                <w:rFonts w:eastAsia="Times New Roman" w:cs="Times New Roman"/>
                <w:color w:val="000000"/>
                <w:lang w:eastAsia="en-GB" w:bidi="bn-BD"/>
              </w:rPr>
              <w:t>2021</w:t>
            </w:r>
          </w:p>
        </w:tc>
        <w:tc>
          <w:tcPr>
            <w:tcW w:w="1080" w:type="dxa"/>
            <w:shd w:val="clear" w:color="auto" w:fill="C5E0B3"/>
            <w:noWrap/>
            <w:hideMark/>
          </w:tcPr>
          <w:p w14:paraId="5991416D" w14:textId="77777777" w:rsidR="005C2F04" w:rsidRDefault="00072C48">
            <w:pPr>
              <w:spacing w:line="240" w:lineRule="auto"/>
              <w:jc w:val="center"/>
              <w:rPr>
                <w:rFonts w:eastAsia="Times New Roman" w:cs="Times New Roman"/>
                <w:color w:val="000000"/>
                <w:lang w:eastAsia="en-GB" w:bidi="bn-BD"/>
              </w:rPr>
            </w:pPr>
            <w:r>
              <w:rPr>
                <w:rFonts w:eastAsia="Times New Roman" w:cs="Times New Roman"/>
                <w:color w:val="000000"/>
                <w:lang w:eastAsia="en-GB" w:bidi="bn-BD"/>
              </w:rPr>
              <w:t>2020</w:t>
            </w:r>
          </w:p>
        </w:tc>
      </w:tr>
      <w:tr w:rsidR="005C2F04" w14:paraId="420B6CAD" w14:textId="77777777">
        <w:trPr>
          <w:trHeight w:val="315"/>
        </w:trPr>
        <w:tc>
          <w:tcPr>
            <w:tcW w:w="2800" w:type="dxa"/>
            <w:noWrap/>
            <w:hideMark/>
          </w:tcPr>
          <w:p w14:paraId="5AA9201D" w14:textId="77777777" w:rsidR="005C2F04" w:rsidRDefault="00072C48">
            <w:pPr>
              <w:spacing w:line="240" w:lineRule="auto"/>
              <w:rPr>
                <w:rFonts w:eastAsia="Times New Roman" w:cs="Times New Roman"/>
                <w:color w:val="000000"/>
                <w:szCs w:val="24"/>
                <w:lang w:eastAsia="en-GB" w:bidi="bn-BD"/>
              </w:rPr>
            </w:pPr>
            <w:r>
              <w:rPr>
                <w:rFonts w:eastAsia="Times New Roman" w:cs="Times New Roman"/>
                <w:color w:val="000000"/>
                <w:szCs w:val="24"/>
                <w:lang w:eastAsia="en-GB" w:bidi="bn-BD"/>
              </w:rPr>
              <w:t>Interest cover</w:t>
            </w:r>
          </w:p>
        </w:tc>
        <w:tc>
          <w:tcPr>
            <w:tcW w:w="3080" w:type="dxa"/>
            <w:noWrap/>
            <w:hideMark/>
          </w:tcPr>
          <w:p w14:paraId="2541E602" w14:textId="77777777" w:rsidR="005C2F04" w:rsidRDefault="00072C48">
            <w:pPr>
              <w:spacing w:line="240" w:lineRule="auto"/>
              <w:jc w:val="left"/>
              <w:rPr>
                <w:rFonts w:eastAsia="Times New Roman" w:cs="Times New Roman"/>
                <w:color w:val="000000"/>
                <w:lang w:eastAsia="en-GB" w:bidi="bn-BD"/>
              </w:rPr>
            </w:pPr>
            <w:r>
              <w:rPr>
                <w:rFonts w:eastAsia="Times New Roman" w:cs="Times New Roman"/>
                <w:color w:val="000000"/>
                <w:lang w:eastAsia="en-GB" w:bidi="bn-BD"/>
              </w:rPr>
              <w:t>EBIT/Interest expense</w:t>
            </w:r>
          </w:p>
        </w:tc>
        <w:tc>
          <w:tcPr>
            <w:tcW w:w="1080" w:type="dxa"/>
            <w:noWrap/>
            <w:hideMark/>
          </w:tcPr>
          <w:p w14:paraId="6C219CA9" w14:textId="77777777" w:rsidR="005C2F04" w:rsidRDefault="00072C48">
            <w:pPr>
              <w:spacing w:line="240" w:lineRule="auto"/>
              <w:jc w:val="left"/>
              <w:rPr>
                <w:rFonts w:eastAsia="Times New Roman" w:cs="Times New Roman"/>
                <w:color w:val="000000"/>
                <w:lang w:eastAsia="en-GB" w:bidi="bn-BD"/>
              </w:rPr>
            </w:pPr>
            <w:r>
              <w:rPr>
                <w:rFonts w:eastAsia="Times New Roman" w:cs="Times New Roman"/>
                <w:color w:val="000000"/>
                <w:lang w:eastAsia="en-GB" w:bidi="bn-BD"/>
              </w:rPr>
              <w:t>394/226</w:t>
            </w:r>
          </w:p>
        </w:tc>
        <w:tc>
          <w:tcPr>
            <w:tcW w:w="1080" w:type="dxa"/>
            <w:noWrap/>
            <w:hideMark/>
          </w:tcPr>
          <w:p w14:paraId="6083F99A" w14:textId="77777777" w:rsidR="005C2F04" w:rsidRDefault="00072C48">
            <w:pPr>
              <w:spacing w:line="240" w:lineRule="auto"/>
              <w:jc w:val="left"/>
              <w:rPr>
                <w:rFonts w:eastAsia="Times New Roman" w:cs="Times New Roman"/>
                <w:color w:val="000000"/>
                <w:lang w:eastAsia="en-GB" w:bidi="bn-BD"/>
              </w:rPr>
            </w:pPr>
            <w:r>
              <w:rPr>
                <w:rFonts w:eastAsia="Times New Roman" w:cs="Times New Roman"/>
                <w:color w:val="000000"/>
                <w:lang w:eastAsia="en-GB" w:bidi="bn-BD"/>
              </w:rPr>
              <w:t>366/181</w:t>
            </w:r>
          </w:p>
        </w:tc>
      </w:tr>
      <w:tr w:rsidR="005C2F04" w14:paraId="60CA84BC" w14:textId="77777777">
        <w:trPr>
          <w:trHeight w:val="300"/>
        </w:trPr>
        <w:tc>
          <w:tcPr>
            <w:tcW w:w="2800" w:type="dxa"/>
            <w:noWrap/>
            <w:hideMark/>
          </w:tcPr>
          <w:p w14:paraId="4B54F99F" w14:textId="77777777" w:rsidR="005C2F04" w:rsidRDefault="005C2F04">
            <w:pPr>
              <w:spacing w:line="240" w:lineRule="auto"/>
              <w:jc w:val="left"/>
              <w:rPr>
                <w:rFonts w:eastAsia="Times New Roman" w:cs="Times New Roman"/>
                <w:color w:val="000000"/>
                <w:lang w:eastAsia="en-GB" w:bidi="bn-BD"/>
              </w:rPr>
            </w:pPr>
          </w:p>
        </w:tc>
        <w:tc>
          <w:tcPr>
            <w:tcW w:w="3080" w:type="dxa"/>
            <w:noWrap/>
            <w:hideMark/>
          </w:tcPr>
          <w:p w14:paraId="15F91B43" w14:textId="77777777" w:rsidR="005C2F04" w:rsidRDefault="005C2F04">
            <w:pPr>
              <w:spacing w:line="240" w:lineRule="auto"/>
              <w:jc w:val="left"/>
              <w:rPr>
                <w:rFonts w:eastAsia="Times New Roman" w:cs="Times New Roman"/>
                <w:sz w:val="20"/>
                <w:szCs w:val="20"/>
                <w:lang w:eastAsia="en-GB" w:bidi="bn-BD"/>
              </w:rPr>
            </w:pPr>
          </w:p>
        </w:tc>
        <w:tc>
          <w:tcPr>
            <w:tcW w:w="1080" w:type="dxa"/>
            <w:noWrap/>
            <w:hideMark/>
          </w:tcPr>
          <w:p w14:paraId="10978C4B" w14:textId="77777777" w:rsidR="005C2F04" w:rsidRDefault="00072C48">
            <w:pPr>
              <w:spacing w:line="240" w:lineRule="auto"/>
              <w:jc w:val="right"/>
              <w:rPr>
                <w:rFonts w:eastAsia="Times New Roman" w:cs="Times New Roman"/>
                <w:color w:val="000000"/>
                <w:lang w:eastAsia="en-GB" w:bidi="bn-BD"/>
              </w:rPr>
            </w:pPr>
            <w:r>
              <w:rPr>
                <w:rFonts w:eastAsia="Times New Roman" w:cs="Times New Roman"/>
                <w:color w:val="000000"/>
                <w:lang w:eastAsia="en-GB" w:bidi="bn-BD"/>
              </w:rPr>
              <w:t>1.7356828</w:t>
            </w:r>
          </w:p>
        </w:tc>
        <w:tc>
          <w:tcPr>
            <w:tcW w:w="1080" w:type="dxa"/>
            <w:noWrap/>
            <w:hideMark/>
          </w:tcPr>
          <w:p w14:paraId="20EDE081" w14:textId="77777777" w:rsidR="005C2F04" w:rsidRDefault="00072C48">
            <w:pPr>
              <w:spacing w:line="240" w:lineRule="auto"/>
              <w:jc w:val="right"/>
              <w:rPr>
                <w:rFonts w:eastAsia="Times New Roman" w:cs="Times New Roman"/>
                <w:color w:val="000000"/>
                <w:lang w:eastAsia="en-GB" w:bidi="bn-BD"/>
              </w:rPr>
            </w:pPr>
            <w:r>
              <w:rPr>
                <w:rFonts w:eastAsia="Times New Roman" w:cs="Times New Roman"/>
                <w:color w:val="000000"/>
                <w:lang w:eastAsia="en-GB" w:bidi="bn-BD"/>
              </w:rPr>
              <w:t>2.010989</w:t>
            </w:r>
          </w:p>
        </w:tc>
      </w:tr>
    </w:tbl>
    <w:p w14:paraId="54531243" w14:textId="77777777" w:rsidR="005C2F04" w:rsidRDefault="005C2F04"/>
    <w:p w14:paraId="11F078BF" w14:textId="77777777" w:rsidR="005C2F04" w:rsidRDefault="005C2F04"/>
    <w:p w14:paraId="5154FA26" w14:textId="77777777" w:rsidR="005C2F04" w:rsidRDefault="005C2F04"/>
    <w:p w14:paraId="440D5793" w14:textId="77777777" w:rsidR="005C2F04" w:rsidRDefault="00072C48">
      <w:pPr>
        <w:pStyle w:val="2"/>
      </w:pPr>
      <w:r>
        <w:br w:type="page"/>
      </w:r>
      <w:bookmarkStart w:id="6" w:name="_Toc111407409"/>
      <w:r>
        <w:t xml:space="preserve">B) </w:t>
      </w:r>
      <w:r w:rsidRPr="001F07E2">
        <w:t>Comment</w:t>
      </w:r>
      <w:r>
        <w:t xml:space="preserve"> on Ratio analysis</w:t>
      </w:r>
      <w:bookmarkEnd w:id="6"/>
      <w:r>
        <w:t xml:space="preserve"> </w:t>
      </w:r>
    </w:p>
    <w:p w14:paraId="4EE57F17" w14:textId="77777777" w:rsidR="005C2F04" w:rsidRDefault="00072C48">
      <w:pPr>
        <w:rPr>
          <w:b/>
          <w:bCs/>
          <w:lang w:val="en-US"/>
        </w:rPr>
      </w:pPr>
      <w:r>
        <w:rPr>
          <w:b/>
          <w:bCs/>
          <w:lang w:val="en-US"/>
        </w:rPr>
        <w:t>01. ROCE</w:t>
      </w:r>
    </w:p>
    <w:p w14:paraId="55496348" w14:textId="77777777" w:rsidR="005C2F04" w:rsidRDefault="00072C48">
      <w:r>
        <w:rPr>
          <w:lang w:val="en-US"/>
        </w:rPr>
        <w:t>Here the ratio between EBIT and Capital Employed is shown. Looking at the first component, it can be seen that the company's operating profit or EBIT was 620 and 539. Their operating profit has increased in the span of 1 year. Then the amount of capital employed was 5599 and 5958 which means a relative decrease. Finally it is seen that the ROCE of the company in 2020 was 0.09 and in 2021 their ROCE was 0.11. Here it is seen that their ROCE has increased. A standard value is 10% where the two year ratio of the company represents a good position. This ratio has decreased compared to the previous year. One of the main reasons for this change is the increase in total assets (</w:t>
      </w:r>
      <w:r>
        <w:rPr>
          <w:shd w:val="clear" w:color="auto" w:fill="FFFFFF"/>
        </w:rPr>
        <w:t>Mulyadi and Sihabudin ,2020</w:t>
      </w:r>
      <w:r>
        <w:rPr>
          <w:lang w:val="en-US"/>
        </w:rPr>
        <w:t>).</w:t>
      </w:r>
    </w:p>
    <w:p w14:paraId="7B729765" w14:textId="77777777" w:rsidR="005C2F04" w:rsidRDefault="00072C48">
      <w:pPr>
        <w:rPr>
          <w:b/>
          <w:bCs/>
          <w:lang w:val="en-US"/>
        </w:rPr>
      </w:pPr>
      <w:r>
        <w:rPr>
          <w:b/>
          <w:bCs/>
          <w:lang w:val="en-US"/>
        </w:rPr>
        <w:t>2. ROE</w:t>
      </w:r>
    </w:p>
    <w:p w14:paraId="76270083" w14:textId="77777777" w:rsidR="005C2F04" w:rsidRDefault="00072C48">
      <w:r>
        <w:rPr>
          <w:lang w:val="en-US"/>
        </w:rPr>
        <w:t>Return on equity basically refers to the relative relationship between net income and shareholders' equity. In 2021 the company's net income was 431 and in 2020 the company's net income was 366. That is, net income has increased in 2021. Similarly, it is seen that the amount of share equity in 2021 has increased. ROE was 13% in 2021 and 12% in 2020. The standard value here is 15%-20%. Analysis shows that the ratio analysis results of 2021 and 2020 are much lower than the standard value. That is, the earnings that the company is generating from its share equity are relatively low (</w:t>
      </w:r>
      <w:r>
        <w:rPr>
          <w:shd w:val="clear" w:color="auto" w:fill="FFFFFF"/>
        </w:rPr>
        <w:t>Nuryani and Sunarsi, 2020</w:t>
      </w:r>
      <w:r>
        <w:rPr>
          <w:lang w:val="en-US"/>
        </w:rPr>
        <w:t>).</w:t>
      </w:r>
    </w:p>
    <w:p w14:paraId="514BA77C" w14:textId="77777777" w:rsidR="005C2F04" w:rsidRDefault="00072C48">
      <w:pPr>
        <w:rPr>
          <w:b/>
        </w:rPr>
      </w:pPr>
      <w:r>
        <w:rPr>
          <w:b/>
          <w:lang w:val="en-US"/>
        </w:rPr>
        <w:t>3. Earnings per share</w:t>
      </w:r>
    </w:p>
    <w:p w14:paraId="5E6530AA" w14:textId="77777777" w:rsidR="005C2F04" w:rsidRPr="00663B3B" w:rsidRDefault="00072C48">
      <w:r>
        <w:rPr>
          <w:lang w:val="en-US"/>
        </w:rPr>
        <w:t>The fixed dividend of the company has to be divided by the total number of shares of that company which will result in an amount of profit against each share. This amount of profit can be understood as earnings per share or how much share one will get per share. The higher the earnings per share of a company, the more profitable the company is considered to be. Generally, if the earnings per share are high, investors tend to invest more in buying the shares of the company. Here it is seen that Eps in 2020 was 73 and in 2021 it was 84.01. Earnings per share increased (</w:t>
      </w:r>
      <w:r>
        <w:rPr>
          <w:shd w:val="clear" w:color="auto" w:fill="FFFFFF"/>
        </w:rPr>
        <w:t>Smarandache et al., 2022</w:t>
      </w:r>
      <w:r>
        <w:rPr>
          <w:lang w:val="en-US"/>
        </w:rPr>
        <w:t>).</w:t>
      </w:r>
    </w:p>
    <w:p w14:paraId="6B08C3D2" w14:textId="77777777" w:rsidR="00195A78" w:rsidRDefault="00195A78">
      <w:pPr>
        <w:spacing w:line="259" w:lineRule="auto"/>
        <w:jc w:val="left"/>
        <w:rPr>
          <w:b/>
          <w:lang w:val="en-US"/>
        </w:rPr>
      </w:pPr>
      <w:r>
        <w:rPr>
          <w:b/>
          <w:lang w:val="en-US"/>
        </w:rPr>
        <w:br w:type="page"/>
      </w:r>
    </w:p>
    <w:p w14:paraId="4A4D35DE" w14:textId="77777777" w:rsidR="005C2F04" w:rsidRDefault="00072C48">
      <w:pPr>
        <w:rPr>
          <w:b/>
        </w:rPr>
      </w:pPr>
      <w:r>
        <w:rPr>
          <w:b/>
          <w:lang w:val="en-US"/>
        </w:rPr>
        <w:t>4. Net profit margin</w:t>
      </w:r>
    </w:p>
    <w:p w14:paraId="0F1852C1" w14:textId="77777777" w:rsidR="005C2F04" w:rsidRDefault="00072C48">
      <w:r>
        <w:rPr>
          <w:lang w:val="en-US"/>
        </w:rPr>
        <w:t xml:space="preserve">Here it is expressed as a ratio between net income and sales. In 2021 the net income was 431 and in 2020 it was 366. That is, the amount of net income has increased here. Likewise, net sales for 2021 increased compared to 2020. The position of net profit margin is also seen higher in 2021 than in 2021. Generally 10% value is considered good average. But in both years there are positions below this average. That is, the net income margin is not in a good position in any year </w:t>
      </w:r>
      <w:r>
        <w:rPr>
          <w:shd w:val="clear" w:color="auto" w:fill="FFFFFF"/>
        </w:rPr>
        <w:t>(Bachri et al., 2021)</w:t>
      </w:r>
      <w:r>
        <w:rPr>
          <w:lang w:val="en-US"/>
        </w:rPr>
        <w:t>.</w:t>
      </w:r>
    </w:p>
    <w:p w14:paraId="332B6612" w14:textId="77777777" w:rsidR="005C2F04" w:rsidRDefault="00072C48">
      <w:pPr>
        <w:rPr>
          <w:b/>
        </w:rPr>
      </w:pPr>
      <w:r>
        <w:rPr>
          <w:b/>
          <w:lang w:val="en-US"/>
        </w:rPr>
        <w:t>5. Asset turnover</w:t>
      </w:r>
    </w:p>
    <w:p w14:paraId="22F77D9C" w14:textId="77777777" w:rsidR="005C2F04" w:rsidRDefault="00072C48">
      <w:r>
        <w:rPr>
          <w:lang w:val="en-US"/>
        </w:rPr>
        <w:t>Net sales and average assets are shown here. This ratio tends to change its value when net sales decrease or when average assets increase. From the above analysis it can be seen that the asset turnover ratio was 34% according to the analysis of 2021 and 32% according to the analysis of 2020. The ratio has increased from 2020 to 2021. Asset turnover ratio of 25% to 50% can be considered good. The ratio of two years stands in good stead in this regard (</w:t>
      </w:r>
      <w:r>
        <w:rPr>
          <w:shd w:val="clear" w:color="auto" w:fill="FFFFFF"/>
        </w:rPr>
        <w:t>Nuryani and Sunarsi, 2020)</w:t>
      </w:r>
      <w:r>
        <w:rPr>
          <w:lang w:val="en-US"/>
        </w:rPr>
        <w:t>.</w:t>
      </w:r>
    </w:p>
    <w:p w14:paraId="0B9A7E93" w14:textId="77777777" w:rsidR="005C2F04" w:rsidRDefault="00072C48">
      <w:pPr>
        <w:rPr>
          <w:b/>
          <w:lang w:val="en-US"/>
        </w:rPr>
      </w:pPr>
      <w:r>
        <w:rPr>
          <w:b/>
          <w:lang w:val="en-US"/>
        </w:rPr>
        <w:t>6. Stock holding day</w:t>
      </w:r>
    </w:p>
    <w:p w14:paraId="40F68A05" w14:textId="77777777" w:rsidR="005C2F04" w:rsidRDefault="00072C48">
      <w:r>
        <w:t xml:space="preserve">Stock holding days indicates that a company holds inventory before sales. It shows that how many days it takes for inventory to rotate in the company. This indicates that sells its entire inventory within a 37-day period in 2020, which is impressive in 2021 it shows 81 days which is not that good </w:t>
      </w:r>
      <w:r>
        <w:rPr>
          <w:shd w:val="clear" w:color="auto" w:fill="FFFFFF"/>
        </w:rPr>
        <w:t>(Chandra et al., 2020)</w:t>
      </w:r>
      <w:r>
        <w:t>.</w:t>
      </w:r>
    </w:p>
    <w:p w14:paraId="4D19B9A2" w14:textId="77777777" w:rsidR="005C2F04" w:rsidRDefault="00072C48">
      <w:pPr>
        <w:rPr>
          <w:b/>
          <w:bCs/>
        </w:rPr>
      </w:pPr>
      <w:r>
        <w:rPr>
          <w:b/>
          <w:lang w:val="en-US"/>
        </w:rPr>
        <w:t xml:space="preserve">7. </w:t>
      </w:r>
      <w:r>
        <w:rPr>
          <w:b/>
          <w:bCs/>
        </w:rPr>
        <w:t>Debtors collection period</w:t>
      </w:r>
    </w:p>
    <w:p w14:paraId="6EF35131" w14:textId="77777777" w:rsidR="005C2F04" w:rsidRPr="00195A78" w:rsidRDefault="00072C48" w:rsidP="00195A78">
      <w:pPr>
        <w:rPr>
          <w:bCs/>
        </w:rPr>
      </w:pPr>
      <w:r>
        <w:rPr>
          <w:bCs/>
        </w:rPr>
        <w:t xml:space="preserve">The favourable collection period for a company is lower than 30 days. Here in 2020 the debtor’s collection period is 66 days and 2021 it was 133 days. It is very higher than the minimum collection period. The company are not in a good condition in relation to the debtor’s collection period ratio </w:t>
      </w:r>
      <w:r>
        <w:rPr>
          <w:shd w:val="clear" w:color="auto" w:fill="FFFFFF"/>
        </w:rPr>
        <w:t>(Lacombe and Bazinet 2021)</w:t>
      </w:r>
      <w:r w:rsidR="00195A78">
        <w:rPr>
          <w:shd w:val="clear" w:color="auto" w:fill="FFFFFF"/>
        </w:rPr>
        <w:t>.</w:t>
      </w:r>
    </w:p>
    <w:p w14:paraId="077EC0BC" w14:textId="77777777" w:rsidR="00195A78" w:rsidRDefault="00195A78">
      <w:pPr>
        <w:spacing w:line="259" w:lineRule="auto"/>
        <w:jc w:val="left"/>
        <w:rPr>
          <w:b/>
          <w:lang w:val="en-US"/>
        </w:rPr>
      </w:pPr>
      <w:r>
        <w:rPr>
          <w:b/>
          <w:lang w:val="en-US"/>
        </w:rPr>
        <w:br w:type="page"/>
      </w:r>
    </w:p>
    <w:p w14:paraId="24B4B08F" w14:textId="77777777" w:rsidR="005C2F04" w:rsidRDefault="00072C48">
      <w:pPr>
        <w:rPr>
          <w:b/>
        </w:rPr>
      </w:pPr>
      <w:r>
        <w:rPr>
          <w:b/>
          <w:lang w:val="en-US"/>
        </w:rPr>
        <w:t>8. Current Ratio</w:t>
      </w:r>
    </w:p>
    <w:p w14:paraId="42E623A2" w14:textId="77777777" w:rsidR="005C2F04" w:rsidRDefault="00072C48">
      <w:r>
        <w:rPr>
          <w:lang w:val="en-US"/>
        </w:rPr>
        <w:t xml:space="preserve">This ratio basically means the liquidity of an organization. Organizational values ​​should generally not be set too high and should not be set too low. The efficient role of this ratio is very essential for running the day-to-day operations of the organization. The ratio of 2020 and 2021 is 1:1. In this case the ratio neither increased nor decreased. A value of 1.2 to 2 is generally considered a good value. Although the company's value is below standard value, it is relatively well positioned </w:t>
      </w:r>
      <w:r>
        <w:rPr>
          <w:shd w:val="clear" w:color="auto" w:fill="FFFFFF"/>
        </w:rPr>
        <w:t>(Bustani et al., 2021)</w:t>
      </w:r>
      <w:r>
        <w:rPr>
          <w:lang w:val="en-US"/>
        </w:rPr>
        <w:t>.</w:t>
      </w:r>
    </w:p>
    <w:p w14:paraId="11F1D4D9" w14:textId="77777777" w:rsidR="005C2F04" w:rsidRDefault="00072C48">
      <w:pPr>
        <w:rPr>
          <w:b/>
          <w:bCs/>
        </w:rPr>
      </w:pPr>
      <w:r>
        <w:rPr>
          <w:b/>
          <w:lang w:val="en-US"/>
        </w:rPr>
        <w:t xml:space="preserve">9. </w:t>
      </w:r>
      <w:r>
        <w:rPr>
          <w:b/>
          <w:bCs/>
        </w:rPr>
        <w:t>Gearing ratio</w:t>
      </w:r>
    </w:p>
    <w:p w14:paraId="057F37E4" w14:textId="77777777" w:rsidR="005C2F04" w:rsidRPr="00195A78" w:rsidRDefault="00072C48">
      <w:pPr>
        <w:rPr>
          <w:bCs/>
        </w:rPr>
      </w:pPr>
      <w:r>
        <w:rPr>
          <w:bCs/>
        </w:rPr>
        <w:t xml:space="preserve">The gearing ratio compares shareholder's equity to company debt in various ways to evaluate company debt in leverage and financial stability. The standard of debt to equity ratio is around 2 or 2.5 is considered good. In 2020 it was 2.15 and in 2021 it was 2.46 is quite good for the company. The company is in good condition in relation to the Gearing ratio </w:t>
      </w:r>
      <w:r>
        <w:rPr>
          <w:lang w:val="en-US"/>
        </w:rPr>
        <w:t>(</w:t>
      </w:r>
      <w:r>
        <w:rPr>
          <w:shd w:val="clear" w:color="auto" w:fill="FFFFFF"/>
        </w:rPr>
        <w:t>Nuryani and Sunarsi, 2020</w:t>
      </w:r>
      <w:r>
        <w:rPr>
          <w:lang w:val="en-US"/>
        </w:rPr>
        <w:t>)</w:t>
      </w:r>
      <w:r>
        <w:rPr>
          <w:bCs/>
        </w:rPr>
        <w:t>.</w:t>
      </w:r>
    </w:p>
    <w:p w14:paraId="7C8FDBFF" w14:textId="77777777" w:rsidR="005C2F04" w:rsidRDefault="00072C48">
      <w:pPr>
        <w:rPr>
          <w:b/>
          <w:lang w:val="en-US"/>
        </w:rPr>
      </w:pPr>
      <w:r>
        <w:rPr>
          <w:b/>
          <w:lang w:val="en-US"/>
        </w:rPr>
        <w:t xml:space="preserve">10. </w:t>
      </w:r>
      <w:r>
        <w:rPr>
          <w:b/>
          <w:bCs/>
        </w:rPr>
        <w:t>Interest cover</w:t>
      </w:r>
    </w:p>
    <w:p w14:paraId="35F7D25A" w14:textId="77777777" w:rsidR="005C2F04" w:rsidRDefault="00072C48">
      <w:r>
        <w:rPr>
          <w:lang w:val="en-US"/>
        </w:rPr>
        <w:t>The interest cover ratio is used to determine how easily a company can pay interest on its outstanding debts. An interest coverage ratio of at least 2 is considered the minimum acceptable amount for a company. Here in 2020, it was 1.73 which indicates good condition, but in 2021 it was 2.010 which were good for the company (</w:t>
      </w:r>
      <w:r>
        <w:rPr>
          <w:shd w:val="clear" w:color="auto" w:fill="FFFFFF"/>
        </w:rPr>
        <w:t>Mulyadi and Sihabudin ,2020</w:t>
      </w:r>
      <w:r>
        <w:rPr>
          <w:lang w:val="en-US"/>
        </w:rPr>
        <w:t>).</w:t>
      </w:r>
      <w:r>
        <w:rPr>
          <w:lang w:val="en-US"/>
        </w:rPr>
        <w:br w:type="page"/>
      </w:r>
    </w:p>
    <w:p w14:paraId="7F4DA554" w14:textId="77777777" w:rsidR="005C2F04" w:rsidRDefault="00072C48">
      <w:pPr>
        <w:pStyle w:val="1"/>
      </w:pPr>
      <w:bookmarkStart w:id="7" w:name="_Toc111407410"/>
      <w:r>
        <w:t>Conclusion</w:t>
      </w:r>
      <w:bookmarkEnd w:id="7"/>
    </w:p>
    <w:p w14:paraId="60CC712A" w14:textId="77777777" w:rsidR="005C2F04" w:rsidRDefault="00072C48">
      <w:r>
        <w:t>This report shows how the main accounting statements are prepared using various financial data.  The presentation of these accounting statements is presented at the beginning of this report.  The report then discusses why both sides of a balance sheet balance.  Here is how the double entry system helps balance the balance sheet by keeping both sides correct.  Ratio analysis plays a very important role for any organization.  The ratios of this report provide an analytical result of the company's liquidity position and net earnings, profit margin.  Also shown here are various types of essential working to understand how the impact of the ratios is noticeable on the company.</w:t>
      </w:r>
    </w:p>
    <w:p w14:paraId="1E1E3698" w14:textId="77777777" w:rsidR="005C2F04" w:rsidRDefault="00072C48">
      <w:pPr>
        <w:pStyle w:val="1"/>
      </w:pPr>
      <w:r>
        <w:br w:type="page"/>
      </w:r>
      <w:bookmarkStart w:id="8" w:name="_Toc111407411"/>
      <w:r>
        <w:t>Reference</w:t>
      </w:r>
      <w:r w:rsidR="00FF7E03">
        <w:t>s</w:t>
      </w:r>
      <w:bookmarkEnd w:id="8"/>
      <w:r>
        <w:t xml:space="preserve"> </w:t>
      </w:r>
    </w:p>
    <w:p w14:paraId="09B3F4A5" w14:textId="77777777" w:rsidR="00D143D5" w:rsidRDefault="00D143D5" w:rsidP="00D143D5">
      <w:pPr>
        <w:ind w:left="720" w:hanging="720"/>
        <w:rPr>
          <w:shd w:val="clear" w:color="auto" w:fill="FFFFFF"/>
        </w:rPr>
      </w:pPr>
      <w:r>
        <w:rPr>
          <w:shd w:val="clear" w:color="auto" w:fill="FFFFFF"/>
        </w:rPr>
        <w:t>Bachri, Z., Suhariningsih, S., Sukarmi, S. and Permadi, I., 2021. Legal protection for debtors in determining the application requirements for suspension of debt payment obligations. </w:t>
      </w:r>
      <w:r>
        <w:rPr>
          <w:i/>
          <w:iCs/>
          <w:shd w:val="clear" w:color="auto" w:fill="FFFFFF"/>
        </w:rPr>
        <w:t>International Journal of Research in Business and Social Science (2147-4478)</w:t>
      </w:r>
      <w:r>
        <w:rPr>
          <w:shd w:val="clear" w:color="auto" w:fill="FFFFFF"/>
        </w:rPr>
        <w:t>, </w:t>
      </w:r>
      <w:r>
        <w:rPr>
          <w:i/>
          <w:iCs/>
          <w:shd w:val="clear" w:color="auto" w:fill="FFFFFF"/>
        </w:rPr>
        <w:t>10</w:t>
      </w:r>
      <w:r>
        <w:rPr>
          <w:shd w:val="clear" w:color="auto" w:fill="FFFFFF"/>
        </w:rPr>
        <w:t>(6), pp.394-402.</w:t>
      </w:r>
    </w:p>
    <w:p w14:paraId="57BD0115" w14:textId="77777777" w:rsidR="00D143D5" w:rsidRDefault="00D143D5" w:rsidP="00D143D5">
      <w:pPr>
        <w:ind w:left="720" w:hanging="720"/>
        <w:rPr>
          <w:shd w:val="clear" w:color="auto" w:fill="FFFFFF"/>
        </w:rPr>
      </w:pPr>
      <w:r>
        <w:rPr>
          <w:shd w:val="clear" w:color="auto" w:fill="FFFFFF"/>
        </w:rPr>
        <w:t>Bustani, B., Kurniaty, K. and Widyanti, R., 2021. The Effect of Earning Per Share, Price to Book Value, Dividend Payout Ratio, and Net Profit Margin on the Stock Price in Indonesia Stock Exchange. </w:t>
      </w:r>
      <w:r>
        <w:rPr>
          <w:i/>
          <w:iCs/>
          <w:shd w:val="clear" w:color="auto" w:fill="FFFFFF"/>
        </w:rPr>
        <w:t>Jurnal Maksipreneur: Manajemen, Koperasi, dan Entrepreneurship</w:t>
      </w:r>
      <w:r>
        <w:rPr>
          <w:shd w:val="clear" w:color="auto" w:fill="FFFFFF"/>
        </w:rPr>
        <w:t>, </w:t>
      </w:r>
      <w:r>
        <w:rPr>
          <w:i/>
          <w:iCs/>
          <w:shd w:val="clear" w:color="auto" w:fill="FFFFFF"/>
        </w:rPr>
        <w:t>11</w:t>
      </w:r>
      <w:r>
        <w:rPr>
          <w:shd w:val="clear" w:color="auto" w:fill="FFFFFF"/>
        </w:rPr>
        <w:t>(1), pp.1-18.</w:t>
      </w:r>
    </w:p>
    <w:p w14:paraId="08DF63BD" w14:textId="77777777" w:rsidR="00D143D5" w:rsidRDefault="00D143D5" w:rsidP="00D143D5">
      <w:pPr>
        <w:ind w:left="720" w:hanging="720"/>
        <w:rPr>
          <w:shd w:val="clear" w:color="auto" w:fill="FFFFFF"/>
        </w:rPr>
      </w:pPr>
      <w:r>
        <w:rPr>
          <w:shd w:val="clear" w:color="auto" w:fill="FFFFFF"/>
        </w:rPr>
        <w:t>Campisi, D., Mancuso, P., Mastrodonato, S.L. and Morea, D., 2019. Efficiency assessment of knowledge intensive business services industry in Italy: Data envelopment analysis (DEA) and financial ratio analysis. </w:t>
      </w:r>
      <w:r>
        <w:rPr>
          <w:i/>
          <w:iCs/>
          <w:shd w:val="clear" w:color="auto" w:fill="FFFFFF"/>
        </w:rPr>
        <w:t>Measuring Business Excellence</w:t>
      </w:r>
      <w:r>
        <w:rPr>
          <w:shd w:val="clear" w:color="auto" w:fill="FFFFFF"/>
        </w:rPr>
        <w:t>, </w:t>
      </w:r>
      <w:r>
        <w:rPr>
          <w:i/>
          <w:iCs/>
          <w:shd w:val="clear" w:color="auto" w:fill="FFFFFF"/>
        </w:rPr>
        <w:t>23</w:t>
      </w:r>
      <w:r>
        <w:rPr>
          <w:shd w:val="clear" w:color="auto" w:fill="FFFFFF"/>
        </w:rPr>
        <w:t>(4), pp.484-495.</w:t>
      </w:r>
    </w:p>
    <w:p w14:paraId="7D020CB8" w14:textId="77777777" w:rsidR="00D143D5" w:rsidRDefault="00D143D5" w:rsidP="00D143D5">
      <w:pPr>
        <w:ind w:left="720" w:hanging="720"/>
        <w:rPr>
          <w:shd w:val="clear" w:color="auto" w:fill="FFFFFF"/>
        </w:rPr>
      </w:pPr>
      <w:r>
        <w:rPr>
          <w:shd w:val="clear" w:color="auto" w:fill="FFFFFF"/>
        </w:rPr>
        <w:t>Chandra, A., Wijaya, F., Angelia, A. and Hayati, K., 2020. Pengaruh Debt to Equity Ratio, Total Assets Turnover, Firm Size, dan Current Ratio terhadap Return on Assets. </w:t>
      </w:r>
      <w:r>
        <w:rPr>
          <w:i/>
          <w:iCs/>
          <w:shd w:val="clear" w:color="auto" w:fill="FFFFFF"/>
        </w:rPr>
        <w:t>Jurnal Akuntansi, Keuangan, dan Manajemen</w:t>
      </w:r>
      <w:r>
        <w:rPr>
          <w:shd w:val="clear" w:color="auto" w:fill="FFFFFF"/>
        </w:rPr>
        <w:t>, </w:t>
      </w:r>
      <w:r>
        <w:rPr>
          <w:i/>
          <w:iCs/>
          <w:shd w:val="clear" w:color="auto" w:fill="FFFFFF"/>
        </w:rPr>
        <w:t>2</w:t>
      </w:r>
      <w:r>
        <w:rPr>
          <w:shd w:val="clear" w:color="auto" w:fill="FFFFFF"/>
        </w:rPr>
        <w:t>(1), pp.57-69.</w:t>
      </w:r>
    </w:p>
    <w:p w14:paraId="52AEDE7C" w14:textId="77777777" w:rsidR="00D143D5" w:rsidRDefault="00D143D5" w:rsidP="00D143D5">
      <w:pPr>
        <w:ind w:left="720" w:hanging="720"/>
        <w:rPr>
          <w:shd w:val="clear" w:color="auto" w:fill="FFFFFF"/>
        </w:rPr>
      </w:pPr>
      <w:r>
        <w:rPr>
          <w:shd w:val="clear" w:color="auto" w:fill="FFFFFF"/>
        </w:rPr>
        <w:t>Gajah, E.R., 2018. Pengaruh Penerapan Good Corporate Governance, Gearing Ratio dan Ukuran Perusahaan terhadap Kinerja Keuangan Pada Bank Pembangunan Daerah (BPD) di Indonesia.</w:t>
      </w:r>
    </w:p>
    <w:p w14:paraId="199A2DC4" w14:textId="77777777" w:rsidR="00D143D5" w:rsidRDefault="00D143D5" w:rsidP="00D143D5">
      <w:pPr>
        <w:ind w:left="720" w:hanging="720"/>
        <w:rPr>
          <w:shd w:val="clear" w:color="auto" w:fill="FFFFFF"/>
        </w:rPr>
      </w:pPr>
      <w:r>
        <w:rPr>
          <w:shd w:val="clear" w:color="auto" w:fill="FFFFFF"/>
        </w:rPr>
        <w:t>Lacombe, R.S. and Bazinet, R.P., 2021. Natural abundance carbon isotope ratio analysis and its application in the study of diet and metabolism. </w:t>
      </w:r>
      <w:r>
        <w:rPr>
          <w:i/>
          <w:iCs/>
          <w:shd w:val="clear" w:color="auto" w:fill="FFFFFF"/>
        </w:rPr>
        <w:t>Nutrition reviews</w:t>
      </w:r>
      <w:r>
        <w:rPr>
          <w:shd w:val="clear" w:color="auto" w:fill="FFFFFF"/>
        </w:rPr>
        <w:t>, </w:t>
      </w:r>
      <w:r>
        <w:rPr>
          <w:i/>
          <w:iCs/>
          <w:shd w:val="clear" w:color="auto" w:fill="FFFFFF"/>
        </w:rPr>
        <w:t>79</w:t>
      </w:r>
      <w:r>
        <w:rPr>
          <w:shd w:val="clear" w:color="auto" w:fill="FFFFFF"/>
        </w:rPr>
        <w:t>(8), pp.869-888.</w:t>
      </w:r>
    </w:p>
    <w:p w14:paraId="4ADA6F33" w14:textId="77777777" w:rsidR="00D143D5" w:rsidRDefault="00D143D5" w:rsidP="00D143D5">
      <w:pPr>
        <w:ind w:left="720" w:hanging="720"/>
        <w:rPr>
          <w:shd w:val="clear" w:color="auto" w:fill="FFFFFF"/>
        </w:rPr>
      </w:pPr>
      <w:r>
        <w:rPr>
          <w:shd w:val="clear" w:color="auto" w:fill="FFFFFF"/>
        </w:rPr>
        <w:t>Mulyadi, D. and Sihabudin, O.S., 2020. Analysis of Current Ratio, Net Profit Margin, and Good Corporate Governance against Company Value. </w:t>
      </w:r>
      <w:r>
        <w:rPr>
          <w:i/>
          <w:iCs/>
          <w:shd w:val="clear" w:color="auto" w:fill="FFFFFF"/>
        </w:rPr>
        <w:t>Systematic Reviews in Pharmacy</w:t>
      </w:r>
      <w:r>
        <w:rPr>
          <w:shd w:val="clear" w:color="auto" w:fill="FFFFFF"/>
        </w:rPr>
        <w:t>, </w:t>
      </w:r>
      <w:r>
        <w:rPr>
          <w:i/>
          <w:iCs/>
          <w:shd w:val="clear" w:color="auto" w:fill="FFFFFF"/>
        </w:rPr>
        <w:t>11</w:t>
      </w:r>
      <w:r>
        <w:rPr>
          <w:shd w:val="clear" w:color="auto" w:fill="FFFFFF"/>
        </w:rPr>
        <w:t>(1), pp.588-600.</w:t>
      </w:r>
    </w:p>
    <w:p w14:paraId="38E8DDCE" w14:textId="77777777" w:rsidR="00D143D5" w:rsidRDefault="00D143D5" w:rsidP="00D143D5">
      <w:pPr>
        <w:ind w:left="720" w:hanging="720"/>
        <w:rPr>
          <w:shd w:val="clear" w:color="auto" w:fill="FFFFFF"/>
        </w:rPr>
      </w:pPr>
      <w:r>
        <w:rPr>
          <w:shd w:val="clear" w:color="auto" w:fill="FFFFFF"/>
        </w:rPr>
        <w:t>Nuryani, Y. and Sunarsi, D., 2020. The Effect of Current Ratio and Debt to Equity Ratio on Deviding Growth. </w:t>
      </w:r>
      <w:r>
        <w:rPr>
          <w:i/>
          <w:iCs/>
          <w:shd w:val="clear" w:color="auto" w:fill="FFFFFF"/>
        </w:rPr>
        <w:t>JASa (Jurnal Akuntansi, Audit dan Sistem Informasi Akuntansi)</w:t>
      </w:r>
      <w:r>
        <w:rPr>
          <w:shd w:val="clear" w:color="auto" w:fill="FFFFFF"/>
        </w:rPr>
        <w:t>, </w:t>
      </w:r>
      <w:r>
        <w:rPr>
          <w:i/>
          <w:iCs/>
          <w:shd w:val="clear" w:color="auto" w:fill="FFFFFF"/>
        </w:rPr>
        <w:t>4</w:t>
      </w:r>
      <w:r>
        <w:rPr>
          <w:shd w:val="clear" w:color="auto" w:fill="FFFFFF"/>
        </w:rPr>
        <w:t>(2), pp.304-312.</w:t>
      </w:r>
    </w:p>
    <w:p w14:paraId="5891FF5A" w14:textId="77777777" w:rsidR="00D143D5" w:rsidRDefault="00D143D5" w:rsidP="00D143D5">
      <w:pPr>
        <w:ind w:left="720" w:hanging="720"/>
        <w:rPr>
          <w:shd w:val="clear" w:color="auto" w:fill="FFFFFF"/>
        </w:rPr>
      </w:pPr>
      <w:r>
        <w:rPr>
          <w:shd w:val="clear" w:color="auto" w:fill="FFFFFF"/>
        </w:rPr>
        <w:t>Smarandache, I.G., Maricutoiu, L.P., Ilie, M.D., Iancu, D.E. and Mladenovici, V., 2022. Students’ approach to learning: evidence regarding the importance of the interest-to-effort ratio. </w:t>
      </w:r>
      <w:r>
        <w:rPr>
          <w:i/>
          <w:iCs/>
          <w:shd w:val="clear" w:color="auto" w:fill="FFFFFF"/>
        </w:rPr>
        <w:t>Higher Education Research &amp; Development</w:t>
      </w:r>
      <w:r>
        <w:rPr>
          <w:shd w:val="clear" w:color="auto" w:fill="FFFFFF"/>
        </w:rPr>
        <w:t>, </w:t>
      </w:r>
      <w:r>
        <w:rPr>
          <w:i/>
          <w:iCs/>
          <w:shd w:val="clear" w:color="auto" w:fill="FFFFFF"/>
        </w:rPr>
        <w:t>41</w:t>
      </w:r>
      <w:r>
        <w:rPr>
          <w:shd w:val="clear" w:color="auto" w:fill="FFFFFF"/>
        </w:rPr>
        <w:t>(2), pp.546-561.</w:t>
      </w:r>
    </w:p>
    <w:p w14:paraId="2E746E76" w14:textId="77777777" w:rsidR="005C2F04" w:rsidRDefault="005C2F04">
      <w:pPr>
        <w:rPr>
          <w:shd w:val="clear" w:color="auto" w:fill="FFFFFF"/>
        </w:rPr>
      </w:pPr>
    </w:p>
    <w:sectPr w:rsidR="005C2F04">
      <w:headerReference w:type="even" r:id="rId7"/>
      <w:headerReference w:type="default" r:id="rId8"/>
      <w:footerReference w:type="even" r:id="rId9"/>
      <w:footerReference w:type="default" r:id="rId10"/>
      <w:headerReference w:type="first" r:id="rId11"/>
      <w:footerReference w:type="first" r:id="rId12"/>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D6BDC9" w14:textId="77777777" w:rsidR="00537B07" w:rsidRDefault="00537B07" w:rsidP="00EC630F">
      <w:pPr>
        <w:spacing w:after="0" w:line="240" w:lineRule="auto"/>
      </w:pPr>
      <w:r>
        <w:separator/>
      </w:r>
    </w:p>
  </w:endnote>
  <w:endnote w:type="continuationSeparator" w:id="0">
    <w:p w14:paraId="0233E34E" w14:textId="77777777" w:rsidR="00537B07" w:rsidRDefault="00537B07" w:rsidP="00EC63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684FAD" w14:textId="77777777" w:rsidR="00177A39" w:rsidRDefault="00177A39">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5127338"/>
      <w:docPartObj>
        <w:docPartGallery w:val="Page Numbers (Bottom of Page)"/>
        <w:docPartUnique/>
      </w:docPartObj>
    </w:sdtPr>
    <w:sdtEndPr>
      <w:rPr>
        <w:color w:val="808080" w:themeColor="background1" w:themeShade="80"/>
        <w:spacing w:val="60"/>
      </w:rPr>
    </w:sdtEndPr>
    <w:sdtContent>
      <w:p w14:paraId="1B70A4F2" w14:textId="77777777" w:rsidR="00072C48" w:rsidRDefault="00072C48">
        <w:pPr>
          <w:pStyle w:val="aa"/>
          <w:pBdr>
            <w:top w:val="single" w:sz="4" w:space="1" w:color="D9D9D9" w:themeColor="background1" w:themeShade="D9"/>
          </w:pBdr>
          <w:rPr>
            <w:b/>
            <w:bCs/>
          </w:rPr>
        </w:pPr>
        <w:r>
          <w:fldChar w:fldCharType="begin"/>
        </w:r>
        <w:r>
          <w:instrText xml:space="preserve"> PAGE   \* MERGEFORMAT </w:instrText>
        </w:r>
        <w:r>
          <w:fldChar w:fldCharType="separate"/>
        </w:r>
        <w:r w:rsidR="00A46FF6" w:rsidRPr="00A46FF6">
          <w:rPr>
            <w:b/>
            <w:bCs/>
            <w:noProof/>
          </w:rPr>
          <w:t>1</w:t>
        </w:r>
        <w:r>
          <w:rPr>
            <w:b/>
            <w:bCs/>
            <w:noProof/>
          </w:rPr>
          <w:fldChar w:fldCharType="end"/>
        </w:r>
        <w:r>
          <w:rPr>
            <w:b/>
            <w:bCs/>
          </w:rPr>
          <w:t xml:space="preserve"> | </w:t>
        </w:r>
        <w:r w:rsidRPr="00EC630F">
          <w:rPr>
            <w:color w:val="808080" w:themeColor="background1" w:themeShade="80"/>
            <w:spacing w:val="60"/>
          </w:rPr>
          <w:t>Page</w:t>
        </w:r>
      </w:p>
    </w:sdtContent>
  </w:sdt>
  <w:p w14:paraId="4B74A8C3" w14:textId="77777777" w:rsidR="00072C48" w:rsidRDefault="00072C48">
    <w:pPr>
      <w:pStyle w:val="aa"/>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591FFC" w14:textId="77777777" w:rsidR="00177A39" w:rsidRDefault="00177A39">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B880BE" w14:textId="77777777" w:rsidR="00537B07" w:rsidRDefault="00537B07" w:rsidP="00EC630F">
      <w:pPr>
        <w:spacing w:after="0" w:line="240" w:lineRule="auto"/>
      </w:pPr>
      <w:r>
        <w:separator/>
      </w:r>
    </w:p>
  </w:footnote>
  <w:footnote w:type="continuationSeparator" w:id="0">
    <w:p w14:paraId="00F3656A" w14:textId="77777777" w:rsidR="00537B07" w:rsidRDefault="00537B07" w:rsidP="00EC63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33C255" w14:textId="77777777" w:rsidR="00177A39" w:rsidRDefault="00177A39">
    <w:pPr>
      <w:pStyle w:val="a8"/>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145CDD" w14:textId="77777777" w:rsidR="00072C48" w:rsidRDefault="00072C48">
    <w:pPr>
      <w:pStyle w:val="a8"/>
    </w:pPr>
    <w: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ACF787" w14:textId="77777777" w:rsidR="00177A39" w:rsidRDefault="00177A39">
    <w:pPr>
      <w:pStyle w:val="a8"/>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movePersonalInformation/>
  <w:removeDateAndTime/>
  <w:proofState w:spelling="clean" w:grammar="clean"/>
  <w:revisionView w:inkAnnotations="0"/>
  <w:defaultTabStop w:val="720"/>
  <w:hyphenationZone w:val="425"/>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F04"/>
    <w:rsid w:val="00071292"/>
    <w:rsid w:val="00072C48"/>
    <w:rsid w:val="00153E7B"/>
    <w:rsid w:val="00177A39"/>
    <w:rsid w:val="00195A78"/>
    <w:rsid w:val="001E6E09"/>
    <w:rsid w:val="001F07E2"/>
    <w:rsid w:val="002E7EEC"/>
    <w:rsid w:val="00302035"/>
    <w:rsid w:val="0032787C"/>
    <w:rsid w:val="003A12B5"/>
    <w:rsid w:val="003C24CE"/>
    <w:rsid w:val="00403BDA"/>
    <w:rsid w:val="00424190"/>
    <w:rsid w:val="004959DA"/>
    <w:rsid w:val="004973A2"/>
    <w:rsid w:val="004E0D9E"/>
    <w:rsid w:val="004E744D"/>
    <w:rsid w:val="00537B07"/>
    <w:rsid w:val="005C2F04"/>
    <w:rsid w:val="00634C83"/>
    <w:rsid w:val="00642203"/>
    <w:rsid w:val="00663B3B"/>
    <w:rsid w:val="006B08B2"/>
    <w:rsid w:val="00887FA9"/>
    <w:rsid w:val="00962B3C"/>
    <w:rsid w:val="009A7C88"/>
    <w:rsid w:val="009C685A"/>
    <w:rsid w:val="00A46FF6"/>
    <w:rsid w:val="00AC383F"/>
    <w:rsid w:val="00B35AB0"/>
    <w:rsid w:val="00BF1779"/>
    <w:rsid w:val="00C13A10"/>
    <w:rsid w:val="00C313EA"/>
    <w:rsid w:val="00CB56F5"/>
    <w:rsid w:val="00D143D5"/>
    <w:rsid w:val="00E90D73"/>
    <w:rsid w:val="00EC630F"/>
    <w:rsid w:val="00F202E7"/>
    <w:rsid w:val="00F32A3F"/>
    <w:rsid w:val="00F562E1"/>
    <w:rsid w:val="00FD7D13"/>
    <w:rsid w:val="00FE0407"/>
    <w:rsid w:val="00FF7E03"/>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42FF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Vrinda"/>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spacing w:line="360" w:lineRule="auto"/>
      <w:jc w:val="both"/>
    </w:pPr>
    <w:rPr>
      <w:rFonts w:ascii="Times New Roman" w:hAnsi="Times New Roman"/>
      <w:sz w:val="24"/>
      <w:lang w:val="en-GB"/>
    </w:rPr>
  </w:style>
  <w:style w:type="paragraph" w:styleId="1">
    <w:name w:val="heading 1"/>
    <w:basedOn w:val="a"/>
    <w:next w:val="a"/>
    <w:link w:val="10"/>
    <w:uiPriority w:val="9"/>
    <w:qFormat/>
    <w:pPr>
      <w:keepNext/>
      <w:keepLines/>
      <w:spacing w:before="240" w:after="0"/>
      <w:outlineLvl w:val="0"/>
    </w:pPr>
    <w:rPr>
      <w:rFonts w:eastAsia="SimSun"/>
      <w:b/>
      <w:color w:val="2F5496"/>
      <w:sz w:val="32"/>
      <w:szCs w:val="32"/>
    </w:rPr>
  </w:style>
  <w:style w:type="paragraph" w:styleId="2">
    <w:name w:val="heading 2"/>
    <w:basedOn w:val="a"/>
    <w:next w:val="a"/>
    <w:link w:val="20"/>
    <w:uiPriority w:val="9"/>
    <w:qFormat/>
    <w:pPr>
      <w:keepNext/>
      <w:keepLines/>
      <w:spacing w:before="40" w:after="0"/>
      <w:outlineLvl w:val="1"/>
    </w:pPr>
    <w:rPr>
      <w:rFonts w:eastAsia="SimSun"/>
      <w:color w:val="2F5496"/>
      <w:sz w:val="28"/>
      <w:szCs w:val="26"/>
    </w:rPr>
  </w:style>
  <w:style w:type="paragraph" w:styleId="3">
    <w:name w:val="heading 3"/>
    <w:basedOn w:val="a"/>
    <w:next w:val="a"/>
    <w:link w:val="30"/>
    <w:uiPriority w:val="9"/>
    <w:qFormat/>
    <w:pPr>
      <w:keepNext/>
      <w:keepLines/>
      <w:spacing w:before="40" w:after="0"/>
      <w:outlineLvl w:val="2"/>
    </w:pPr>
    <w:rPr>
      <w:rFonts w:eastAsia="SimSun"/>
      <w:color w:val="4472C4"/>
      <w:sz w:val="26"/>
      <w:szCs w:val="24"/>
    </w:rPr>
  </w:style>
  <w:style w:type="paragraph" w:styleId="4">
    <w:name w:val="heading 4"/>
    <w:basedOn w:val="a"/>
    <w:next w:val="a"/>
    <w:link w:val="40"/>
    <w:uiPriority w:val="9"/>
    <w:qFormat/>
    <w:pPr>
      <w:keepNext/>
      <w:keepLines/>
      <w:spacing w:before="40" w:after="0"/>
      <w:outlineLvl w:val="3"/>
    </w:pPr>
    <w:rPr>
      <w:rFonts w:eastAsia="SimSun"/>
      <w:iCs/>
      <w:color w:val="2F549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Pr>
      <w:rFonts w:ascii="Times New Roman" w:eastAsia="SimSun" w:hAnsi="Times New Roman" w:cs="Vrinda"/>
      <w:b/>
      <w:color w:val="2F5496"/>
      <w:sz w:val="32"/>
      <w:szCs w:val="32"/>
    </w:rPr>
  </w:style>
  <w:style w:type="character" w:customStyle="1" w:styleId="20">
    <w:name w:val="Заглавие 2 Знак"/>
    <w:basedOn w:val="a0"/>
    <w:link w:val="2"/>
    <w:uiPriority w:val="9"/>
    <w:rPr>
      <w:rFonts w:ascii="Times New Roman" w:eastAsia="SimSun" w:hAnsi="Times New Roman" w:cs="Vrinda"/>
      <w:color w:val="2F5496"/>
      <w:sz w:val="28"/>
      <w:szCs w:val="26"/>
    </w:rPr>
  </w:style>
  <w:style w:type="character" w:customStyle="1" w:styleId="30">
    <w:name w:val="Заглавие 3 Знак"/>
    <w:basedOn w:val="a0"/>
    <w:link w:val="3"/>
    <w:uiPriority w:val="9"/>
    <w:rPr>
      <w:rFonts w:ascii="Times New Roman" w:eastAsia="SimSun" w:hAnsi="Times New Roman" w:cs="Vrinda"/>
      <w:color w:val="4472C4"/>
      <w:sz w:val="26"/>
      <w:szCs w:val="24"/>
      <w:lang w:val="en-GB"/>
    </w:rPr>
  </w:style>
  <w:style w:type="character" w:customStyle="1" w:styleId="40">
    <w:name w:val="Заглавие 4 Знак"/>
    <w:basedOn w:val="a0"/>
    <w:link w:val="4"/>
    <w:uiPriority w:val="9"/>
    <w:rPr>
      <w:rFonts w:ascii="Times New Roman" w:eastAsia="SimSun" w:hAnsi="Times New Roman" w:cs="Vrinda"/>
      <w:iCs/>
      <w:color w:val="2F5496"/>
      <w:sz w:val="24"/>
      <w:lang w:val="en-GB"/>
    </w:rPr>
  </w:style>
  <w:style w:type="table" w:styleId="a3">
    <w:name w:val="Table Grid"/>
    <w:basedOn w:val="a1"/>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TOC Heading"/>
    <w:basedOn w:val="1"/>
    <w:next w:val="a"/>
    <w:uiPriority w:val="39"/>
    <w:semiHidden/>
    <w:unhideWhenUsed/>
    <w:qFormat/>
    <w:rsid w:val="004959DA"/>
    <w:pPr>
      <w:spacing w:before="48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11">
    <w:name w:val="toc 1"/>
    <w:basedOn w:val="a"/>
    <w:next w:val="a"/>
    <w:autoRedefine/>
    <w:uiPriority w:val="39"/>
    <w:unhideWhenUsed/>
    <w:rsid w:val="004959DA"/>
    <w:pPr>
      <w:spacing w:after="100"/>
    </w:pPr>
  </w:style>
  <w:style w:type="paragraph" w:styleId="21">
    <w:name w:val="toc 2"/>
    <w:basedOn w:val="a"/>
    <w:next w:val="a"/>
    <w:autoRedefine/>
    <w:uiPriority w:val="39"/>
    <w:unhideWhenUsed/>
    <w:rsid w:val="004959DA"/>
    <w:pPr>
      <w:spacing w:after="100"/>
      <w:ind w:left="240"/>
    </w:pPr>
  </w:style>
  <w:style w:type="character" w:styleId="a5">
    <w:name w:val="Hyperlink"/>
    <w:basedOn w:val="a0"/>
    <w:uiPriority w:val="99"/>
    <w:unhideWhenUsed/>
    <w:rsid w:val="004959DA"/>
    <w:rPr>
      <w:color w:val="0000FF" w:themeColor="hyperlink"/>
      <w:u w:val="single"/>
    </w:rPr>
  </w:style>
  <w:style w:type="paragraph" w:styleId="a6">
    <w:name w:val="Balloon Text"/>
    <w:basedOn w:val="a"/>
    <w:link w:val="a7"/>
    <w:uiPriority w:val="99"/>
    <w:semiHidden/>
    <w:unhideWhenUsed/>
    <w:rsid w:val="004959DA"/>
    <w:pPr>
      <w:spacing w:after="0" w:line="240" w:lineRule="auto"/>
    </w:pPr>
    <w:rPr>
      <w:rFonts w:ascii="Tahoma" w:hAnsi="Tahoma" w:cs="Tahoma"/>
      <w:sz w:val="16"/>
      <w:szCs w:val="16"/>
    </w:rPr>
  </w:style>
  <w:style w:type="character" w:customStyle="1" w:styleId="a7">
    <w:name w:val="Изнесен текст Знак"/>
    <w:basedOn w:val="a0"/>
    <w:link w:val="a6"/>
    <w:uiPriority w:val="99"/>
    <w:semiHidden/>
    <w:rsid w:val="004959DA"/>
    <w:rPr>
      <w:rFonts w:ascii="Tahoma" w:hAnsi="Tahoma" w:cs="Tahoma"/>
      <w:sz w:val="16"/>
      <w:szCs w:val="16"/>
      <w:lang w:val="en-GB"/>
    </w:rPr>
  </w:style>
  <w:style w:type="paragraph" w:styleId="a8">
    <w:name w:val="header"/>
    <w:basedOn w:val="a"/>
    <w:link w:val="a9"/>
    <w:uiPriority w:val="99"/>
    <w:unhideWhenUsed/>
    <w:rsid w:val="00EC630F"/>
    <w:pPr>
      <w:tabs>
        <w:tab w:val="center" w:pos="4680"/>
        <w:tab w:val="right" w:pos="9360"/>
      </w:tabs>
      <w:spacing w:after="0" w:line="240" w:lineRule="auto"/>
    </w:pPr>
  </w:style>
  <w:style w:type="character" w:customStyle="1" w:styleId="a9">
    <w:name w:val="Горен колонтитул Знак"/>
    <w:basedOn w:val="a0"/>
    <w:link w:val="a8"/>
    <w:uiPriority w:val="99"/>
    <w:rsid w:val="00EC630F"/>
    <w:rPr>
      <w:rFonts w:ascii="Times New Roman" w:hAnsi="Times New Roman"/>
      <w:sz w:val="24"/>
      <w:lang w:val="en-GB"/>
    </w:rPr>
  </w:style>
  <w:style w:type="paragraph" w:styleId="aa">
    <w:name w:val="footer"/>
    <w:basedOn w:val="a"/>
    <w:link w:val="ab"/>
    <w:uiPriority w:val="99"/>
    <w:unhideWhenUsed/>
    <w:rsid w:val="00EC630F"/>
    <w:pPr>
      <w:tabs>
        <w:tab w:val="center" w:pos="4680"/>
        <w:tab w:val="right" w:pos="9360"/>
      </w:tabs>
      <w:spacing w:after="0" w:line="240" w:lineRule="auto"/>
    </w:pPr>
  </w:style>
  <w:style w:type="character" w:customStyle="1" w:styleId="ab">
    <w:name w:val="Долен колонтитул Знак"/>
    <w:basedOn w:val="a0"/>
    <w:link w:val="aa"/>
    <w:uiPriority w:val="99"/>
    <w:rsid w:val="00EC630F"/>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77589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2.xml"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header" Target="header1.xml" /><Relationship Id="rId12" Type="http://schemas.openxmlformats.org/officeDocument/2006/relationships/footer" Target="footer3.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eader" Target="header3.xml" /><Relationship Id="rId5" Type="http://schemas.openxmlformats.org/officeDocument/2006/relationships/footnotes" Target="footnotes.xml" /><Relationship Id="rId10" Type="http://schemas.openxmlformats.org/officeDocument/2006/relationships/footer" Target="footer2.xml" /><Relationship Id="rId4" Type="http://schemas.openxmlformats.org/officeDocument/2006/relationships/webSettings" Target="webSettings.xml" /><Relationship Id="rId9" Type="http://schemas.openxmlformats.org/officeDocument/2006/relationships/footer" Target="footer1.xm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3325D-7A22-4546-B8E7-21D31C81769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2435</Words>
  <Characters>13881</Characters>
  <Application>Microsoft Office Word</Application>
  <DocSecurity>0</DocSecurity>
  <Lines>115</Lines>
  <Paragraphs>32</Paragraphs>
  <ScaleCrop>false</ScaleCrop>
  <Company/>
  <LinksUpToDate>false</LinksUpToDate>
  <CharactersWithSpaces>16284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2022-09-02T19:13:00Z</dcterms:created>
  <dcterms:modified xsi:type="dcterms:W3CDTF">2022-09-02T19:13:00Z</dcterms:modified>
</cp:coreProperties>
</file>