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4EDC6" w14:textId="77777777" w:rsidR="000A5716" w:rsidRPr="00C52D14" w:rsidRDefault="000A5716" w:rsidP="00C52D14">
      <w:pPr>
        <w:rPr>
          <w:rFonts w:ascii="Arial" w:hAnsi="Arial" w:cs="Arial"/>
          <w:b/>
          <w:bCs/>
        </w:rPr>
      </w:pPr>
      <w:r w:rsidRPr="00C52D14">
        <w:rPr>
          <w:rFonts w:ascii="Arial" w:hAnsi="Arial" w:cs="Arial"/>
          <w:noProof/>
        </w:rPr>
        <w:drawing>
          <wp:anchor distT="0" distB="0" distL="114300" distR="114300" simplePos="0" relativeHeight="251658752" behindDoc="0" locked="0" layoutInCell="1" allowOverlap="1" wp14:anchorId="7EF62880" wp14:editId="447CBF05">
            <wp:simplePos x="0" y="0"/>
            <wp:positionH relativeFrom="column">
              <wp:posOffset>403860</wp:posOffset>
            </wp:positionH>
            <wp:positionV relativeFrom="paragraph">
              <wp:posOffset>0</wp:posOffset>
            </wp:positionV>
            <wp:extent cx="5295900" cy="2974340"/>
            <wp:effectExtent l="0" t="0" r="0" b="0"/>
            <wp:wrapTopAndBottom/>
            <wp:docPr id="157077835" name="Picture 2"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95900" cy="2974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72A1B1" w14:textId="77777777" w:rsidR="000A5716" w:rsidRPr="00C52D14" w:rsidRDefault="000A5716" w:rsidP="00C52D14">
      <w:pPr>
        <w:rPr>
          <w:rFonts w:ascii="Arial" w:hAnsi="Arial" w:cs="Arial"/>
          <w:b/>
          <w:bCs/>
        </w:rPr>
      </w:pPr>
    </w:p>
    <w:p w14:paraId="58B1D831" w14:textId="729FC726" w:rsidR="000A5716" w:rsidRPr="00C52D14" w:rsidRDefault="000A5716" w:rsidP="00C52D14">
      <w:pPr>
        <w:jc w:val="center"/>
        <w:rPr>
          <w:rFonts w:ascii="Arial" w:hAnsi="Arial" w:cs="Arial"/>
          <w:b/>
          <w:bCs/>
        </w:rPr>
      </w:pPr>
      <w:r w:rsidRPr="00C52D14">
        <w:rPr>
          <w:rFonts w:ascii="Arial" w:hAnsi="Arial" w:cs="Arial"/>
          <w:b/>
          <w:bCs/>
        </w:rPr>
        <w:t>Introduction to Independent Research Skills</w:t>
      </w:r>
    </w:p>
    <w:p w14:paraId="39BFC849" w14:textId="55317A26" w:rsidR="000A5716" w:rsidRPr="00C52D14" w:rsidRDefault="000A5716" w:rsidP="00C52D14">
      <w:pPr>
        <w:jc w:val="center"/>
        <w:rPr>
          <w:rFonts w:ascii="Arial" w:hAnsi="Arial" w:cs="Arial"/>
        </w:rPr>
      </w:pPr>
      <w:r w:rsidRPr="00C52D14">
        <w:rPr>
          <w:rFonts w:ascii="Arial" w:hAnsi="Arial" w:cs="Arial"/>
        </w:rPr>
        <w:t xml:space="preserve">Module Code - </w:t>
      </w:r>
      <w:r w:rsidRPr="00C52D14">
        <w:rPr>
          <w:rFonts w:ascii="Arial" w:hAnsi="Arial" w:cs="Arial"/>
          <w:b/>
        </w:rPr>
        <w:t>BMHP501</w:t>
      </w:r>
      <w:r w:rsidRPr="00C52D14">
        <w:rPr>
          <w:rFonts w:ascii="Arial" w:hAnsi="Arial" w:cs="Arial"/>
          <w:b/>
        </w:rPr>
        <w:t>9</w:t>
      </w:r>
    </w:p>
    <w:p w14:paraId="0D73755C" w14:textId="77777777" w:rsidR="000A5716" w:rsidRPr="00C52D14" w:rsidRDefault="000A5716" w:rsidP="00C52D14">
      <w:pPr>
        <w:jc w:val="center"/>
        <w:rPr>
          <w:rFonts w:ascii="Arial" w:hAnsi="Arial" w:cs="Arial"/>
        </w:rPr>
      </w:pPr>
    </w:p>
    <w:p w14:paraId="2169FFEC" w14:textId="753B70B8" w:rsidR="000A5716" w:rsidRPr="00C52D14" w:rsidRDefault="000A5716" w:rsidP="00C52D14">
      <w:pPr>
        <w:jc w:val="center"/>
        <w:rPr>
          <w:rFonts w:ascii="Arial" w:hAnsi="Arial" w:cs="Arial"/>
          <w:b/>
        </w:rPr>
      </w:pPr>
      <w:r w:rsidRPr="00C52D14">
        <w:rPr>
          <w:rFonts w:ascii="Arial" w:hAnsi="Arial" w:cs="Arial"/>
        </w:rPr>
        <w:t xml:space="preserve">Assignment – </w:t>
      </w:r>
      <w:r w:rsidRPr="00C52D14">
        <w:rPr>
          <w:rFonts w:ascii="Arial" w:hAnsi="Arial" w:cs="Arial"/>
        </w:rPr>
        <w:t>Research Report</w:t>
      </w:r>
    </w:p>
    <w:p w14:paraId="7A8BCEBB" w14:textId="77777777" w:rsidR="000A5716" w:rsidRPr="00C52D14" w:rsidRDefault="000A5716" w:rsidP="00C52D14">
      <w:pPr>
        <w:jc w:val="center"/>
        <w:rPr>
          <w:rFonts w:ascii="Arial" w:hAnsi="Arial" w:cs="Arial"/>
        </w:rPr>
      </w:pPr>
    </w:p>
    <w:p w14:paraId="6086DF82" w14:textId="4D87FB00" w:rsidR="000A5716" w:rsidRPr="00C52D14" w:rsidRDefault="000A5716" w:rsidP="00C52D14">
      <w:pPr>
        <w:jc w:val="center"/>
        <w:rPr>
          <w:rFonts w:ascii="Arial" w:hAnsi="Arial" w:cs="Arial"/>
        </w:rPr>
      </w:pPr>
      <w:r w:rsidRPr="00C52D14">
        <w:rPr>
          <w:rFonts w:ascii="Arial" w:hAnsi="Arial" w:cs="Arial"/>
        </w:rPr>
        <w:t>Student Name - Shumon Ahmed</w:t>
      </w:r>
    </w:p>
    <w:p w14:paraId="31395691" w14:textId="77777777" w:rsidR="000A5716" w:rsidRPr="00C52D14" w:rsidRDefault="000A5716" w:rsidP="00C52D14">
      <w:pPr>
        <w:jc w:val="center"/>
        <w:rPr>
          <w:rFonts w:ascii="Arial" w:hAnsi="Arial" w:cs="Arial"/>
        </w:rPr>
      </w:pPr>
      <w:r w:rsidRPr="00C52D14">
        <w:rPr>
          <w:rFonts w:ascii="Arial" w:hAnsi="Arial" w:cs="Arial"/>
        </w:rPr>
        <w:t>Student Number - 2310119</w:t>
      </w:r>
    </w:p>
    <w:p w14:paraId="7FBAD86E" w14:textId="77777777" w:rsidR="000A5716" w:rsidRPr="00C52D14" w:rsidRDefault="000A5716" w:rsidP="00C52D14">
      <w:pPr>
        <w:jc w:val="center"/>
        <w:rPr>
          <w:rFonts w:ascii="Arial" w:hAnsi="Arial" w:cs="Arial"/>
        </w:rPr>
      </w:pPr>
    </w:p>
    <w:p w14:paraId="3E0DF969" w14:textId="69CE7FBA" w:rsidR="000A5716" w:rsidRPr="00C52D14" w:rsidRDefault="000A5716" w:rsidP="00C52D14">
      <w:pPr>
        <w:jc w:val="center"/>
        <w:rPr>
          <w:rFonts w:ascii="Arial" w:hAnsi="Arial" w:cs="Arial"/>
        </w:rPr>
      </w:pPr>
      <w:r w:rsidRPr="00C52D14">
        <w:rPr>
          <w:rFonts w:ascii="Arial" w:hAnsi="Arial" w:cs="Arial"/>
        </w:rPr>
        <w:t xml:space="preserve">Lecturer – </w:t>
      </w:r>
      <w:r w:rsidRPr="00C52D14">
        <w:rPr>
          <w:rFonts w:ascii="Arial" w:hAnsi="Arial" w:cs="Arial"/>
        </w:rPr>
        <w:t>Philip Jones</w:t>
      </w:r>
    </w:p>
    <w:p w14:paraId="3925F7F4" w14:textId="77777777" w:rsidR="000A5716" w:rsidRPr="00C52D14" w:rsidRDefault="000A5716" w:rsidP="00C52D14">
      <w:pPr>
        <w:jc w:val="center"/>
        <w:rPr>
          <w:rFonts w:ascii="Arial" w:hAnsi="Arial" w:cs="Arial"/>
        </w:rPr>
      </w:pPr>
    </w:p>
    <w:p w14:paraId="00A61812" w14:textId="79504400" w:rsidR="000A5716" w:rsidRPr="00C52D14" w:rsidRDefault="000A5716" w:rsidP="00C52D14">
      <w:pPr>
        <w:jc w:val="center"/>
        <w:rPr>
          <w:rFonts w:ascii="Arial" w:hAnsi="Arial" w:cs="Arial"/>
        </w:rPr>
      </w:pPr>
      <w:r w:rsidRPr="00C52D14">
        <w:rPr>
          <w:rFonts w:ascii="Arial" w:hAnsi="Arial" w:cs="Arial"/>
        </w:rPr>
        <w:t>Date – 2</w:t>
      </w:r>
      <w:r w:rsidRPr="00C52D14">
        <w:rPr>
          <w:rFonts w:ascii="Arial" w:hAnsi="Arial" w:cs="Arial"/>
        </w:rPr>
        <w:t>9/03/2026</w:t>
      </w:r>
    </w:p>
    <w:p w14:paraId="798C110A" w14:textId="77777777" w:rsidR="000A5716" w:rsidRPr="00C52D14" w:rsidRDefault="000A5716" w:rsidP="00C52D14">
      <w:pPr>
        <w:rPr>
          <w:rFonts w:ascii="Arial" w:hAnsi="Arial" w:cs="Arial"/>
        </w:rPr>
      </w:pPr>
    </w:p>
    <w:p w14:paraId="1936A915" w14:textId="77777777" w:rsidR="000A5716" w:rsidRPr="00C52D14" w:rsidRDefault="000A5716" w:rsidP="00C52D14">
      <w:pPr>
        <w:rPr>
          <w:rFonts w:ascii="Arial" w:hAnsi="Arial" w:cs="Arial"/>
        </w:rPr>
      </w:pPr>
    </w:p>
    <w:p w14:paraId="06C40E7A" w14:textId="77777777" w:rsidR="000A5716" w:rsidRPr="00C52D14" w:rsidRDefault="000A5716" w:rsidP="00C52D14">
      <w:pPr>
        <w:rPr>
          <w:rFonts w:ascii="Arial" w:hAnsi="Arial" w:cs="Arial"/>
        </w:rPr>
      </w:pPr>
    </w:p>
    <w:p w14:paraId="0FA2E8E5" w14:textId="77777777" w:rsidR="000A5716" w:rsidRPr="00C52D14" w:rsidRDefault="000A5716" w:rsidP="00C52D14">
      <w:pPr>
        <w:rPr>
          <w:rFonts w:ascii="Arial" w:hAnsi="Arial" w:cs="Arial"/>
        </w:rPr>
      </w:pPr>
    </w:p>
    <w:p w14:paraId="1C8410F5" w14:textId="77777777" w:rsidR="000A5716" w:rsidRPr="00C52D14" w:rsidRDefault="000A5716" w:rsidP="00C52D14">
      <w:pPr>
        <w:rPr>
          <w:rFonts w:ascii="Arial" w:hAnsi="Arial" w:cs="Arial"/>
        </w:rPr>
      </w:pPr>
    </w:p>
    <w:p w14:paraId="25831008" w14:textId="77777777" w:rsidR="000A5716" w:rsidRPr="00C52D14" w:rsidRDefault="000A5716" w:rsidP="00C52D14">
      <w:pPr>
        <w:rPr>
          <w:rFonts w:ascii="Arial" w:hAnsi="Arial" w:cs="Arial"/>
        </w:rPr>
      </w:pPr>
    </w:p>
    <w:p w14:paraId="480C8CBA" w14:textId="77777777" w:rsidR="00C52D14" w:rsidRPr="00C52D14" w:rsidRDefault="00C52D14" w:rsidP="00C52D14">
      <w:pPr>
        <w:rPr>
          <w:rFonts w:ascii="Arial" w:hAnsi="Arial" w:cs="Arial"/>
          <w:lang w:val="en-GB"/>
        </w:rPr>
      </w:pPr>
      <w:r w:rsidRPr="00C52D14">
        <w:rPr>
          <w:rFonts w:ascii="Arial" w:hAnsi="Arial" w:cs="Arial"/>
          <w:lang w:val="en-GB"/>
        </w:rPr>
        <w:lastRenderedPageBreak/>
        <w:t>A Scoping Review of the Impact of Telehealth on Patient Access to Healthcare in the UK</w:t>
      </w:r>
    </w:p>
    <w:p w14:paraId="32D181CA" w14:textId="77777777" w:rsidR="00C52D14" w:rsidRDefault="00C52D14" w:rsidP="00C52D14">
      <w:pPr>
        <w:rPr>
          <w:rFonts w:ascii="Arial" w:hAnsi="Arial" w:cs="Arial"/>
          <w:lang w:val="en-GB"/>
        </w:rPr>
      </w:pPr>
    </w:p>
    <w:p w14:paraId="5034508E" w14:textId="01FEE7FA" w:rsidR="00C52D14" w:rsidRPr="00C52D14" w:rsidRDefault="00C52D14" w:rsidP="00C52D14">
      <w:pPr>
        <w:rPr>
          <w:rFonts w:ascii="Arial" w:hAnsi="Arial" w:cs="Arial"/>
          <w:lang w:val="en-GB"/>
        </w:rPr>
      </w:pPr>
      <w:r w:rsidRPr="00C52D14">
        <w:rPr>
          <w:rFonts w:ascii="Arial" w:hAnsi="Arial" w:cs="Arial"/>
          <w:lang w:val="en-GB"/>
        </w:rPr>
        <w:t>1. I</w:t>
      </w:r>
      <w:r>
        <w:rPr>
          <w:rFonts w:ascii="Arial" w:hAnsi="Arial" w:cs="Arial"/>
          <w:lang w:val="en-GB"/>
        </w:rPr>
        <w:t>NTRODUCTION</w:t>
      </w:r>
    </w:p>
    <w:p w14:paraId="02032BBC" w14:textId="77777777" w:rsidR="00C52D14" w:rsidRPr="00C52D14" w:rsidRDefault="00C52D14" w:rsidP="00C52D14">
      <w:pPr>
        <w:rPr>
          <w:rFonts w:ascii="Arial" w:hAnsi="Arial" w:cs="Arial"/>
          <w:lang w:val="en-GB"/>
        </w:rPr>
      </w:pPr>
      <w:r w:rsidRPr="00C52D14">
        <w:rPr>
          <w:rFonts w:ascii="Arial" w:hAnsi="Arial" w:cs="Arial"/>
          <w:lang w:val="en-GB"/>
        </w:rPr>
        <w:t>Telehealth has become a significant feature of contemporary healthcare systems, particularly in response to increasing patient demand, workforce shortages, and the need to improve accessibility and efficiency. Telehealth refers to the use of digital communication technologies, including video consultations, telephone appointments, and remote monitoring systems, to deliver healthcare services remotely (NHS England, 2022). It is a key component of digital health, which broadly encompasses the use of technology to enhance healthcare delivery and improve patient outcomes (World Health Organisation, 2020).</w:t>
      </w:r>
    </w:p>
    <w:p w14:paraId="4EB17E19" w14:textId="77777777" w:rsidR="00C52D14" w:rsidRPr="00C52D14" w:rsidRDefault="00C52D14" w:rsidP="00C52D14">
      <w:pPr>
        <w:rPr>
          <w:rFonts w:ascii="Arial" w:hAnsi="Arial" w:cs="Arial"/>
          <w:lang w:val="en-GB"/>
        </w:rPr>
      </w:pPr>
      <w:r w:rsidRPr="00C52D14">
        <w:rPr>
          <w:rFonts w:ascii="Arial" w:hAnsi="Arial" w:cs="Arial"/>
          <w:lang w:val="en-GB"/>
        </w:rPr>
        <w:t>Access to healthcare is widely recognised as a fundamental determinant of health outcomes and is defined as the ability of individuals to obtain appropriate healthcare services in a timely and convenient manner (</w:t>
      </w:r>
      <w:proofErr w:type="spellStart"/>
      <w:r w:rsidRPr="00C52D14">
        <w:rPr>
          <w:rFonts w:ascii="Arial" w:hAnsi="Arial" w:cs="Arial"/>
          <w:lang w:val="en-GB"/>
        </w:rPr>
        <w:t>Penchansky</w:t>
      </w:r>
      <w:proofErr w:type="spellEnd"/>
      <w:r w:rsidRPr="00C52D14">
        <w:rPr>
          <w:rFonts w:ascii="Arial" w:hAnsi="Arial" w:cs="Arial"/>
          <w:lang w:val="en-GB"/>
        </w:rPr>
        <w:t xml:space="preserve"> and Thomas, 1981). Within the UK, access to healthcare has been influenced by multiple factors, including geographical inequalities, long waiting times, workforce shortages, and increasing demand (The King’s Fund, 2021). These challenges have placed considerable pressure on the National Health Service (NHS), highlighting the need for innovative solutions to improve service delivery.</w:t>
      </w:r>
    </w:p>
    <w:p w14:paraId="0A3F64C5" w14:textId="77777777" w:rsidR="00C52D14" w:rsidRPr="00C52D14" w:rsidRDefault="00C52D14" w:rsidP="00C52D14">
      <w:pPr>
        <w:rPr>
          <w:rFonts w:ascii="Arial" w:hAnsi="Arial" w:cs="Arial"/>
          <w:lang w:val="en-GB"/>
        </w:rPr>
      </w:pPr>
      <w:r w:rsidRPr="00C52D14">
        <w:rPr>
          <w:rFonts w:ascii="Arial" w:hAnsi="Arial" w:cs="Arial"/>
          <w:lang w:val="en-GB"/>
        </w:rPr>
        <w:t>The COVID-19 pandemic acted as a catalyst for the rapid adoption of telehealth across the UK. Healthcare providers were required to transition to remote consultations to minimise physical contact while maintaining continuity of care (Greenhalgh et al., 2020). As a result, telehealth became an essential tool in delivering healthcare services, particularly within primary care.</w:t>
      </w:r>
    </w:p>
    <w:p w14:paraId="3D09A253" w14:textId="77777777" w:rsidR="00C52D14" w:rsidRPr="00C52D14" w:rsidRDefault="00C52D14" w:rsidP="00C52D14">
      <w:pPr>
        <w:rPr>
          <w:rFonts w:ascii="Arial" w:hAnsi="Arial" w:cs="Arial"/>
          <w:lang w:val="en-GB"/>
        </w:rPr>
      </w:pPr>
      <w:r w:rsidRPr="00C52D14">
        <w:rPr>
          <w:rFonts w:ascii="Arial" w:hAnsi="Arial" w:cs="Arial"/>
          <w:lang w:val="en-GB"/>
        </w:rPr>
        <w:t xml:space="preserve">Despite its widespread adoption, the effectiveness of telehealth in improving access to healthcare remains a subject of debate. While telehealth offers several advantages, including increased convenience and efficiency, concerns have been raised regarding digital exclusion, quality of care, and patient satisfaction (Watts, 2020). </w:t>
      </w:r>
      <w:proofErr w:type="gramStart"/>
      <w:r w:rsidRPr="00C52D14">
        <w:rPr>
          <w:rFonts w:ascii="Arial" w:hAnsi="Arial" w:cs="Arial"/>
          <w:lang w:val="en-GB"/>
        </w:rPr>
        <w:t>In particular, individuals</w:t>
      </w:r>
      <w:proofErr w:type="gramEnd"/>
      <w:r w:rsidRPr="00C52D14">
        <w:rPr>
          <w:rFonts w:ascii="Arial" w:hAnsi="Arial" w:cs="Arial"/>
          <w:lang w:val="en-GB"/>
        </w:rPr>
        <w:t xml:space="preserve"> who lack access to digital technologies or the skills required to use them may be disadvantaged, potentially exacerbating existing health inequalities.</w:t>
      </w:r>
    </w:p>
    <w:p w14:paraId="35A50BF1" w14:textId="77777777" w:rsidR="00C52D14" w:rsidRPr="00C52D14" w:rsidRDefault="00C52D14" w:rsidP="00C52D14">
      <w:pPr>
        <w:rPr>
          <w:rFonts w:ascii="Arial" w:hAnsi="Arial" w:cs="Arial"/>
          <w:lang w:val="en-GB"/>
        </w:rPr>
      </w:pPr>
      <w:r w:rsidRPr="00C52D14">
        <w:rPr>
          <w:rFonts w:ascii="Arial" w:hAnsi="Arial" w:cs="Arial"/>
          <w:lang w:val="en-GB"/>
        </w:rPr>
        <w:t>This scoping review aims to explore the impact of telehealth on patient access to healthcare services in the UK by analysing peer-reviewed research. The review seeks to identify key themes, evaluate the effectiveness of telehealth, and provide recommendations for future policy and practice.</w:t>
      </w:r>
    </w:p>
    <w:p w14:paraId="3BBBE077" w14:textId="77777777" w:rsidR="00C52D14" w:rsidRDefault="00C52D14" w:rsidP="00C52D14">
      <w:pPr>
        <w:rPr>
          <w:rFonts w:ascii="Arial" w:hAnsi="Arial" w:cs="Arial"/>
          <w:lang w:val="en-GB"/>
        </w:rPr>
      </w:pPr>
    </w:p>
    <w:p w14:paraId="3F458960" w14:textId="77777777" w:rsidR="00C52D14" w:rsidRDefault="00C52D14" w:rsidP="00C52D14">
      <w:pPr>
        <w:rPr>
          <w:rFonts w:ascii="Arial" w:hAnsi="Arial" w:cs="Arial"/>
          <w:lang w:val="en-GB"/>
        </w:rPr>
      </w:pPr>
    </w:p>
    <w:p w14:paraId="36CA1CA6" w14:textId="77777777" w:rsidR="00C52D14" w:rsidRDefault="00C52D14" w:rsidP="00C52D14">
      <w:pPr>
        <w:rPr>
          <w:rFonts w:ascii="Arial" w:hAnsi="Arial" w:cs="Arial"/>
          <w:lang w:val="en-GB"/>
        </w:rPr>
      </w:pPr>
    </w:p>
    <w:p w14:paraId="2FA817A9" w14:textId="77777777" w:rsidR="00C52D14" w:rsidRDefault="00C52D14" w:rsidP="00C52D14">
      <w:pPr>
        <w:rPr>
          <w:rFonts w:ascii="Arial" w:hAnsi="Arial" w:cs="Arial"/>
          <w:lang w:val="en-GB"/>
        </w:rPr>
      </w:pPr>
    </w:p>
    <w:p w14:paraId="4C3055A8" w14:textId="77777777" w:rsidR="00C52D14" w:rsidRDefault="00C52D14" w:rsidP="00C52D14">
      <w:pPr>
        <w:rPr>
          <w:rFonts w:ascii="Arial" w:hAnsi="Arial" w:cs="Arial"/>
          <w:lang w:val="en-GB"/>
        </w:rPr>
      </w:pPr>
    </w:p>
    <w:p w14:paraId="0A50D3C5" w14:textId="77777777" w:rsidR="00C52D14" w:rsidRDefault="00C52D14" w:rsidP="00C52D14">
      <w:pPr>
        <w:rPr>
          <w:rFonts w:ascii="Arial" w:hAnsi="Arial" w:cs="Arial"/>
          <w:lang w:val="en-GB"/>
        </w:rPr>
      </w:pPr>
    </w:p>
    <w:p w14:paraId="72A73A2E" w14:textId="77777777" w:rsidR="00C52D14" w:rsidRDefault="00C52D14" w:rsidP="00C52D14">
      <w:pPr>
        <w:rPr>
          <w:rFonts w:ascii="Arial" w:hAnsi="Arial" w:cs="Arial"/>
          <w:lang w:val="en-GB"/>
        </w:rPr>
      </w:pPr>
    </w:p>
    <w:p w14:paraId="3A169210" w14:textId="59D8F120" w:rsidR="00C52D14" w:rsidRPr="00C52D14" w:rsidRDefault="00C52D14" w:rsidP="00C52D14">
      <w:pPr>
        <w:rPr>
          <w:rFonts w:ascii="Arial" w:hAnsi="Arial" w:cs="Arial"/>
          <w:lang w:val="en-GB"/>
        </w:rPr>
      </w:pPr>
      <w:r w:rsidRPr="00C52D14">
        <w:rPr>
          <w:rFonts w:ascii="Arial" w:hAnsi="Arial" w:cs="Arial"/>
          <w:lang w:val="en-GB"/>
        </w:rPr>
        <w:t>Review Question</w:t>
      </w:r>
    </w:p>
    <w:p w14:paraId="0EEE5319" w14:textId="77777777" w:rsidR="00C52D14" w:rsidRPr="00C52D14" w:rsidRDefault="00C52D14" w:rsidP="00C52D14">
      <w:pPr>
        <w:rPr>
          <w:rFonts w:ascii="Arial" w:hAnsi="Arial" w:cs="Arial"/>
          <w:lang w:val="en-GB"/>
        </w:rPr>
      </w:pPr>
      <w:r w:rsidRPr="00C52D14">
        <w:rPr>
          <w:rFonts w:ascii="Arial" w:hAnsi="Arial" w:cs="Arial"/>
          <w:lang w:val="en-GB"/>
        </w:rPr>
        <w:t>What is the impact of telehealth on patient access to healthcare services in the UK?</w:t>
      </w:r>
    </w:p>
    <w:p w14:paraId="67F68D0B" w14:textId="77777777" w:rsidR="00C52D14" w:rsidRPr="00C52D14" w:rsidRDefault="00C52D14" w:rsidP="00C52D14">
      <w:pPr>
        <w:rPr>
          <w:rFonts w:ascii="Arial" w:hAnsi="Arial" w:cs="Arial"/>
          <w:lang w:val="en-GB"/>
        </w:rPr>
      </w:pPr>
      <w:r w:rsidRPr="00C52D14">
        <w:rPr>
          <w:rFonts w:ascii="Arial" w:hAnsi="Arial" w:cs="Arial"/>
          <w:lang w:val="en-GB"/>
        </w:rPr>
        <w:t>Objectives</w:t>
      </w:r>
    </w:p>
    <w:p w14:paraId="788DCA37" w14:textId="77777777" w:rsidR="00C52D14" w:rsidRPr="00C52D14" w:rsidRDefault="00C52D14" w:rsidP="00C52D14">
      <w:pPr>
        <w:numPr>
          <w:ilvl w:val="0"/>
          <w:numId w:val="1"/>
        </w:numPr>
        <w:rPr>
          <w:rFonts w:ascii="Arial" w:hAnsi="Arial" w:cs="Arial"/>
          <w:lang w:val="en-GB"/>
        </w:rPr>
      </w:pPr>
      <w:r w:rsidRPr="00C52D14">
        <w:rPr>
          <w:rFonts w:ascii="Arial" w:hAnsi="Arial" w:cs="Arial"/>
          <w:lang w:val="en-GB"/>
        </w:rPr>
        <w:t xml:space="preserve">To identify peer-reviewed studies on telehealth in the UK </w:t>
      </w:r>
    </w:p>
    <w:p w14:paraId="72939D68" w14:textId="77777777" w:rsidR="00C52D14" w:rsidRPr="00C52D14" w:rsidRDefault="00C52D14" w:rsidP="00C52D14">
      <w:pPr>
        <w:numPr>
          <w:ilvl w:val="0"/>
          <w:numId w:val="1"/>
        </w:numPr>
        <w:rPr>
          <w:rFonts w:ascii="Arial" w:hAnsi="Arial" w:cs="Arial"/>
          <w:lang w:val="en-GB"/>
        </w:rPr>
      </w:pPr>
      <w:r w:rsidRPr="00C52D14">
        <w:rPr>
          <w:rFonts w:ascii="Arial" w:hAnsi="Arial" w:cs="Arial"/>
          <w:lang w:val="en-GB"/>
        </w:rPr>
        <w:t xml:space="preserve">To examine how telehealth influences patient access to healthcare </w:t>
      </w:r>
    </w:p>
    <w:p w14:paraId="240AA1AF" w14:textId="77777777" w:rsidR="00C52D14" w:rsidRPr="00C52D14" w:rsidRDefault="00C52D14" w:rsidP="00C52D14">
      <w:pPr>
        <w:numPr>
          <w:ilvl w:val="0"/>
          <w:numId w:val="1"/>
        </w:numPr>
        <w:rPr>
          <w:rFonts w:ascii="Arial" w:hAnsi="Arial" w:cs="Arial"/>
          <w:lang w:val="en-GB"/>
        </w:rPr>
      </w:pPr>
      <w:r w:rsidRPr="00C52D14">
        <w:rPr>
          <w:rFonts w:ascii="Arial" w:hAnsi="Arial" w:cs="Arial"/>
          <w:lang w:val="en-GB"/>
        </w:rPr>
        <w:t xml:space="preserve">To analyse key themes related to accessibility, benefits, and challenges </w:t>
      </w:r>
    </w:p>
    <w:p w14:paraId="46E976A3" w14:textId="77777777" w:rsidR="00C52D14" w:rsidRPr="00C52D14" w:rsidRDefault="00C52D14" w:rsidP="00C52D14">
      <w:pPr>
        <w:numPr>
          <w:ilvl w:val="0"/>
          <w:numId w:val="1"/>
        </w:numPr>
        <w:rPr>
          <w:rFonts w:ascii="Arial" w:hAnsi="Arial" w:cs="Arial"/>
          <w:lang w:val="en-GB"/>
        </w:rPr>
      </w:pPr>
      <w:r w:rsidRPr="00C52D14">
        <w:rPr>
          <w:rFonts w:ascii="Arial" w:hAnsi="Arial" w:cs="Arial"/>
          <w:lang w:val="en-GB"/>
        </w:rPr>
        <w:t xml:space="preserve">To evaluate the effectiveness of telehealth in healthcare delivery </w:t>
      </w:r>
    </w:p>
    <w:p w14:paraId="333B148D" w14:textId="5401BB05" w:rsidR="00C52D14" w:rsidRDefault="00C52D14" w:rsidP="00C52D14">
      <w:pPr>
        <w:numPr>
          <w:ilvl w:val="0"/>
          <w:numId w:val="1"/>
        </w:numPr>
        <w:rPr>
          <w:rFonts w:ascii="Arial" w:hAnsi="Arial" w:cs="Arial"/>
          <w:lang w:val="en-GB"/>
        </w:rPr>
      </w:pPr>
      <w:r w:rsidRPr="00C52D14">
        <w:rPr>
          <w:rFonts w:ascii="Arial" w:hAnsi="Arial" w:cs="Arial"/>
          <w:lang w:val="en-GB"/>
        </w:rPr>
        <w:t xml:space="preserve">To provide recommendations for UK policy, practice, and future research </w:t>
      </w:r>
    </w:p>
    <w:p w14:paraId="3784AC31" w14:textId="77777777" w:rsidR="00C52D14" w:rsidRPr="00C52D14" w:rsidRDefault="00C52D14" w:rsidP="00C52D14">
      <w:pPr>
        <w:rPr>
          <w:rFonts w:ascii="Arial" w:hAnsi="Arial" w:cs="Arial"/>
          <w:lang w:val="en-GB"/>
        </w:rPr>
      </w:pPr>
    </w:p>
    <w:p w14:paraId="154CE7B7" w14:textId="7DA1AB2E" w:rsidR="00C52D14" w:rsidRPr="00C52D14" w:rsidRDefault="00C52D14" w:rsidP="00C52D14">
      <w:pPr>
        <w:rPr>
          <w:rFonts w:ascii="Arial" w:hAnsi="Arial" w:cs="Arial"/>
          <w:lang w:val="en-GB"/>
        </w:rPr>
      </w:pPr>
      <w:r w:rsidRPr="00C52D14">
        <w:rPr>
          <w:rFonts w:ascii="Arial" w:hAnsi="Arial" w:cs="Arial"/>
          <w:lang w:val="en-GB"/>
        </w:rPr>
        <w:t>2. B</w:t>
      </w:r>
      <w:r>
        <w:rPr>
          <w:rFonts w:ascii="Arial" w:hAnsi="Arial" w:cs="Arial"/>
          <w:lang w:val="en-GB"/>
        </w:rPr>
        <w:t>ACKGROUND</w:t>
      </w:r>
    </w:p>
    <w:p w14:paraId="426217EB" w14:textId="77777777" w:rsidR="00C52D14" w:rsidRPr="00C52D14" w:rsidRDefault="00C52D14" w:rsidP="00C52D14">
      <w:pPr>
        <w:rPr>
          <w:rFonts w:ascii="Arial" w:hAnsi="Arial" w:cs="Arial"/>
          <w:lang w:val="en-GB"/>
        </w:rPr>
      </w:pPr>
      <w:proofErr w:type="spellStart"/>
      <w:r w:rsidRPr="00C52D14">
        <w:rPr>
          <w:rFonts w:ascii="Arial" w:hAnsi="Arial" w:cs="Arial"/>
          <w:lang w:val="en-GB"/>
        </w:rPr>
        <w:t>Telehealth</w:t>
      </w:r>
      <w:proofErr w:type="spellEnd"/>
      <w:r w:rsidRPr="00C52D14">
        <w:rPr>
          <w:rFonts w:ascii="Arial" w:hAnsi="Arial" w:cs="Arial"/>
          <w:lang w:val="en-GB"/>
        </w:rPr>
        <w:t xml:space="preserve"> has become increasingly embedded within UK healthcare systems, particularly following the COVID-19 pandemic. NHS England rapidly expanded remote consultation services to maintain continuity of care while reducing the risk of infection (NHS England, 2020). This resulted in a substantial increase in telephone and video consultations, particularly within general practice (Murphy et al., 2021).</w:t>
      </w:r>
    </w:p>
    <w:p w14:paraId="483C744D" w14:textId="77777777" w:rsidR="00C52D14" w:rsidRPr="00C52D14" w:rsidRDefault="00C52D14" w:rsidP="00C52D14">
      <w:pPr>
        <w:rPr>
          <w:rFonts w:ascii="Arial" w:hAnsi="Arial" w:cs="Arial"/>
          <w:lang w:val="en-GB"/>
        </w:rPr>
      </w:pPr>
      <w:r w:rsidRPr="00C52D14">
        <w:rPr>
          <w:rFonts w:ascii="Arial" w:hAnsi="Arial" w:cs="Arial"/>
          <w:lang w:val="en-GB"/>
        </w:rPr>
        <w:t>The NHS Long Term Plan (2019) highlights digital transformation as a key priority for improving healthcare delivery and patient outcomes. Telehealth is central to this strategy, enabling healthcare providers to deliver care remotely, improve efficiency, and reduce pressure on healthcare services. Digital health technologies are also seen as a means of addressing workforce shortages and managing increasing demand.</w:t>
      </w:r>
    </w:p>
    <w:p w14:paraId="52469752" w14:textId="77777777" w:rsidR="00C52D14" w:rsidRPr="00C52D14" w:rsidRDefault="00C52D14" w:rsidP="00C52D14">
      <w:pPr>
        <w:rPr>
          <w:rFonts w:ascii="Arial" w:hAnsi="Arial" w:cs="Arial"/>
          <w:lang w:val="en-GB"/>
        </w:rPr>
      </w:pPr>
      <w:r w:rsidRPr="00C52D14">
        <w:rPr>
          <w:rFonts w:ascii="Arial" w:hAnsi="Arial" w:cs="Arial"/>
          <w:lang w:val="en-GB"/>
        </w:rPr>
        <w:t>However, access to healthcare in the UK remains uneven. Rural populations often face geographical barriers, including long travel distances and limited availability of services, while urban areas experience high demand and extended waiting times (The King’s Fund, 2022). Telehealth has been proposed as a solution to these challenges by providing remote access to healthcare services, thereby improving convenience and reducing travel requirements.</w:t>
      </w:r>
    </w:p>
    <w:p w14:paraId="79280D76" w14:textId="77777777" w:rsidR="00C52D14" w:rsidRPr="00C52D14" w:rsidRDefault="00C52D14" w:rsidP="00C52D14">
      <w:pPr>
        <w:rPr>
          <w:rFonts w:ascii="Arial" w:hAnsi="Arial" w:cs="Arial"/>
          <w:lang w:val="en-GB"/>
        </w:rPr>
      </w:pPr>
      <w:r w:rsidRPr="00C52D14">
        <w:rPr>
          <w:rFonts w:ascii="Arial" w:hAnsi="Arial" w:cs="Arial"/>
          <w:lang w:val="en-GB"/>
        </w:rPr>
        <w:t>Despite its potential benefits, telehealth also presents significant challenges. Digital exclusion is a major concern, as not all individuals have access to digital devices, reliable internet connections, or the skills required to use telehealth services effectively (Office for National Statistics, 2021). This is particularly relevant for older adults, individuals from lower socioeconomic backgrounds, and those with limited digital literacy. As a result, telehealth may inadvertently widen existing health inequalities if these barriers are not addressed.</w:t>
      </w:r>
    </w:p>
    <w:p w14:paraId="10995E8F" w14:textId="77777777" w:rsidR="00C52D14" w:rsidRPr="00C52D14" w:rsidRDefault="00C52D14" w:rsidP="00C52D14">
      <w:pPr>
        <w:rPr>
          <w:rFonts w:ascii="Arial" w:hAnsi="Arial" w:cs="Arial"/>
          <w:lang w:val="en-GB"/>
        </w:rPr>
      </w:pPr>
      <w:r w:rsidRPr="00C52D14">
        <w:rPr>
          <w:rFonts w:ascii="Arial" w:hAnsi="Arial" w:cs="Arial"/>
          <w:lang w:val="en-GB"/>
        </w:rPr>
        <w:t>The Nuffield Trust (2022) emphasises that digital health initiatives must be implemented in a way that promotes inclusivity and equity. Similarly, the World Health Organization (2020) highlights the importance of ensuring that telehealth services are accessible to all populations.</w:t>
      </w:r>
    </w:p>
    <w:p w14:paraId="66CD3CA2" w14:textId="77777777" w:rsidR="00C52D14" w:rsidRPr="00C52D14" w:rsidRDefault="00C52D14" w:rsidP="00C52D14">
      <w:pPr>
        <w:rPr>
          <w:rFonts w:ascii="Arial" w:hAnsi="Arial" w:cs="Arial"/>
          <w:lang w:val="en-GB"/>
        </w:rPr>
      </w:pPr>
      <w:r w:rsidRPr="00C52D14">
        <w:rPr>
          <w:rFonts w:ascii="Arial" w:hAnsi="Arial" w:cs="Arial"/>
          <w:lang w:val="en-GB"/>
        </w:rPr>
        <w:t>Patient experience and quality of care are also important considerations. While telehealth offers convenience and flexibility, it may limit the ability of healthcare professionals to conduct physical examinations and may affect communication between patients and clinicians (Greenhalgh et al., 2020). These limitations highlight the need for a balanced approach to healthcare delivery that incorporates both digital and face-to-face services.</w:t>
      </w:r>
    </w:p>
    <w:p w14:paraId="6A9C04E4" w14:textId="77777777" w:rsidR="00C52D14" w:rsidRPr="00C52D14" w:rsidRDefault="00C52D14" w:rsidP="00C52D14">
      <w:pPr>
        <w:rPr>
          <w:rFonts w:ascii="Arial" w:hAnsi="Arial" w:cs="Arial"/>
          <w:lang w:val="en-GB"/>
        </w:rPr>
      </w:pPr>
    </w:p>
    <w:p w14:paraId="7E748A32" w14:textId="77777777" w:rsidR="00C52D14" w:rsidRPr="00C52D14" w:rsidRDefault="00C52D14" w:rsidP="00C52D14">
      <w:pPr>
        <w:rPr>
          <w:rFonts w:ascii="Arial" w:hAnsi="Arial" w:cs="Arial"/>
          <w:lang w:val="en-GB"/>
        </w:rPr>
      </w:pPr>
      <w:r w:rsidRPr="00C52D14">
        <w:rPr>
          <w:rFonts w:ascii="Arial" w:hAnsi="Arial" w:cs="Arial"/>
          <w:lang w:val="en-GB"/>
        </w:rPr>
        <w:t>3. METHODS</w:t>
      </w:r>
    </w:p>
    <w:p w14:paraId="57E6AB88" w14:textId="77777777" w:rsidR="00C52D14" w:rsidRPr="00C52D14" w:rsidRDefault="00C52D14" w:rsidP="00C52D14">
      <w:pPr>
        <w:rPr>
          <w:rFonts w:ascii="Arial" w:hAnsi="Arial" w:cs="Arial"/>
          <w:lang w:val="en-GB"/>
        </w:rPr>
      </w:pPr>
      <w:r w:rsidRPr="00C52D14">
        <w:rPr>
          <w:rFonts w:ascii="Arial" w:hAnsi="Arial" w:cs="Arial"/>
          <w:lang w:val="en-GB"/>
        </w:rPr>
        <w:t>This study employed a scoping review methodology to explore existing literature on telehealth and healthcare access (Arksey and O’Malley, 2005). A scoping review is appropriate for mapping the extent and nature of research in a particular area and identifying key themes and gaps in the literature.</w:t>
      </w:r>
    </w:p>
    <w:p w14:paraId="474F548D" w14:textId="77777777" w:rsidR="00C52D14" w:rsidRPr="00C52D14" w:rsidRDefault="00C52D14" w:rsidP="00C52D14">
      <w:pPr>
        <w:rPr>
          <w:rFonts w:ascii="Arial" w:hAnsi="Arial" w:cs="Arial"/>
          <w:lang w:val="en-GB"/>
        </w:rPr>
      </w:pPr>
      <w:r w:rsidRPr="00C52D14">
        <w:rPr>
          <w:rFonts w:ascii="Arial" w:hAnsi="Arial" w:cs="Arial"/>
          <w:lang w:val="en-GB"/>
        </w:rPr>
        <w:t>Data Collection</w:t>
      </w:r>
    </w:p>
    <w:p w14:paraId="496B7E63" w14:textId="77777777" w:rsidR="00C52D14" w:rsidRPr="00C52D14" w:rsidRDefault="00C52D14" w:rsidP="00C52D14">
      <w:pPr>
        <w:rPr>
          <w:rFonts w:ascii="Arial" w:hAnsi="Arial" w:cs="Arial"/>
          <w:lang w:val="en-GB"/>
        </w:rPr>
      </w:pPr>
      <w:r w:rsidRPr="00C52D14">
        <w:rPr>
          <w:rFonts w:ascii="Arial" w:hAnsi="Arial" w:cs="Arial"/>
          <w:lang w:val="en-GB"/>
        </w:rPr>
        <w:t>A systematic search of academic databases was conducted, including PubMed, EBSCOhost, Sage Journals, and Google Scholar. Search terms included “telehealth”, “telemedicine”, “access to healthcare”, and “United Kingdom”. Boolean operators were used to refine the search.</w:t>
      </w:r>
    </w:p>
    <w:p w14:paraId="3BDC7BA6" w14:textId="77777777" w:rsidR="00C52D14" w:rsidRPr="00C52D14" w:rsidRDefault="00C52D14" w:rsidP="00C52D14">
      <w:pPr>
        <w:rPr>
          <w:rFonts w:ascii="Arial" w:hAnsi="Arial" w:cs="Arial"/>
          <w:lang w:val="en-GB"/>
        </w:rPr>
      </w:pPr>
      <w:r w:rsidRPr="00C52D14">
        <w:rPr>
          <w:rFonts w:ascii="Arial" w:hAnsi="Arial" w:cs="Arial"/>
          <w:lang w:val="en-GB"/>
        </w:rPr>
        <w:t>Inclusion criteria:</w:t>
      </w:r>
    </w:p>
    <w:p w14:paraId="1480676C" w14:textId="77777777" w:rsidR="00C52D14" w:rsidRPr="00C52D14" w:rsidRDefault="00C52D14" w:rsidP="00C52D14">
      <w:pPr>
        <w:numPr>
          <w:ilvl w:val="0"/>
          <w:numId w:val="2"/>
        </w:numPr>
        <w:rPr>
          <w:rFonts w:ascii="Arial" w:hAnsi="Arial" w:cs="Arial"/>
          <w:lang w:val="en-GB"/>
        </w:rPr>
      </w:pPr>
      <w:r w:rsidRPr="00C52D14">
        <w:rPr>
          <w:rFonts w:ascii="Arial" w:hAnsi="Arial" w:cs="Arial"/>
          <w:lang w:val="en-GB"/>
        </w:rPr>
        <w:t xml:space="preserve">Peer-reviewed journal articles </w:t>
      </w:r>
    </w:p>
    <w:p w14:paraId="1D0C6517" w14:textId="77777777" w:rsidR="00C52D14" w:rsidRPr="00C52D14" w:rsidRDefault="00C52D14" w:rsidP="00C52D14">
      <w:pPr>
        <w:numPr>
          <w:ilvl w:val="0"/>
          <w:numId w:val="2"/>
        </w:numPr>
        <w:rPr>
          <w:rFonts w:ascii="Arial" w:hAnsi="Arial" w:cs="Arial"/>
          <w:lang w:val="en-GB"/>
        </w:rPr>
      </w:pPr>
      <w:r w:rsidRPr="00C52D14">
        <w:rPr>
          <w:rFonts w:ascii="Arial" w:hAnsi="Arial" w:cs="Arial"/>
          <w:lang w:val="en-GB"/>
        </w:rPr>
        <w:t xml:space="preserve">UK-based studies </w:t>
      </w:r>
    </w:p>
    <w:p w14:paraId="7F8EE870" w14:textId="77777777" w:rsidR="00C52D14" w:rsidRPr="00C52D14" w:rsidRDefault="00C52D14" w:rsidP="00C52D14">
      <w:pPr>
        <w:numPr>
          <w:ilvl w:val="0"/>
          <w:numId w:val="2"/>
        </w:numPr>
        <w:rPr>
          <w:rFonts w:ascii="Arial" w:hAnsi="Arial" w:cs="Arial"/>
          <w:lang w:val="en-GB"/>
        </w:rPr>
      </w:pPr>
      <w:r w:rsidRPr="00C52D14">
        <w:rPr>
          <w:rFonts w:ascii="Arial" w:hAnsi="Arial" w:cs="Arial"/>
          <w:lang w:val="en-GB"/>
        </w:rPr>
        <w:t xml:space="preserve">Published between 2018 and 2024 </w:t>
      </w:r>
    </w:p>
    <w:p w14:paraId="2877FCA9" w14:textId="77777777" w:rsidR="00C52D14" w:rsidRPr="00C52D14" w:rsidRDefault="00C52D14" w:rsidP="00C52D14">
      <w:pPr>
        <w:rPr>
          <w:rFonts w:ascii="Arial" w:hAnsi="Arial" w:cs="Arial"/>
          <w:lang w:val="en-GB"/>
        </w:rPr>
      </w:pPr>
      <w:r w:rsidRPr="00C52D14">
        <w:rPr>
          <w:rFonts w:ascii="Arial" w:hAnsi="Arial" w:cs="Arial"/>
          <w:lang w:val="en-GB"/>
        </w:rPr>
        <w:t>Exclusion criteria:</w:t>
      </w:r>
    </w:p>
    <w:p w14:paraId="1E24AF7F" w14:textId="77777777" w:rsidR="00C52D14" w:rsidRPr="00C52D14" w:rsidRDefault="00C52D14" w:rsidP="00C52D14">
      <w:pPr>
        <w:numPr>
          <w:ilvl w:val="0"/>
          <w:numId w:val="3"/>
        </w:numPr>
        <w:rPr>
          <w:rFonts w:ascii="Arial" w:hAnsi="Arial" w:cs="Arial"/>
          <w:lang w:val="en-GB"/>
        </w:rPr>
      </w:pPr>
      <w:r w:rsidRPr="00C52D14">
        <w:rPr>
          <w:rFonts w:ascii="Arial" w:hAnsi="Arial" w:cs="Arial"/>
          <w:lang w:val="en-GB"/>
        </w:rPr>
        <w:t xml:space="preserve">Policy documents </w:t>
      </w:r>
    </w:p>
    <w:p w14:paraId="006D5549" w14:textId="77777777" w:rsidR="00C52D14" w:rsidRPr="00C52D14" w:rsidRDefault="00C52D14" w:rsidP="00C52D14">
      <w:pPr>
        <w:numPr>
          <w:ilvl w:val="0"/>
          <w:numId w:val="3"/>
        </w:numPr>
        <w:rPr>
          <w:rFonts w:ascii="Arial" w:hAnsi="Arial" w:cs="Arial"/>
          <w:lang w:val="en-GB"/>
        </w:rPr>
      </w:pPr>
      <w:r w:rsidRPr="00C52D14">
        <w:rPr>
          <w:rFonts w:ascii="Arial" w:hAnsi="Arial" w:cs="Arial"/>
          <w:lang w:val="en-GB"/>
        </w:rPr>
        <w:t xml:space="preserve">Editorials </w:t>
      </w:r>
    </w:p>
    <w:p w14:paraId="7D6D8332" w14:textId="77777777" w:rsidR="00C52D14" w:rsidRPr="00C52D14" w:rsidRDefault="00C52D14" w:rsidP="00C52D14">
      <w:pPr>
        <w:numPr>
          <w:ilvl w:val="0"/>
          <w:numId w:val="3"/>
        </w:numPr>
        <w:rPr>
          <w:rFonts w:ascii="Arial" w:hAnsi="Arial" w:cs="Arial"/>
          <w:lang w:val="en-GB"/>
        </w:rPr>
      </w:pPr>
      <w:r w:rsidRPr="00C52D14">
        <w:rPr>
          <w:rFonts w:ascii="Arial" w:hAnsi="Arial" w:cs="Arial"/>
          <w:lang w:val="en-GB"/>
        </w:rPr>
        <w:t xml:space="preserve">Non-UK studies </w:t>
      </w:r>
    </w:p>
    <w:p w14:paraId="6D4EFF69" w14:textId="77777777" w:rsidR="00C52D14" w:rsidRPr="00C52D14" w:rsidRDefault="00C52D14" w:rsidP="00C52D14">
      <w:pPr>
        <w:rPr>
          <w:rFonts w:ascii="Arial" w:hAnsi="Arial" w:cs="Arial"/>
          <w:lang w:val="en-GB"/>
        </w:rPr>
      </w:pPr>
      <w:r w:rsidRPr="00C52D14">
        <w:rPr>
          <w:rFonts w:ascii="Arial" w:hAnsi="Arial" w:cs="Arial"/>
          <w:lang w:val="en-GB"/>
        </w:rPr>
        <w:t xml:space="preserve">Data Analysis </w:t>
      </w:r>
    </w:p>
    <w:p w14:paraId="0AA95A41" w14:textId="77777777" w:rsidR="00C52D14" w:rsidRPr="00C52D14" w:rsidRDefault="00C52D14" w:rsidP="00C52D14">
      <w:pPr>
        <w:numPr>
          <w:ilvl w:val="0"/>
          <w:numId w:val="3"/>
        </w:numPr>
        <w:rPr>
          <w:rFonts w:ascii="Arial" w:hAnsi="Arial" w:cs="Arial"/>
          <w:lang w:val="en-GB"/>
        </w:rPr>
      </w:pPr>
      <w:r w:rsidRPr="00C52D14">
        <w:rPr>
          <w:rFonts w:ascii="Arial" w:hAnsi="Arial" w:cs="Arial"/>
          <w:lang w:val="en-GB"/>
        </w:rPr>
        <w:t>The selected studies were analysed using thematic analysis, a widely recognised qualitative method for identifying, analysing, and reporting patterns within data (Braun and Clarke, 2006). This approach was considered appropriate for the current scoping review as it allows for a systematic and flexible examination of a diverse range of research findings, enabling the identification of key themes across multiple studies.</w:t>
      </w:r>
    </w:p>
    <w:p w14:paraId="1DF833E0" w14:textId="77777777" w:rsidR="00C52D14" w:rsidRPr="00C52D14" w:rsidRDefault="00C52D14" w:rsidP="00C52D14">
      <w:pPr>
        <w:numPr>
          <w:ilvl w:val="0"/>
          <w:numId w:val="3"/>
        </w:numPr>
        <w:rPr>
          <w:rFonts w:ascii="Arial" w:hAnsi="Arial" w:cs="Arial"/>
          <w:lang w:val="en-GB"/>
        </w:rPr>
      </w:pPr>
      <w:r w:rsidRPr="00C52D14">
        <w:rPr>
          <w:rFonts w:ascii="Arial" w:hAnsi="Arial" w:cs="Arial"/>
          <w:lang w:val="en-GB"/>
        </w:rPr>
        <w:t>The process of thematic analysis followed several structured stages. Initially, the researcher engaged in familiarisation with the data by carefully reading and re-reading the selected studies to gain an in-depth understanding of their content. This stage was essential in identifying recurring concepts and patterns relevant to the research question.</w:t>
      </w:r>
    </w:p>
    <w:p w14:paraId="55EADE0F" w14:textId="77777777" w:rsidR="00C52D14" w:rsidRPr="00C52D14" w:rsidRDefault="00C52D14" w:rsidP="00C52D14">
      <w:pPr>
        <w:numPr>
          <w:ilvl w:val="0"/>
          <w:numId w:val="3"/>
        </w:numPr>
        <w:rPr>
          <w:rFonts w:ascii="Arial" w:hAnsi="Arial" w:cs="Arial"/>
          <w:lang w:val="en-GB"/>
        </w:rPr>
      </w:pPr>
      <w:r w:rsidRPr="00C52D14">
        <w:rPr>
          <w:rFonts w:ascii="Arial" w:hAnsi="Arial" w:cs="Arial"/>
          <w:lang w:val="en-GB"/>
        </w:rPr>
        <w:t>Following this, initial codes were generated, highlighting significant features of the data related to telehealth and healthcare access. These codes were then systematically organised and grouped into broader categories, allowing for the development of potential themes. This process ensured that the analysis remained grounded in the data while also enabling meaningful interpretation.</w:t>
      </w:r>
    </w:p>
    <w:p w14:paraId="2E55BC71" w14:textId="77777777" w:rsidR="00C52D14" w:rsidRPr="00C52D14" w:rsidRDefault="00C52D14" w:rsidP="00C52D14">
      <w:pPr>
        <w:numPr>
          <w:ilvl w:val="0"/>
          <w:numId w:val="3"/>
        </w:numPr>
        <w:rPr>
          <w:rFonts w:ascii="Arial" w:hAnsi="Arial" w:cs="Arial"/>
          <w:lang w:val="en-GB"/>
        </w:rPr>
      </w:pPr>
      <w:r w:rsidRPr="00C52D14">
        <w:rPr>
          <w:rFonts w:ascii="Arial" w:hAnsi="Arial" w:cs="Arial"/>
          <w:lang w:val="en-GB"/>
        </w:rPr>
        <w:t>Subsequently, the identified themes were reviewed and refined to ensure consistency, relevance, and coherence. This involved comparing findings across different studies to identify similarities, differences, and contradictions within the literature. By doing so, the analysis was able to capture both common trends and variations in how telehealth impacts healthcare access.</w:t>
      </w:r>
    </w:p>
    <w:p w14:paraId="2A2B1078" w14:textId="77777777" w:rsidR="00C52D14" w:rsidRPr="00C52D14" w:rsidRDefault="00C52D14" w:rsidP="00C52D14">
      <w:pPr>
        <w:numPr>
          <w:ilvl w:val="0"/>
          <w:numId w:val="3"/>
        </w:numPr>
        <w:rPr>
          <w:rFonts w:ascii="Arial" w:hAnsi="Arial" w:cs="Arial"/>
          <w:lang w:val="en-GB"/>
        </w:rPr>
      </w:pPr>
      <w:r w:rsidRPr="00C52D14">
        <w:rPr>
          <w:rFonts w:ascii="Arial" w:hAnsi="Arial" w:cs="Arial"/>
          <w:lang w:val="en-GB"/>
        </w:rPr>
        <w:t>The final stage involved defining and naming the themes, ensuring that each theme clearly represented a significant aspect of the data and contributed to answering the research question. The use of thematic analysis enabled the synthesis of findings from multiple studies into a structured and coherent framework, facilitating a deeper understanding of the topic.</w:t>
      </w:r>
    </w:p>
    <w:p w14:paraId="5123A821" w14:textId="77777777" w:rsidR="00C52D14" w:rsidRPr="00C52D14" w:rsidRDefault="00C52D14" w:rsidP="00C52D14">
      <w:pPr>
        <w:numPr>
          <w:ilvl w:val="0"/>
          <w:numId w:val="3"/>
        </w:numPr>
        <w:rPr>
          <w:rFonts w:ascii="Arial" w:hAnsi="Arial" w:cs="Arial"/>
          <w:lang w:val="en-GB"/>
        </w:rPr>
      </w:pPr>
      <w:r w:rsidRPr="00C52D14">
        <w:rPr>
          <w:rFonts w:ascii="Arial" w:hAnsi="Arial" w:cs="Arial"/>
          <w:lang w:val="en-GB"/>
        </w:rPr>
        <w:t>Importantly, this method also allowed for a degree of critical interpretation, rather than simply summarising the findings. By examining patterns across studies, the analysis was able to highlight gaps in the literature, inconsistencies in findings, and areas requiring further research.</w:t>
      </w:r>
    </w:p>
    <w:p w14:paraId="5FF5E057" w14:textId="77777777" w:rsidR="00C52D14" w:rsidRPr="00C52D14" w:rsidRDefault="00C52D14" w:rsidP="00C52D14">
      <w:pPr>
        <w:numPr>
          <w:ilvl w:val="0"/>
          <w:numId w:val="3"/>
        </w:numPr>
        <w:rPr>
          <w:rFonts w:ascii="Arial" w:hAnsi="Arial" w:cs="Arial"/>
          <w:lang w:val="en-GB"/>
        </w:rPr>
      </w:pPr>
      <w:r w:rsidRPr="00C52D14">
        <w:rPr>
          <w:rFonts w:ascii="Arial" w:hAnsi="Arial" w:cs="Arial"/>
          <w:lang w:val="en-GB"/>
        </w:rPr>
        <w:t>Overall, thematic analysis provided a rigorous and transparent approach to analysing the selected studies, ensuring that the findings were both systematic and meaningful in relation to the aims of the scoping review.</w:t>
      </w:r>
    </w:p>
    <w:p w14:paraId="76AC4816" w14:textId="77777777" w:rsidR="00C52D14" w:rsidRPr="00C52D14" w:rsidRDefault="00C52D14" w:rsidP="00C52D14">
      <w:pPr>
        <w:rPr>
          <w:rFonts w:ascii="Arial" w:hAnsi="Arial" w:cs="Arial"/>
          <w:lang w:val="en-GB"/>
        </w:rPr>
      </w:pPr>
      <w:r w:rsidRPr="00C52D14">
        <w:rPr>
          <w:rFonts w:ascii="Arial" w:hAnsi="Arial" w:cs="Arial"/>
          <w:lang w:val="en-GB"/>
        </w:rPr>
        <w:t>Ethical Considerations</w:t>
      </w:r>
    </w:p>
    <w:p w14:paraId="4A567611" w14:textId="77777777" w:rsidR="00C52D14" w:rsidRPr="00C52D14" w:rsidRDefault="00C52D14" w:rsidP="00C52D14">
      <w:pPr>
        <w:rPr>
          <w:rFonts w:ascii="Arial" w:hAnsi="Arial" w:cs="Arial"/>
          <w:lang w:val="en-GB"/>
        </w:rPr>
      </w:pPr>
      <w:r w:rsidRPr="00C52D14">
        <w:rPr>
          <w:rFonts w:ascii="Arial" w:hAnsi="Arial" w:cs="Arial"/>
          <w:lang w:val="en-GB"/>
        </w:rPr>
        <w:t>As this study is based on secondary data, ethical approval was not required. However, ethical considerations included ensuring accurate representation of findings, avoiding bias, and properly referencing all sources.</w:t>
      </w:r>
    </w:p>
    <w:p w14:paraId="71FC509A" w14:textId="77777777" w:rsidR="00C52D14" w:rsidRPr="00C52D14" w:rsidRDefault="00C52D14" w:rsidP="00C52D14">
      <w:pPr>
        <w:rPr>
          <w:rFonts w:ascii="Arial" w:hAnsi="Arial" w:cs="Arial"/>
          <w:lang w:val="en-GB"/>
        </w:rPr>
      </w:pPr>
    </w:p>
    <w:p w14:paraId="77AD0965" w14:textId="77777777" w:rsidR="00C52D14" w:rsidRPr="00C52D14" w:rsidRDefault="00C52D14" w:rsidP="00C52D14">
      <w:pPr>
        <w:rPr>
          <w:rFonts w:ascii="Arial" w:hAnsi="Arial" w:cs="Arial"/>
          <w:lang w:val="en-GB"/>
        </w:rPr>
      </w:pPr>
      <w:r w:rsidRPr="00C52D14">
        <w:rPr>
          <w:rFonts w:ascii="Arial" w:hAnsi="Arial" w:cs="Arial"/>
          <w:lang w:val="en-GB"/>
        </w:rPr>
        <w:t>4. RESULTS</w:t>
      </w:r>
    </w:p>
    <w:p w14:paraId="444E65CC" w14:textId="77777777" w:rsidR="00C52D14" w:rsidRPr="00C52D14" w:rsidRDefault="00C52D14" w:rsidP="00C52D14">
      <w:pPr>
        <w:rPr>
          <w:rFonts w:ascii="Arial" w:hAnsi="Arial" w:cs="Arial"/>
          <w:lang w:val="en-GB"/>
        </w:rPr>
      </w:pPr>
      <w:r w:rsidRPr="00C52D14">
        <w:rPr>
          <w:rFonts w:ascii="Arial" w:hAnsi="Arial" w:cs="Arial"/>
          <w:lang w:val="en-GB"/>
        </w:rPr>
        <w:t>Summary Table</w:t>
      </w:r>
    </w:p>
    <w:tbl>
      <w:tblPr>
        <w:tblW w:w="0" w:type="auto"/>
        <w:tblCellSpacing w:w="15" w:type="dxa"/>
        <w:tblLook w:val="04A0" w:firstRow="1" w:lastRow="0" w:firstColumn="1" w:lastColumn="0" w:noHBand="0" w:noVBand="1"/>
      </w:tblPr>
      <w:tblGrid>
        <w:gridCol w:w="1618"/>
        <w:gridCol w:w="550"/>
        <w:gridCol w:w="66"/>
        <w:gridCol w:w="66"/>
        <w:gridCol w:w="66"/>
        <w:gridCol w:w="66"/>
        <w:gridCol w:w="66"/>
        <w:gridCol w:w="66"/>
        <w:gridCol w:w="2119"/>
        <w:gridCol w:w="66"/>
        <w:gridCol w:w="66"/>
        <w:gridCol w:w="1540"/>
        <w:gridCol w:w="1565"/>
        <w:gridCol w:w="1440"/>
      </w:tblGrid>
      <w:tr w:rsidR="00C52D14" w:rsidRPr="00C52D14" w14:paraId="0ABE653C" w14:textId="77777777">
        <w:trPr>
          <w:tblHeader/>
          <w:tblCellSpacing w:w="15" w:type="dxa"/>
        </w:trPr>
        <w:tc>
          <w:tcPr>
            <w:tcW w:w="0" w:type="auto"/>
            <w:tcMar>
              <w:top w:w="15" w:type="dxa"/>
              <w:left w:w="15" w:type="dxa"/>
              <w:bottom w:w="15" w:type="dxa"/>
              <w:right w:w="15" w:type="dxa"/>
            </w:tcMar>
            <w:vAlign w:val="center"/>
            <w:hideMark/>
          </w:tcPr>
          <w:p w14:paraId="0EA41190" w14:textId="77777777" w:rsidR="00C52D14" w:rsidRPr="00C52D14" w:rsidRDefault="00C52D14" w:rsidP="00C52D14">
            <w:pPr>
              <w:rPr>
                <w:rFonts w:ascii="Arial" w:hAnsi="Arial" w:cs="Arial"/>
                <w:lang w:val="en-GB"/>
              </w:rPr>
            </w:pPr>
            <w:r w:rsidRPr="00C52D14">
              <w:rPr>
                <w:rFonts w:ascii="Arial" w:hAnsi="Arial" w:cs="Arial"/>
                <w:lang w:val="en-GB"/>
              </w:rPr>
              <w:t>Author(s)</w:t>
            </w:r>
          </w:p>
        </w:tc>
        <w:tc>
          <w:tcPr>
            <w:tcW w:w="0" w:type="auto"/>
            <w:tcMar>
              <w:top w:w="15" w:type="dxa"/>
              <w:left w:w="15" w:type="dxa"/>
              <w:bottom w:w="15" w:type="dxa"/>
              <w:right w:w="15" w:type="dxa"/>
            </w:tcMar>
            <w:vAlign w:val="center"/>
            <w:hideMark/>
          </w:tcPr>
          <w:p w14:paraId="47427B9B" w14:textId="77777777" w:rsidR="00C52D14" w:rsidRPr="00C52D14" w:rsidRDefault="00C52D14" w:rsidP="00C52D14">
            <w:pPr>
              <w:rPr>
                <w:rFonts w:ascii="Arial" w:hAnsi="Arial" w:cs="Arial"/>
                <w:lang w:val="en-GB"/>
              </w:rPr>
            </w:pPr>
            <w:r w:rsidRPr="00C52D14">
              <w:rPr>
                <w:rFonts w:ascii="Arial" w:hAnsi="Arial" w:cs="Arial"/>
                <w:lang w:val="en-GB"/>
              </w:rPr>
              <w:t>Year</w:t>
            </w:r>
          </w:p>
        </w:tc>
        <w:tc>
          <w:tcPr>
            <w:tcW w:w="0" w:type="auto"/>
            <w:tcMar>
              <w:top w:w="15" w:type="dxa"/>
              <w:left w:w="15" w:type="dxa"/>
              <w:bottom w:w="15" w:type="dxa"/>
              <w:right w:w="15" w:type="dxa"/>
            </w:tcMar>
          </w:tcPr>
          <w:p w14:paraId="5C8CCF49"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20F90587"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0C55D600"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53FF7C31"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0B4C3481"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0586DE08"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vAlign w:val="center"/>
            <w:hideMark/>
          </w:tcPr>
          <w:p w14:paraId="22008FFB" w14:textId="77777777" w:rsidR="00C52D14" w:rsidRPr="00C52D14" w:rsidRDefault="00C52D14" w:rsidP="00C52D14">
            <w:pPr>
              <w:rPr>
                <w:rFonts w:ascii="Arial" w:hAnsi="Arial" w:cs="Arial"/>
                <w:lang w:val="en-GB"/>
              </w:rPr>
            </w:pPr>
            <w:r w:rsidRPr="00C52D14">
              <w:rPr>
                <w:rFonts w:ascii="Arial" w:hAnsi="Arial" w:cs="Arial"/>
                <w:lang w:val="en-GB"/>
              </w:rPr>
              <w:t xml:space="preserve"> Objectives</w:t>
            </w:r>
          </w:p>
        </w:tc>
        <w:tc>
          <w:tcPr>
            <w:tcW w:w="0" w:type="auto"/>
            <w:tcMar>
              <w:top w:w="15" w:type="dxa"/>
              <w:left w:w="15" w:type="dxa"/>
              <w:bottom w:w="15" w:type="dxa"/>
              <w:right w:w="15" w:type="dxa"/>
            </w:tcMar>
          </w:tcPr>
          <w:p w14:paraId="0AA05712"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4438FA92"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vAlign w:val="center"/>
            <w:hideMark/>
          </w:tcPr>
          <w:p w14:paraId="58F1933F" w14:textId="77777777" w:rsidR="00C52D14" w:rsidRPr="00C52D14" w:rsidRDefault="00C52D14" w:rsidP="00C52D14">
            <w:pPr>
              <w:rPr>
                <w:rFonts w:ascii="Arial" w:hAnsi="Arial" w:cs="Arial"/>
                <w:lang w:val="en-GB"/>
              </w:rPr>
            </w:pPr>
            <w:r w:rsidRPr="00C52D14">
              <w:rPr>
                <w:rFonts w:ascii="Arial" w:hAnsi="Arial" w:cs="Arial"/>
                <w:lang w:val="en-GB"/>
              </w:rPr>
              <w:t>Methods</w:t>
            </w:r>
          </w:p>
        </w:tc>
        <w:tc>
          <w:tcPr>
            <w:tcW w:w="0" w:type="auto"/>
            <w:tcMar>
              <w:top w:w="15" w:type="dxa"/>
              <w:left w:w="15" w:type="dxa"/>
              <w:bottom w:w="15" w:type="dxa"/>
              <w:right w:w="15" w:type="dxa"/>
            </w:tcMar>
            <w:vAlign w:val="center"/>
            <w:hideMark/>
          </w:tcPr>
          <w:p w14:paraId="46AABA6B" w14:textId="77777777" w:rsidR="00C52D14" w:rsidRPr="00C52D14" w:rsidRDefault="00C52D14" w:rsidP="00C52D14">
            <w:pPr>
              <w:rPr>
                <w:rFonts w:ascii="Arial" w:hAnsi="Arial" w:cs="Arial"/>
                <w:lang w:val="en-GB"/>
              </w:rPr>
            </w:pPr>
            <w:r w:rsidRPr="00C52D14">
              <w:rPr>
                <w:rFonts w:ascii="Arial" w:hAnsi="Arial" w:cs="Arial"/>
                <w:lang w:val="en-GB"/>
              </w:rPr>
              <w:t>Key Findings</w:t>
            </w:r>
          </w:p>
        </w:tc>
        <w:tc>
          <w:tcPr>
            <w:tcW w:w="0" w:type="auto"/>
            <w:tcMar>
              <w:top w:w="15" w:type="dxa"/>
              <w:left w:w="15" w:type="dxa"/>
              <w:bottom w:w="15" w:type="dxa"/>
              <w:right w:w="15" w:type="dxa"/>
            </w:tcMar>
            <w:vAlign w:val="center"/>
            <w:hideMark/>
          </w:tcPr>
          <w:p w14:paraId="1EBE6F3E" w14:textId="77777777" w:rsidR="00C52D14" w:rsidRPr="00C52D14" w:rsidRDefault="00C52D14" w:rsidP="00C52D14">
            <w:pPr>
              <w:rPr>
                <w:rFonts w:ascii="Arial" w:hAnsi="Arial" w:cs="Arial"/>
                <w:lang w:val="en-GB"/>
              </w:rPr>
            </w:pPr>
            <w:r w:rsidRPr="00C52D14">
              <w:rPr>
                <w:rFonts w:ascii="Arial" w:hAnsi="Arial" w:cs="Arial"/>
                <w:lang w:val="en-GB"/>
              </w:rPr>
              <w:t>Relevance</w:t>
            </w:r>
          </w:p>
        </w:tc>
      </w:tr>
      <w:tr w:rsidR="00C52D14" w:rsidRPr="00C52D14" w14:paraId="7953EE17" w14:textId="77777777">
        <w:trPr>
          <w:tblCellSpacing w:w="15" w:type="dxa"/>
        </w:trPr>
        <w:tc>
          <w:tcPr>
            <w:tcW w:w="0" w:type="auto"/>
            <w:tcMar>
              <w:top w:w="15" w:type="dxa"/>
              <w:left w:w="15" w:type="dxa"/>
              <w:bottom w:w="15" w:type="dxa"/>
              <w:right w:w="15" w:type="dxa"/>
            </w:tcMar>
            <w:vAlign w:val="center"/>
            <w:hideMark/>
          </w:tcPr>
          <w:p w14:paraId="453E5BC1" w14:textId="77777777" w:rsidR="00C52D14" w:rsidRPr="00C52D14" w:rsidRDefault="00C52D14" w:rsidP="00C52D14">
            <w:pPr>
              <w:rPr>
                <w:rFonts w:ascii="Arial" w:hAnsi="Arial" w:cs="Arial"/>
                <w:lang w:val="en-GB"/>
              </w:rPr>
            </w:pPr>
            <w:r w:rsidRPr="00C52D14">
              <w:rPr>
                <w:rFonts w:ascii="Arial" w:hAnsi="Arial" w:cs="Arial"/>
                <w:lang w:val="en-GB"/>
              </w:rPr>
              <w:t>Murphy et al.</w:t>
            </w:r>
          </w:p>
        </w:tc>
        <w:tc>
          <w:tcPr>
            <w:tcW w:w="0" w:type="auto"/>
            <w:tcMar>
              <w:top w:w="15" w:type="dxa"/>
              <w:left w:w="15" w:type="dxa"/>
              <w:bottom w:w="15" w:type="dxa"/>
              <w:right w:w="15" w:type="dxa"/>
            </w:tcMar>
            <w:vAlign w:val="center"/>
            <w:hideMark/>
          </w:tcPr>
          <w:p w14:paraId="0452D45B" w14:textId="77777777" w:rsidR="00C52D14" w:rsidRPr="00C52D14" w:rsidRDefault="00C52D14" w:rsidP="00C52D14">
            <w:pPr>
              <w:rPr>
                <w:rFonts w:ascii="Arial" w:hAnsi="Arial" w:cs="Arial"/>
                <w:lang w:val="en-GB"/>
              </w:rPr>
            </w:pPr>
            <w:r w:rsidRPr="00C52D14">
              <w:rPr>
                <w:rFonts w:ascii="Arial" w:hAnsi="Arial" w:cs="Arial"/>
                <w:lang w:val="en-GB"/>
              </w:rPr>
              <w:t>2021</w:t>
            </w:r>
          </w:p>
        </w:tc>
        <w:tc>
          <w:tcPr>
            <w:tcW w:w="0" w:type="auto"/>
            <w:tcMar>
              <w:top w:w="15" w:type="dxa"/>
              <w:left w:w="15" w:type="dxa"/>
              <w:bottom w:w="15" w:type="dxa"/>
              <w:right w:w="15" w:type="dxa"/>
            </w:tcMar>
          </w:tcPr>
          <w:p w14:paraId="78A96758"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15EE9554"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7CE382D1"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3F1E7AD2"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0F5A9D8A"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225A630B"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vAlign w:val="center"/>
            <w:hideMark/>
          </w:tcPr>
          <w:p w14:paraId="00966169" w14:textId="77777777" w:rsidR="00C52D14" w:rsidRPr="00C52D14" w:rsidRDefault="00C52D14" w:rsidP="00C52D14">
            <w:pPr>
              <w:rPr>
                <w:rFonts w:ascii="Arial" w:hAnsi="Arial" w:cs="Arial"/>
                <w:lang w:val="en-GB"/>
              </w:rPr>
            </w:pPr>
            <w:r w:rsidRPr="00C52D14">
              <w:rPr>
                <w:rFonts w:ascii="Arial" w:hAnsi="Arial" w:cs="Arial"/>
                <w:lang w:val="en-GB"/>
              </w:rPr>
              <w:t xml:space="preserve">      Remote           consulting</w:t>
            </w:r>
          </w:p>
        </w:tc>
        <w:tc>
          <w:tcPr>
            <w:tcW w:w="0" w:type="auto"/>
            <w:tcMar>
              <w:top w:w="15" w:type="dxa"/>
              <w:left w:w="15" w:type="dxa"/>
              <w:bottom w:w="15" w:type="dxa"/>
              <w:right w:w="15" w:type="dxa"/>
            </w:tcMar>
          </w:tcPr>
          <w:p w14:paraId="2423A667"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06B38C2C"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vAlign w:val="center"/>
            <w:hideMark/>
          </w:tcPr>
          <w:p w14:paraId="31152F4B" w14:textId="77777777" w:rsidR="00C52D14" w:rsidRPr="00C52D14" w:rsidRDefault="00C52D14" w:rsidP="00C52D14">
            <w:pPr>
              <w:rPr>
                <w:rFonts w:ascii="Arial" w:hAnsi="Arial" w:cs="Arial"/>
                <w:lang w:val="en-GB"/>
              </w:rPr>
            </w:pPr>
            <w:r w:rsidRPr="00C52D14">
              <w:rPr>
                <w:rFonts w:ascii="Arial" w:hAnsi="Arial" w:cs="Arial"/>
                <w:lang w:val="en-GB"/>
              </w:rPr>
              <w:t>Qualitative</w:t>
            </w:r>
          </w:p>
        </w:tc>
        <w:tc>
          <w:tcPr>
            <w:tcW w:w="0" w:type="auto"/>
            <w:tcMar>
              <w:top w:w="15" w:type="dxa"/>
              <w:left w:w="15" w:type="dxa"/>
              <w:bottom w:w="15" w:type="dxa"/>
              <w:right w:w="15" w:type="dxa"/>
            </w:tcMar>
            <w:vAlign w:val="center"/>
            <w:hideMark/>
          </w:tcPr>
          <w:p w14:paraId="14C40E07" w14:textId="77777777" w:rsidR="00C52D14" w:rsidRPr="00C52D14" w:rsidRDefault="00C52D14" w:rsidP="00C52D14">
            <w:pPr>
              <w:rPr>
                <w:rFonts w:ascii="Arial" w:hAnsi="Arial" w:cs="Arial"/>
                <w:lang w:val="en-GB"/>
              </w:rPr>
            </w:pPr>
            <w:r w:rsidRPr="00C52D14">
              <w:rPr>
                <w:rFonts w:ascii="Arial" w:hAnsi="Arial" w:cs="Arial"/>
                <w:lang w:val="en-GB"/>
              </w:rPr>
              <w:t>Improved efficiency</w:t>
            </w:r>
          </w:p>
        </w:tc>
        <w:tc>
          <w:tcPr>
            <w:tcW w:w="0" w:type="auto"/>
            <w:tcMar>
              <w:top w:w="15" w:type="dxa"/>
              <w:left w:w="15" w:type="dxa"/>
              <w:bottom w:w="15" w:type="dxa"/>
              <w:right w:w="15" w:type="dxa"/>
            </w:tcMar>
            <w:vAlign w:val="center"/>
            <w:hideMark/>
          </w:tcPr>
          <w:p w14:paraId="405AE019" w14:textId="77777777" w:rsidR="00C52D14" w:rsidRPr="00C52D14" w:rsidRDefault="00C52D14" w:rsidP="00C52D14">
            <w:pPr>
              <w:rPr>
                <w:rFonts w:ascii="Arial" w:hAnsi="Arial" w:cs="Arial"/>
                <w:lang w:val="en-GB"/>
              </w:rPr>
            </w:pPr>
            <w:r w:rsidRPr="00C52D14">
              <w:rPr>
                <w:rFonts w:ascii="Arial" w:hAnsi="Arial" w:cs="Arial"/>
                <w:lang w:val="en-GB"/>
              </w:rPr>
              <w:t>Access improved</w:t>
            </w:r>
          </w:p>
        </w:tc>
      </w:tr>
      <w:tr w:rsidR="00C52D14" w:rsidRPr="00C52D14" w14:paraId="7A24E04D" w14:textId="77777777">
        <w:trPr>
          <w:tblCellSpacing w:w="15" w:type="dxa"/>
        </w:trPr>
        <w:tc>
          <w:tcPr>
            <w:tcW w:w="0" w:type="auto"/>
            <w:tcMar>
              <w:top w:w="15" w:type="dxa"/>
              <w:left w:w="15" w:type="dxa"/>
              <w:bottom w:w="15" w:type="dxa"/>
              <w:right w:w="15" w:type="dxa"/>
            </w:tcMar>
            <w:vAlign w:val="center"/>
            <w:hideMark/>
          </w:tcPr>
          <w:p w14:paraId="23E1EA22" w14:textId="77777777" w:rsidR="00C52D14" w:rsidRPr="00C52D14" w:rsidRDefault="00C52D14" w:rsidP="00C52D14">
            <w:pPr>
              <w:rPr>
                <w:rFonts w:ascii="Arial" w:hAnsi="Arial" w:cs="Arial"/>
                <w:lang w:val="en-GB"/>
              </w:rPr>
            </w:pPr>
            <w:r w:rsidRPr="00C52D14">
              <w:rPr>
                <w:rFonts w:ascii="Arial" w:hAnsi="Arial" w:cs="Arial"/>
                <w:lang w:val="en-GB"/>
              </w:rPr>
              <w:t>Greenhalgh et al.</w:t>
            </w:r>
          </w:p>
        </w:tc>
        <w:tc>
          <w:tcPr>
            <w:tcW w:w="0" w:type="auto"/>
            <w:tcMar>
              <w:top w:w="15" w:type="dxa"/>
              <w:left w:w="15" w:type="dxa"/>
              <w:bottom w:w="15" w:type="dxa"/>
              <w:right w:w="15" w:type="dxa"/>
            </w:tcMar>
            <w:vAlign w:val="center"/>
            <w:hideMark/>
          </w:tcPr>
          <w:p w14:paraId="2CDFE4E8" w14:textId="77777777" w:rsidR="00C52D14" w:rsidRPr="00C52D14" w:rsidRDefault="00C52D14" w:rsidP="00C52D14">
            <w:pPr>
              <w:rPr>
                <w:rFonts w:ascii="Arial" w:hAnsi="Arial" w:cs="Arial"/>
                <w:lang w:val="en-GB"/>
              </w:rPr>
            </w:pPr>
            <w:r w:rsidRPr="00C52D14">
              <w:rPr>
                <w:rFonts w:ascii="Arial" w:hAnsi="Arial" w:cs="Arial"/>
                <w:lang w:val="en-GB"/>
              </w:rPr>
              <w:t>2020</w:t>
            </w:r>
          </w:p>
        </w:tc>
        <w:tc>
          <w:tcPr>
            <w:tcW w:w="0" w:type="auto"/>
            <w:tcMar>
              <w:top w:w="15" w:type="dxa"/>
              <w:left w:w="15" w:type="dxa"/>
              <w:bottom w:w="15" w:type="dxa"/>
              <w:right w:w="15" w:type="dxa"/>
            </w:tcMar>
          </w:tcPr>
          <w:p w14:paraId="245D67DB"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2E6612A7"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1CE65F32"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4CDEC26D"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18D5B175"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59059185"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vAlign w:val="center"/>
            <w:hideMark/>
          </w:tcPr>
          <w:p w14:paraId="45AC881D" w14:textId="77777777" w:rsidR="00C52D14" w:rsidRPr="00C52D14" w:rsidRDefault="00C52D14" w:rsidP="00C52D14">
            <w:pPr>
              <w:rPr>
                <w:rFonts w:ascii="Arial" w:hAnsi="Arial" w:cs="Arial"/>
                <w:lang w:val="en-GB"/>
              </w:rPr>
            </w:pPr>
            <w:r w:rsidRPr="00C52D14">
              <w:rPr>
                <w:rFonts w:ascii="Arial" w:hAnsi="Arial" w:cs="Arial"/>
                <w:lang w:val="en-GB"/>
              </w:rPr>
              <w:t xml:space="preserve">       Video       consultations</w:t>
            </w:r>
          </w:p>
        </w:tc>
        <w:tc>
          <w:tcPr>
            <w:tcW w:w="0" w:type="auto"/>
            <w:tcMar>
              <w:top w:w="15" w:type="dxa"/>
              <w:left w:w="15" w:type="dxa"/>
              <w:bottom w:w="15" w:type="dxa"/>
              <w:right w:w="15" w:type="dxa"/>
            </w:tcMar>
          </w:tcPr>
          <w:p w14:paraId="06EE907D"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0929B79F"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vAlign w:val="center"/>
            <w:hideMark/>
          </w:tcPr>
          <w:p w14:paraId="207608AF" w14:textId="77777777" w:rsidR="00C52D14" w:rsidRPr="00C52D14" w:rsidRDefault="00C52D14" w:rsidP="00C52D14">
            <w:pPr>
              <w:rPr>
                <w:rFonts w:ascii="Arial" w:hAnsi="Arial" w:cs="Arial"/>
                <w:lang w:val="en-GB"/>
              </w:rPr>
            </w:pPr>
            <w:r w:rsidRPr="00C52D14">
              <w:rPr>
                <w:rFonts w:ascii="Arial" w:hAnsi="Arial" w:cs="Arial"/>
                <w:lang w:val="en-GB"/>
              </w:rPr>
              <w:t>Mixed</w:t>
            </w:r>
          </w:p>
        </w:tc>
        <w:tc>
          <w:tcPr>
            <w:tcW w:w="0" w:type="auto"/>
            <w:tcMar>
              <w:top w:w="15" w:type="dxa"/>
              <w:left w:w="15" w:type="dxa"/>
              <w:bottom w:w="15" w:type="dxa"/>
              <w:right w:w="15" w:type="dxa"/>
            </w:tcMar>
            <w:vAlign w:val="center"/>
            <w:hideMark/>
          </w:tcPr>
          <w:p w14:paraId="6B37E4B5" w14:textId="77777777" w:rsidR="00C52D14" w:rsidRPr="00C52D14" w:rsidRDefault="00C52D14" w:rsidP="00C52D14">
            <w:pPr>
              <w:rPr>
                <w:rFonts w:ascii="Arial" w:hAnsi="Arial" w:cs="Arial"/>
                <w:lang w:val="en-GB"/>
              </w:rPr>
            </w:pPr>
            <w:r w:rsidRPr="00C52D14">
              <w:rPr>
                <w:rFonts w:ascii="Arial" w:hAnsi="Arial" w:cs="Arial"/>
                <w:lang w:val="en-GB"/>
              </w:rPr>
              <w:t>Digital exclusion</w:t>
            </w:r>
          </w:p>
        </w:tc>
        <w:tc>
          <w:tcPr>
            <w:tcW w:w="0" w:type="auto"/>
            <w:tcMar>
              <w:top w:w="15" w:type="dxa"/>
              <w:left w:w="15" w:type="dxa"/>
              <w:bottom w:w="15" w:type="dxa"/>
              <w:right w:w="15" w:type="dxa"/>
            </w:tcMar>
            <w:vAlign w:val="center"/>
            <w:hideMark/>
          </w:tcPr>
          <w:p w14:paraId="5A4DEA5D" w14:textId="77777777" w:rsidR="00C52D14" w:rsidRPr="00C52D14" w:rsidRDefault="00C52D14" w:rsidP="00C52D14">
            <w:pPr>
              <w:rPr>
                <w:rFonts w:ascii="Arial" w:hAnsi="Arial" w:cs="Arial"/>
                <w:lang w:val="en-GB"/>
              </w:rPr>
            </w:pPr>
            <w:r w:rsidRPr="00C52D14">
              <w:rPr>
                <w:rFonts w:ascii="Arial" w:hAnsi="Arial" w:cs="Arial"/>
                <w:lang w:val="en-GB"/>
              </w:rPr>
              <w:t>Inequality</w:t>
            </w:r>
          </w:p>
        </w:tc>
      </w:tr>
      <w:tr w:rsidR="00C52D14" w:rsidRPr="00C52D14" w14:paraId="20F6E10F" w14:textId="77777777">
        <w:trPr>
          <w:tblCellSpacing w:w="15" w:type="dxa"/>
        </w:trPr>
        <w:tc>
          <w:tcPr>
            <w:tcW w:w="0" w:type="auto"/>
            <w:tcMar>
              <w:top w:w="15" w:type="dxa"/>
              <w:left w:w="15" w:type="dxa"/>
              <w:bottom w:w="15" w:type="dxa"/>
              <w:right w:w="15" w:type="dxa"/>
            </w:tcMar>
            <w:vAlign w:val="center"/>
            <w:hideMark/>
          </w:tcPr>
          <w:p w14:paraId="73BDE71A" w14:textId="77777777" w:rsidR="00C52D14" w:rsidRPr="00C52D14" w:rsidRDefault="00C52D14" w:rsidP="00C52D14">
            <w:pPr>
              <w:rPr>
                <w:rFonts w:ascii="Arial" w:hAnsi="Arial" w:cs="Arial"/>
                <w:lang w:val="en-GB"/>
              </w:rPr>
            </w:pPr>
            <w:r w:rsidRPr="00C52D14">
              <w:rPr>
                <w:rFonts w:ascii="Arial" w:hAnsi="Arial" w:cs="Arial"/>
                <w:lang w:val="en-GB"/>
              </w:rPr>
              <w:t>Shaw et al.</w:t>
            </w:r>
          </w:p>
        </w:tc>
        <w:tc>
          <w:tcPr>
            <w:tcW w:w="0" w:type="auto"/>
            <w:tcMar>
              <w:top w:w="15" w:type="dxa"/>
              <w:left w:w="15" w:type="dxa"/>
              <w:bottom w:w="15" w:type="dxa"/>
              <w:right w:w="15" w:type="dxa"/>
            </w:tcMar>
            <w:vAlign w:val="center"/>
            <w:hideMark/>
          </w:tcPr>
          <w:p w14:paraId="5757B778" w14:textId="77777777" w:rsidR="00C52D14" w:rsidRPr="00C52D14" w:rsidRDefault="00C52D14" w:rsidP="00C52D14">
            <w:pPr>
              <w:rPr>
                <w:rFonts w:ascii="Arial" w:hAnsi="Arial" w:cs="Arial"/>
                <w:lang w:val="en-GB"/>
              </w:rPr>
            </w:pPr>
            <w:r w:rsidRPr="00C52D14">
              <w:rPr>
                <w:rFonts w:ascii="Arial" w:hAnsi="Arial" w:cs="Arial"/>
                <w:lang w:val="en-GB"/>
              </w:rPr>
              <w:t>2021</w:t>
            </w:r>
          </w:p>
        </w:tc>
        <w:tc>
          <w:tcPr>
            <w:tcW w:w="0" w:type="auto"/>
            <w:tcMar>
              <w:top w:w="15" w:type="dxa"/>
              <w:left w:w="15" w:type="dxa"/>
              <w:bottom w:w="15" w:type="dxa"/>
              <w:right w:w="15" w:type="dxa"/>
            </w:tcMar>
          </w:tcPr>
          <w:p w14:paraId="5B266D81"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6C43D1D1"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00D5249C"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0BEA1485"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2E21ED5D"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669BCCDB"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vAlign w:val="center"/>
            <w:hideMark/>
          </w:tcPr>
          <w:p w14:paraId="020EDB5F" w14:textId="77777777" w:rsidR="00C52D14" w:rsidRPr="00C52D14" w:rsidRDefault="00C52D14" w:rsidP="00C52D14">
            <w:pPr>
              <w:rPr>
                <w:rFonts w:ascii="Arial" w:hAnsi="Arial" w:cs="Arial"/>
                <w:lang w:val="en-GB"/>
              </w:rPr>
            </w:pPr>
            <w:r w:rsidRPr="00C52D14">
              <w:rPr>
                <w:rFonts w:ascii="Arial" w:hAnsi="Arial" w:cs="Arial"/>
                <w:lang w:val="en-GB"/>
              </w:rPr>
              <w:t xml:space="preserve">  Telehealth usage</w:t>
            </w:r>
          </w:p>
        </w:tc>
        <w:tc>
          <w:tcPr>
            <w:tcW w:w="0" w:type="auto"/>
            <w:tcMar>
              <w:top w:w="15" w:type="dxa"/>
              <w:left w:w="15" w:type="dxa"/>
              <w:bottom w:w="15" w:type="dxa"/>
              <w:right w:w="15" w:type="dxa"/>
            </w:tcMar>
          </w:tcPr>
          <w:p w14:paraId="0F02733A"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6C0B35E3"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vAlign w:val="center"/>
            <w:hideMark/>
          </w:tcPr>
          <w:p w14:paraId="051F30B1" w14:textId="77777777" w:rsidR="00C52D14" w:rsidRPr="00C52D14" w:rsidRDefault="00C52D14" w:rsidP="00C52D14">
            <w:pPr>
              <w:rPr>
                <w:rFonts w:ascii="Arial" w:hAnsi="Arial" w:cs="Arial"/>
                <w:lang w:val="en-GB"/>
              </w:rPr>
            </w:pPr>
            <w:r w:rsidRPr="00C52D14">
              <w:rPr>
                <w:rFonts w:ascii="Arial" w:hAnsi="Arial" w:cs="Arial"/>
                <w:lang w:val="en-GB"/>
              </w:rPr>
              <w:t>Quantitative</w:t>
            </w:r>
          </w:p>
        </w:tc>
        <w:tc>
          <w:tcPr>
            <w:tcW w:w="0" w:type="auto"/>
            <w:tcMar>
              <w:top w:w="15" w:type="dxa"/>
              <w:left w:w="15" w:type="dxa"/>
              <w:bottom w:w="15" w:type="dxa"/>
              <w:right w:w="15" w:type="dxa"/>
            </w:tcMar>
            <w:vAlign w:val="center"/>
            <w:hideMark/>
          </w:tcPr>
          <w:p w14:paraId="189BA715" w14:textId="77777777" w:rsidR="00C52D14" w:rsidRPr="00C52D14" w:rsidRDefault="00C52D14" w:rsidP="00C52D14">
            <w:pPr>
              <w:rPr>
                <w:rFonts w:ascii="Arial" w:hAnsi="Arial" w:cs="Arial"/>
                <w:lang w:val="en-GB"/>
              </w:rPr>
            </w:pPr>
            <w:r w:rsidRPr="00C52D14">
              <w:rPr>
                <w:rFonts w:ascii="Arial" w:hAnsi="Arial" w:cs="Arial"/>
                <w:lang w:val="en-GB"/>
              </w:rPr>
              <w:t>Increased adoption</w:t>
            </w:r>
          </w:p>
        </w:tc>
        <w:tc>
          <w:tcPr>
            <w:tcW w:w="0" w:type="auto"/>
            <w:tcMar>
              <w:top w:w="15" w:type="dxa"/>
              <w:left w:w="15" w:type="dxa"/>
              <w:bottom w:w="15" w:type="dxa"/>
              <w:right w:w="15" w:type="dxa"/>
            </w:tcMar>
            <w:vAlign w:val="center"/>
            <w:hideMark/>
          </w:tcPr>
          <w:p w14:paraId="26658D9F" w14:textId="77777777" w:rsidR="00C52D14" w:rsidRPr="00C52D14" w:rsidRDefault="00C52D14" w:rsidP="00C52D14">
            <w:pPr>
              <w:rPr>
                <w:rFonts w:ascii="Arial" w:hAnsi="Arial" w:cs="Arial"/>
                <w:lang w:val="en-GB"/>
              </w:rPr>
            </w:pPr>
            <w:r w:rsidRPr="00C52D14">
              <w:rPr>
                <w:rFonts w:ascii="Arial" w:hAnsi="Arial" w:cs="Arial"/>
                <w:lang w:val="en-GB"/>
              </w:rPr>
              <w:t>Supports access</w:t>
            </w:r>
          </w:p>
        </w:tc>
      </w:tr>
      <w:tr w:rsidR="00C52D14" w:rsidRPr="00C52D14" w14:paraId="16E6326A" w14:textId="77777777">
        <w:trPr>
          <w:tblCellSpacing w:w="15" w:type="dxa"/>
        </w:trPr>
        <w:tc>
          <w:tcPr>
            <w:tcW w:w="0" w:type="auto"/>
            <w:tcMar>
              <w:top w:w="15" w:type="dxa"/>
              <w:left w:w="15" w:type="dxa"/>
              <w:bottom w:w="15" w:type="dxa"/>
              <w:right w:w="15" w:type="dxa"/>
            </w:tcMar>
            <w:vAlign w:val="center"/>
            <w:hideMark/>
          </w:tcPr>
          <w:p w14:paraId="3A24BD30" w14:textId="77777777" w:rsidR="00C52D14" w:rsidRPr="00C52D14" w:rsidRDefault="00C52D14" w:rsidP="00C52D14">
            <w:pPr>
              <w:rPr>
                <w:rFonts w:ascii="Arial" w:hAnsi="Arial" w:cs="Arial"/>
                <w:lang w:val="en-GB"/>
              </w:rPr>
            </w:pPr>
            <w:r w:rsidRPr="00C52D14">
              <w:rPr>
                <w:rFonts w:ascii="Arial" w:hAnsi="Arial" w:cs="Arial"/>
                <w:lang w:val="en-GB"/>
              </w:rPr>
              <w:t>Roberts &amp; Mehrotra</w:t>
            </w:r>
          </w:p>
        </w:tc>
        <w:tc>
          <w:tcPr>
            <w:tcW w:w="0" w:type="auto"/>
            <w:tcMar>
              <w:top w:w="15" w:type="dxa"/>
              <w:left w:w="15" w:type="dxa"/>
              <w:bottom w:w="15" w:type="dxa"/>
              <w:right w:w="15" w:type="dxa"/>
            </w:tcMar>
            <w:vAlign w:val="center"/>
            <w:hideMark/>
          </w:tcPr>
          <w:p w14:paraId="2E7AB1E1" w14:textId="77777777" w:rsidR="00C52D14" w:rsidRPr="00C52D14" w:rsidRDefault="00C52D14" w:rsidP="00C52D14">
            <w:pPr>
              <w:rPr>
                <w:rFonts w:ascii="Arial" w:hAnsi="Arial" w:cs="Arial"/>
                <w:lang w:val="en-GB"/>
              </w:rPr>
            </w:pPr>
            <w:r w:rsidRPr="00C52D14">
              <w:rPr>
                <w:rFonts w:ascii="Arial" w:hAnsi="Arial" w:cs="Arial"/>
                <w:lang w:val="en-GB"/>
              </w:rPr>
              <w:t>2020</w:t>
            </w:r>
          </w:p>
        </w:tc>
        <w:tc>
          <w:tcPr>
            <w:tcW w:w="0" w:type="auto"/>
            <w:tcMar>
              <w:top w:w="15" w:type="dxa"/>
              <w:left w:w="15" w:type="dxa"/>
              <w:bottom w:w="15" w:type="dxa"/>
              <w:right w:w="15" w:type="dxa"/>
            </w:tcMar>
          </w:tcPr>
          <w:p w14:paraId="3406DD9B"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0670471F"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1C653280"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714F21DA"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03D2A1BC"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42934E63"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vAlign w:val="center"/>
            <w:hideMark/>
          </w:tcPr>
          <w:p w14:paraId="2833026F" w14:textId="77777777" w:rsidR="00C52D14" w:rsidRPr="00C52D14" w:rsidRDefault="00C52D14" w:rsidP="00C52D14">
            <w:pPr>
              <w:rPr>
                <w:rFonts w:ascii="Arial" w:hAnsi="Arial" w:cs="Arial"/>
                <w:lang w:val="en-GB"/>
              </w:rPr>
            </w:pPr>
            <w:r w:rsidRPr="00C52D14">
              <w:rPr>
                <w:rFonts w:ascii="Arial" w:hAnsi="Arial" w:cs="Arial"/>
                <w:lang w:val="en-GB"/>
              </w:rPr>
              <w:t xml:space="preserve">   Digital divide</w:t>
            </w:r>
          </w:p>
        </w:tc>
        <w:tc>
          <w:tcPr>
            <w:tcW w:w="0" w:type="auto"/>
            <w:tcMar>
              <w:top w:w="15" w:type="dxa"/>
              <w:left w:w="15" w:type="dxa"/>
              <w:bottom w:w="15" w:type="dxa"/>
              <w:right w:w="15" w:type="dxa"/>
            </w:tcMar>
          </w:tcPr>
          <w:p w14:paraId="47F12754"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097E948A"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vAlign w:val="center"/>
            <w:hideMark/>
          </w:tcPr>
          <w:p w14:paraId="58152F7F" w14:textId="77777777" w:rsidR="00C52D14" w:rsidRPr="00C52D14" w:rsidRDefault="00C52D14" w:rsidP="00C52D14">
            <w:pPr>
              <w:rPr>
                <w:rFonts w:ascii="Arial" w:hAnsi="Arial" w:cs="Arial"/>
                <w:lang w:val="en-GB"/>
              </w:rPr>
            </w:pPr>
            <w:r w:rsidRPr="00C52D14">
              <w:rPr>
                <w:rFonts w:ascii="Arial" w:hAnsi="Arial" w:cs="Arial"/>
                <w:lang w:val="en-GB"/>
              </w:rPr>
              <w:t>Review</w:t>
            </w:r>
          </w:p>
        </w:tc>
        <w:tc>
          <w:tcPr>
            <w:tcW w:w="0" w:type="auto"/>
            <w:tcMar>
              <w:top w:w="15" w:type="dxa"/>
              <w:left w:w="15" w:type="dxa"/>
              <w:bottom w:w="15" w:type="dxa"/>
              <w:right w:w="15" w:type="dxa"/>
            </w:tcMar>
            <w:vAlign w:val="center"/>
            <w:hideMark/>
          </w:tcPr>
          <w:p w14:paraId="3FCC1246" w14:textId="77777777" w:rsidR="00C52D14" w:rsidRPr="00C52D14" w:rsidRDefault="00C52D14" w:rsidP="00C52D14">
            <w:pPr>
              <w:rPr>
                <w:rFonts w:ascii="Arial" w:hAnsi="Arial" w:cs="Arial"/>
                <w:lang w:val="en-GB"/>
              </w:rPr>
            </w:pPr>
            <w:r w:rsidRPr="00C52D14">
              <w:rPr>
                <w:rFonts w:ascii="Arial" w:hAnsi="Arial" w:cs="Arial"/>
                <w:lang w:val="en-GB"/>
              </w:rPr>
              <w:t>Inequality</w:t>
            </w:r>
          </w:p>
        </w:tc>
        <w:tc>
          <w:tcPr>
            <w:tcW w:w="0" w:type="auto"/>
            <w:tcMar>
              <w:top w:w="15" w:type="dxa"/>
              <w:left w:w="15" w:type="dxa"/>
              <w:bottom w:w="15" w:type="dxa"/>
              <w:right w:w="15" w:type="dxa"/>
            </w:tcMar>
            <w:vAlign w:val="center"/>
            <w:hideMark/>
          </w:tcPr>
          <w:p w14:paraId="12E5D9EE" w14:textId="77777777" w:rsidR="00C52D14" w:rsidRPr="00C52D14" w:rsidRDefault="00C52D14" w:rsidP="00C52D14">
            <w:pPr>
              <w:rPr>
                <w:rFonts w:ascii="Arial" w:hAnsi="Arial" w:cs="Arial"/>
                <w:lang w:val="en-GB"/>
              </w:rPr>
            </w:pPr>
            <w:r w:rsidRPr="00C52D14">
              <w:rPr>
                <w:rFonts w:ascii="Arial" w:hAnsi="Arial" w:cs="Arial"/>
                <w:lang w:val="en-GB"/>
              </w:rPr>
              <w:t>Access barrier</w:t>
            </w:r>
          </w:p>
        </w:tc>
      </w:tr>
      <w:tr w:rsidR="00C52D14" w:rsidRPr="00C52D14" w14:paraId="74D6F5DF" w14:textId="77777777">
        <w:trPr>
          <w:tblCellSpacing w:w="15" w:type="dxa"/>
        </w:trPr>
        <w:tc>
          <w:tcPr>
            <w:tcW w:w="0" w:type="auto"/>
            <w:tcMar>
              <w:top w:w="15" w:type="dxa"/>
              <w:left w:w="15" w:type="dxa"/>
              <w:bottom w:w="15" w:type="dxa"/>
              <w:right w:w="15" w:type="dxa"/>
            </w:tcMar>
            <w:vAlign w:val="center"/>
            <w:hideMark/>
          </w:tcPr>
          <w:p w14:paraId="1828D3C4" w14:textId="77777777" w:rsidR="00C52D14" w:rsidRPr="00C52D14" w:rsidRDefault="00C52D14" w:rsidP="00C52D14">
            <w:pPr>
              <w:rPr>
                <w:rFonts w:ascii="Arial" w:hAnsi="Arial" w:cs="Arial"/>
                <w:lang w:val="en-GB"/>
              </w:rPr>
            </w:pPr>
            <w:r w:rsidRPr="00C52D14">
              <w:rPr>
                <w:rFonts w:ascii="Arial" w:hAnsi="Arial" w:cs="Arial"/>
                <w:lang w:val="en-GB"/>
              </w:rPr>
              <w:t>Kruse et al.</w:t>
            </w:r>
          </w:p>
        </w:tc>
        <w:tc>
          <w:tcPr>
            <w:tcW w:w="0" w:type="auto"/>
            <w:tcMar>
              <w:top w:w="15" w:type="dxa"/>
              <w:left w:w="15" w:type="dxa"/>
              <w:bottom w:w="15" w:type="dxa"/>
              <w:right w:w="15" w:type="dxa"/>
            </w:tcMar>
            <w:vAlign w:val="center"/>
            <w:hideMark/>
          </w:tcPr>
          <w:p w14:paraId="7150D613" w14:textId="77777777" w:rsidR="00C52D14" w:rsidRPr="00C52D14" w:rsidRDefault="00C52D14" w:rsidP="00C52D14">
            <w:pPr>
              <w:rPr>
                <w:rFonts w:ascii="Arial" w:hAnsi="Arial" w:cs="Arial"/>
                <w:lang w:val="en-GB"/>
              </w:rPr>
            </w:pPr>
            <w:r w:rsidRPr="00C52D14">
              <w:rPr>
                <w:rFonts w:ascii="Arial" w:hAnsi="Arial" w:cs="Arial"/>
                <w:lang w:val="en-GB"/>
              </w:rPr>
              <w:t>2017</w:t>
            </w:r>
          </w:p>
        </w:tc>
        <w:tc>
          <w:tcPr>
            <w:tcW w:w="0" w:type="auto"/>
            <w:tcMar>
              <w:top w:w="15" w:type="dxa"/>
              <w:left w:w="15" w:type="dxa"/>
              <w:bottom w:w="15" w:type="dxa"/>
              <w:right w:w="15" w:type="dxa"/>
            </w:tcMar>
          </w:tcPr>
          <w:p w14:paraId="453188DE"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185C9121"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323868B8"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39162A7E"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226900D6"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3151DC26"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vAlign w:val="center"/>
            <w:hideMark/>
          </w:tcPr>
          <w:p w14:paraId="2C775F72" w14:textId="77777777" w:rsidR="00C52D14" w:rsidRPr="00C52D14" w:rsidRDefault="00C52D14" w:rsidP="00C52D14">
            <w:pPr>
              <w:rPr>
                <w:rFonts w:ascii="Arial" w:hAnsi="Arial" w:cs="Arial"/>
                <w:lang w:val="en-GB"/>
              </w:rPr>
            </w:pPr>
            <w:r w:rsidRPr="00C52D14">
              <w:rPr>
                <w:rFonts w:ascii="Arial" w:hAnsi="Arial" w:cs="Arial"/>
                <w:lang w:val="en-GB"/>
              </w:rPr>
              <w:t xml:space="preserve">   Satisfaction</w:t>
            </w:r>
          </w:p>
        </w:tc>
        <w:tc>
          <w:tcPr>
            <w:tcW w:w="0" w:type="auto"/>
            <w:tcMar>
              <w:top w:w="15" w:type="dxa"/>
              <w:left w:w="15" w:type="dxa"/>
              <w:bottom w:w="15" w:type="dxa"/>
              <w:right w:w="15" w:type="dxa"/>
            </w:tcMar>
          </w:tcPr>
          <w:p w14:paraId="7A955062"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tcPr>
          <w:p w14:paraId="4D39B3BD" w14:textId="77777777" w:rsidR="00C52D14" w:rsidRPr="00C52D14" w:rsidRDefault="00C52D14" w:rsidP="00C52D14">
            <w:pPr>
              <w:rPr>
                <w:rFonts w:ascii="Arial" w:hAnsi="Arial" w:cs="Arial"/>
                <w:lang w:val="en-GB"/>
              </w:rPr>
            </w:pPr>
          </w:p>
        </w:tc>
        <w:tc>
          <w:tcPr>
            <w:tcW w:w="0" w:type="auto"/>
            <w:tcMar>
              <w:top w:w="15" w:type="dxa"/>
              <w:left w:w="15" w:type="dxa"/>
              <w:bottom w:w="15" w:type="dxa"/>
              <w:right w:w="15" w:type="dxa"/>
            </w:tcMar>
            <w:vAlign w:val="center"/>
            <w:hideMark/>
          </w:tcPr>
          <w:p w14:paraId="39B1487B" w14:textId="77777777" w:rsidR="00C52D14" w:rsidRPr="00C52D14" w:rsidRDefault="00C52D14" w:rsidP="00C52D14">
            <w:pPr>
              <w:rPr>
                <w:rFonts w:ascii="Arial" w:hAnsi="Arial" w:cs="Arial"/>
                <w:lang w:val="en-GB"/>
              </w:rPr>
            </w:pPr>
            <w:r w:rsidRPr="00C52D14">
              <w:rPr>
                <w:rFonts w:ascii="Arial" w:hAnsi="Arial" w:cs="Arial"/>
                <w:lang w:val="en-GB"/>
              </w:rPr>
              <w:t>Systematic review</w:t>
            </w:r>
          </w:p>
        </w:tc>
        <w:tc>
          <w:tcPr>
            <w:tcW w:w="0" w:type="auto"/>
            <w:tcMar>
              <w:top w:w="15" w:type="dxa"/>
              <w:left w:w="15" w:type="dxa"/>
              <w:bottom w:w="15" w:type="dxa"/>
              <w:right w:w="15" w:type="dxa"/>
            </w:tcMar>
            <w:vAlign w:val="center"/>
            <w:hideMark/>
          </w:tcPr>
          <w:p w14:paraId="613662F5" w14:textId="77777777" w:rsidR="00C52D14" w:rsidRPr="00C52D14" w:rsidRDefault="00C52D14" w:rsidP="00C52D14">
            <w:pPr>
              <w:rPr>
                <w:rFonts w:ascii="Arial" w:hAnsi="Arial" w:cs="Arial"/>
                <w:lang w:val="en-GB"/>
              </w:rPr>
            </w:pPr>
            <w:r w:rsidRPr="00C52D14">
              <w:rPr>
                <w:rFonts w:ascii="Arial" w:hAnsi="Arial" w:cs="Arial"/>
                <w:lang w:val="en-GB"/>
              </w:rPr>
              <w:t>High satisfaction</w:t>
            </w:r>
          </w:p>
        </w:tc>
        <w:tc>
          <w:tcPr>
            <w:tcW w:w="0" w:type="auto"/>
            <w:tcMar>
              <w:top w:w="15" w:type="dxa"/>
              <w:left w:w="15" w:type="dxa"/>
              <w:bottom w:w="15" w:type="dxa"/>
              <w:right w:w="15" w:type="dxa"/>
            </w:tcMar>
            <w:vAlign w:val="center"/>
            <w:hideMark/>
          </w:tcPr>
          <w:p w14:paraId="7E7F4DC2" w14:textId="77777777" w:rsidR="00C52D14" w:rsidRPr="00C52D14" w:rsidRDefault="00C52D14" w:rsidP="00C52D14">
            <w:pPr>
              <w:rPr>
                <w:rFonts w:ascii="Arial" w:hAnsi="Arial" w:cs="Arial"/>
                <w:lang w:val="en-GB"/>
              </w:rPr>
            </w:pPr>
            <w:r w:rsidRPr="00C52D14">
              <w:rPr>
                <w:rFonts w:ascii="Arial" w:hAnsi="Arial" w:cs="Arial"/>
                <w:lang w:val="en-GB"/>
              </w:rPr>
              <w:t>Positive</w:t>
            </w:r>
          </w:p>
        </w:tc>
      </w:tr>
    </w:tbl>
    <w:p w14:paraId="4EB76073" w14:textId="77777777" w:rsidR="00C52D14" w:rsidRDefault="00C52D14" w:rsidP="00C52D14">
      <w:pPr>
        <w:rPr>
          <w:rFonts w:ascii="Arial" w:hAnsi="Arial" w:cs="Arial"/>
          <w:lang w:val="en-GB"/>
        </w:rPr>
      </w:pPr>
    </w:p>
    <w:p w14:paraId="0E83B8C0" w14:textId="77CEAC5D" w:rsidR="00C52D14" w:rsidRPr="00C52D14" w:rsidRDefault="00C52D14" w:rsidP="00C52D14">
      <w:pPr>
        <w:rPr>
          <w:rFonts w:ascii="Arial" w:hAnsi="Arial" w:cs="Arial"/>
          <w:lang w:val="en-GB"/>
        </w:rPr>
      </w:pPr>
      <w:r w:rsidRPr="00C52D14">
        <w:rPr>
          <w:rFonts w:ascii="Arial" w:hAnsi="Arial" w:cs="Arial"/>
          <w:lang w:val="en-GB"/>
        </w:rPr>
        <w:t>Thematic Analysis</w:t>
      </w:r>
    </w:p>
    <w:p w14:paraId="6E535784" w14:textId="77777777" w:rsidR="00C52D14" w:rsidRPr="00C52D14" w:rsidRDefault="00C52D14" w:rsidP="00C52D14">
      <w:pPr>
        <w:rPr>
          <w:rFonts w:ascii="Arial" w:hAnsi="Arial" w:cs="Arial"/>
          <w:lang w:val="en-GB"/>
        </w:rPr>
      </w:pPr>
      <w:r w:rsidRPr="00C52D14">
        <w:rPr>
          <w:rFonts w:ascii="Arial" w:hAnsi="Arial" w:cs="Arial"/>
          <w:lang w:val="en-GB"/>
        </w:rPr>
        <w:t>1. Improved Access and Convenience (Expanded)</w:t>
      </w:r>
    </w:p>
    <w:p w14:paraId="0E5164E2" w14:textId="77777777" w:rsidR="00C52D14" w:rsidRPr="00C52D14" w:rsidRDefault="00C52D14" w:rsidP="00C52D14">
      <w:pPr>
        <w:rPr>
          <w:rFonts w:ascii="Arial" w:hAnsi="Arial" w:cs="Arial"/>
          <w:lang w:val="en-GB"/>
        </w:rPr>
      </w:pPr>
      <w:r w:rsidRPr="00C52D14">
        <w:rPr>
          <w:rFonts w:ascii="Arial" w:hAnsi="Arial" w:cs="Arial"/>
          <w:lang w:val="en-GB"/>
        </w:rPr>
        <w:t xml:space="preserve">The findings indicate that telehealth significantly improves access to healthcare services by reducing travel requirements and enabling faster consultations. Patients </w:t>
      </w:r>
      <w:proofErr w:type="gramStart"/>
      <w:r w:rsidRPr="00C52D14">
        <w:rPr>
          <w:rFonts w:ascii="Arial" w:hAnsi="Arial" w:cs="Arial"/>
          <w:lang w:val="en-GB"/>
        </w:rPr>
        <w:t>are able to</w:t>
      </w:r>
      <w:proofErr w:type="gramEnd"/>
      <w:r w:rsidRPr="00C52D14">
        <w:rPr>
          <w:rFonts w:ascii="Arial" w:hAnsi="Arial" w:cs="Arial"/>
          <w:lang w:val="en-GB"/>
        </w:rPr>
        <w:t xml:space="preserve"> access healthcare from their homes, which is particularly beneficial for individuals living in rural or remote areas, as well as those with mobility limitations or chronic health conditions (Kruse et al., 2017). By removing geographical barriers, telehealth has the potential to make healthcare services more accessible to populations who may otherwise face difficulties attending in-person appointments.</w:t>
      </w:r>
    </w:p>
    <w:p w14:paraId="6397E460" w14:textId="77777777" w:rsidR="00C52D14" w:rsidRPr="00C52D14" w:rsidRDefault="00C52D14" w:rsidP="00C52D14">
      <w:pPr>
        <w:rPr>
          <w:rFonts w:ascii="Arial" w:hAnsi="Arial" w:cs="Arial"/>
          <w:lang w:val="en-GB"/>
        </w:rPr>
      </w:pPr>
      <w:r w:rsidRPr="00C52D14">
        <w:rPr>
          <w:rFonts w:ascii="Arial" w:hAnsi="Arial" w:cs="Arial"/>
          <w:lang w:val="en-GB"/>
        </w:rPr>
        <w:t>In addition, telehealth facilitates more flexible appointment scheduling, allowing patients to access care at times that are more convenient for them. This flexibility can contribute to a reduction in missed appointments, which is a persistent issue within the NHS and can negatively impact service efficiency. By improving attendance rates, telehealth may help optimise the use of healthcare resources and reduce waiting times for other patients.</w:t>
      </w:r>
    </w:p>
    <w:p w14:paraId="55213281" w14:textId="77777777" w:rsidR="00C52D14" w:rsidRPr="00C52D14" w:rsidRDefault="00C52D14" w:rsidP="00C52D14">
      <w:pPr>
        <w:rPr>
          <w:rFonts w:ascii="Arial" w:hAnsi="Arial" w:cs="Arial"/>
          <w:lang w:val="en-GB"/>
        </w:rPr>
      </w:pPr>
      <w:r w:rsidRPr="00C52D14">
        <w:rPr>
          <w:rFonts w:ascii="Arial" w:hAnsi="Arial" w:cs="Arial"/>
          <w:lang w:val="en-GB"/>
        </w:rPr>
        <w:t>Furthermore, telehealth can enhance access for individuals with time constraints, such as those balancing work, childcare responsibilities, or other commitments. The ability to attend appointments remotely reduces the need for time off work and travel-related costs, making healthcare more accessible for a wider range of patients. This is particularly relevant in the context of increasing demand on healthcare services, where efficient use of time and resources is essential.</w:t>
      </w:r>
    </w:p>
    <w:p w14:paraId="759B73D3" w14:textId="77777777" w:rsidR="00C52D14" w:rsidRPr="00C52D14" w:rsidRDefault="00C52D14" w:rsidP="00C52D14">
      <w:pPr>
        <w:rPr>
          <w:rFonts w:ascii="Arial" w:hAnsi="Arial" w:cs="Arial"/>
          <w:lang w:val="en-GB"/>
        </w:rPr>
      </w:pPr>
      <w:r w:rsidRPr="00C52D14">
        <w:rPr>
          <w:rFonts w:ascii="Arial" w:hAnsi="Arial" w:cs="Arial"/>
          <w:lang w:val="en-GB"/>
        </w:rPr>
        <w:t>However, while telehealth improves convenience and accessibility for many patients, it is important to recognise that these benefits are not experienced equally across all populations. Access to telehealth services is dependent on factors such as digital literacy, internet connectivity, and access to appropriate devices (Office for National Statistics, 2021). Therefore, while telehealth has the potential to enhance access, its effectiveness is influenced by broader social and technological factors.</w:t>
      </w:r>
    </w:p>
    <w:p w14:paraId="67B7543F" w14:textId="77777777" w:rsidR="00C52D14" w:rsidRPr="00C52D14" w:rsidRDefault="00C52D14" w:rsidP="00C52D14">
      <w:pPr>
        <w:rPr>
          <w:rFonts w:ascii="Arial" w:hAnsi="Arial" w:cs="Arial"/>
          <w:lang w:val="en-GB"/>
        </w:rPr>
      </w:pPr>
      <w:r w:rsidRPr="00C52D14">
        <w:rPr>
          <w:rFonts w:ascii="Arial" w:hAnsi="Arial" w:cs="Arial"/>
          <w:lang w:val="en-GB"/>
        </w:rPr>
        <w:t>Additionally, the increased convenience associated with telehealth may lead to changes in patient behaviour, including higher demand for consultations due to the ease of access. While this can be seen as a positive outcome in terms of accessibility, it may also place additional pressure on healthcare services if not managed effectively.</w:t>
      </w:r>
    </w:p>
    <w:p w14:paraId="7F27D29E" w14:textId="77777777" w:rsidR="00C52D14" w:rsidRPr="00C52D14" w:rsidRDefault="00C52D14" w:rsidP="00C52D14">
      <w:pPr>
        <w:rPr>
          <w:rFonts w:ascii="Arial" w:hAnsi="Arial" w:cs="Arial"/>
          <w:lang w:val="en-GB"/>
        </w:rPr>
      </w:pPr>
      <w:r w:rsidRPr="00C52D14">
        <w:rPr>
          <w:rFonts w:ascii="Arial" w:hAnsi="Arial" w:cs="Arial"/>
          <w:lang w:val="en-GB"/>
        </w:rPr>
        <w:t>Overall, telehealth represents a significant advancement in improving access and convenience within healthcare delivery. However, its benefits must be considered alongside potential limitations to ensure that improvements in access are equitable and sustainable.</w:t>
      </w:r>
    </w:p>
    <w:p w14:paraId="35C80085" w14:textId="77777777" w:rsidR="00C52D14" w:rsidRPr="00C52D14" w:rsidRDefault="00C52D14" w:rsidP="00C52D14">
      <w:pPr>
        <w:rPr>
          <w:rFonts w:ascii="Arial" w:hAnsi="Arial" w:cs="Arial"/>
          <w:lang w:val="en-GB"/>
        </w:rPr>
      </w:pPr>
    </w:p>
    <w:p w14:paraId="54C8B160" w14:textId="77777777" w:rsidR="00C52D14" w:rsidRPr="00C52D14" w:rsidRDefault="00C52D14" w:rsidP="00C52D14">
      <w:pPr>
        <w:rPr>
          <w:rFonts w:ascii="Arial" w:hAnsi="Arial" w:cs="Arial"/>
          <w:lang w:val="en-GB"/>
        </w:rPr>
      </w:pPr>
    </w:p>
    <w:p w14:paraId="32499F85" w14:textId="77777777" w:rsidR="00C52D14" w:rsidRPr="00C52D14" w:rsidRDefault="00C52D14" w:rsidP="00C52D14">
      <w:pPr>
        <w:rPr>
          <w:rFonts w:ascii="Arial" w:hAnsi="Arial" w:cs="Arial"/>
          <w:lang w:val="en-GB"/>
        </w:rPr>
      </w:pPr>
    </w:p>
    <w:p w14:paraId="4D797D85" w14:textId="77777777" w:rsidR="00C52D14" w:rsidRPr="00C52D14" w:rsidRDefault="00C52D14" w:rsidP="00C52D14">
      <w:pPr>
        <w:rPr>
          <w:rFonts w:ascii="Arial" w:hAnsi="Arial" w:cs="Arial"/>
          <w:lang w:val="en-GB"/>
        </w:rPr>
      </w:pPr>
    </w:p>
    <w:p w14:paraId="48D126BD" w14:textId="77777777" w:rsidR="00C52D14" w:rsidRPr="00C52D14" w:rsidRDefault="00C52D14" w:rsidP="00C52D14">
      <w:pPr>
        <w:rPr>
          <w:rFonts w:ascii="Arial" w:hAnsi="Arial" w:cs="Arial"/>
          <w:lang w:val="en-GB"/>
        </w:rPr>
      </w:pPr>
    </w:p>
    <w:p w14:paraId="1AC80F2F" w14:textId="77777777" w:rsidR="00C52D14" w:rsidRPr="00C52D14" w:rsidRDefault="00C52D14" w:rsidP="00C52D14">
      <w:pPr>
        <w:rPr>
          <w:rFonts w:ascii="Arial" w:hAnsi="Arial" w:cs="Arial"/>
          <w:lang w:val="en-GB"/>
        </w:rPr>
      </w:pPr>
    </w:p>
    <w:p w14:paraId="07FB2E7B" w14:textId="77777777" w:rsidR="00C52D14" w:rsidRPr="00C52D14" w:rsidRDefault="00C52D14" w:rsidP="00C52D14">
      <w:pPr>
        <w:rPr>
          <w:rFonts w:ascii="Arial" w:hAnsi="Arial" w:cs="Arial"/>
          <w:lang w:val="en-GB"/>
        </w:rPr>
      </w:pPr>
    </w:p>
    <w:p w14:paraId="4A32E532" w14:textId="77777777" w:rsidR="00C52D14" w:rsidRPr="00C52D14" w:rsidRDefault="00C52D14" w:rsidP="00C52D14">
      <w:pPr>
        <w:rPr>
          <w:rFonts w:ascii="Arial" w:hAnsi="Arial" w:cs="Arial"/>
          <w:lang w:val="en-GB"/>
        </w:rPr>
      </w:pPr>
      <w:r w:rsidRPr="00C52D14">
        <w:rPr>
          <w:rFonts w:ascii="Arial" w:hAnsi="Arial" w:cs="Arial"/>
          <w:lang w:val="en-GB"/>
        </w:rPr>
        <w:t xml:space="preserve">2. Digital Exclusion and Inequality </w:t>
      </w:r>
    </w:p>
    <w:p w14:paraId="1D8F9811" w14:textId="77777777" w:rsidR="00C52D14" w:rsidRPr="00C52D14" w:rsidRDefault="00C52D14" w:rsidP="00C52D14">
      <w:pPr>
        <w:rPr>
          <w:rFonts w:ascii="Arial" w:hAnsi="Arial" w:cs="Arial"/>
          <w:lang w:val="en-GB"/>
        </w:rPr>
      </w:pPr>
      <w:r w:rsidRPr="00C52D14">
        <w:rPr>
          <w:rFonts w:ascii="Arial" w:hAnsi="Arial" w:cs="Arial"/>
          <w:lang w:val="en-GB"/>
        </w:rPr>
        <w:t>A key theme identified in the literature is digital exclusion, which presents a significant barrier to equitable access to telehealth services. While telehealth has the potential to improve accessibility, its effectiveness is dependent on patients having access to digital technologies, reliable internet connections, and the necessary skills to use these tools effectively (Greenhalgh et al., 2020). For many individuals, particularly those from disadvantaged backgrounds, these requirements are not always met.</w:t>
      </w:r>
    </w:p>
    <w:p w14:paraId="28C9830B" w14:textId="77777777" w:rsidR="00C52D14" w:rsidRPr="00C52D14" w:rsidRDefault="00C52D14" w:rsidP="00C52D14">
      <w:pPr>
        <w:rPr>
          <w:rFonts w:ascii="Arial" w:hAnsi="Arial" w:cs="Arial"/>
          <w:lang w:val="en-GB"/>
        </w:rPr>
      </w:pPr>
      <w:r w:rsidRPr="00C52D14">
        <w:rPr>
          <w:rFonts w:ascii="Arial" w:hAnsi="Arial" w:cs="Arial"/>
          <w:lang w:val="en-GB"/>
        </w:rPr>
        <w:t>Roberts and Mehrotra (2020) highlight disparities in digital access, demonstrating that certain populations, including older adults, individuals with lower socioeconomic status, and those living in rural areas, are less likely to have access to digital resources. This creates a “digital divide,” where some groups benefit from telehealth while others are excluded. As a result, telehealth may inadvertently reinforce or even widen existing health inequalities if these barriers are not addressed.</w:t>
      </w:r>
    </w:p>
    <w:p w14:paraId="55B4FFAE" w14:textId="77777777" w:rsidR="00C52D14" w:rsidRPr="00C52D14" w:rsidRDefault="00C52D14" w:rsidP="00C52D14">
      <w:pPr>
        <w:rPr>
          <w:rFonts w:ascii="Arial" w:hAnsi="Arial" w:cs="Arial"/>
          <w:lang w:val="en-GB"/>
        </w:rPr>
      </w:pPr>
      <w:r w:rsidRPr="00C52D14">
        <w:rPr>
          <w:rFonts w:ascii="Arial" w:hAnsi="Arial" w:cs="Arial"/>
          <w:lang w:val="en-GB"/>
        </w:rPr>
        <w:t>Digital literacy is another critical factor influencing access. Patients who lack confidence or experience in using digital technologies may struggle to engage with telehealth platforms, leading to reduced utilisation of services. This may result in delayed care, poorer health outcomes, and increased reliance on traditional healthcare services. Additionally, language barriers and disabilities may further limit the accessibility of telehealth for certain groups.</w:t>
      </w:r>
    </w:p>
    <w:p w14:paraId="1BC1A961" w14:textId="77777777" w:rsidR="00C52D14" w:rsidRPr="00C52D14" w:rsidRDefault="00C52D14" w:rsidP="00C52D14">
      <w:pPr>
        <w:rPr>
          <w:rFonts w:ascii="Arial" w:hAnsi="Arial" w:cs="Arial"/>
          <w:lang w:val="en-GB"/>
        </w:rPr>
      </w:pPr>
      <w:r w:rsidRPr="00C52D14">
        <w:rPr>
          <w:rFonts w:ascii="Arial" w:hAnsi="Arial" w:cs="Arial"/>
          <w:lang w:val="en-GB"/>
        </w:rPr>
        <w:t>Moreover, structural issues such as poor broadband connectivity, particularly in rural areas, can significantly impact the effectiveness of telehealth services. Even where patients have access to devices, unreliable internet connections may disrupt consultations, reducing the quality and continuity of care.</w:t>
      </w:r>
    </w:p>
    <w:p w14:paraId="6F8BA8AE" w14:textId="77777777" w:rsidR="00C52D14" w:rsidRPr="00C52D14" w:rsidRDefault="00C52D14" w:rsidP="00C52D14">
      <w:pPr>
        <w:rPr>
          <w:rFonts w:ascii="Arial" w:hAnsi="Arial" w:cs="Arial"/>
          <w:lang w:val="en-GB"/>
        </w:rPr>
      </w:pPr>
      <w:r w:rsidRPr="00C52D14">
        <w:rPr>
          <w:rFonts w:ascii="Arial" w:hAnsi="Arial" w:cs="Arial"/>
          <w:lang w:val="en-GB"/>
        </w:rPr>
        <w:t>These findings suggest that while telehealth has the potential to improve access, it is not inherently inclusive. Without targeted interventions to address digital exclusion, telehealth may exacerbate existing inequalities rather than reduce them. Therefore, ensuring equitable access to telehealth requires investment in digital infrastructure, improved access to devices, and the provision of education and support for patients.</w:t>
      </w:r>
    </w:p>
    <w:p w14:paraId="5BD30F20" w14:textId="77777777" w:rsidR="00C52D14" w:rsidRPr="00C52D14" w:rsidRDefault="00C52D14" w:rsidP="00C52D14">
      <w:pPr>
        <w:rPr>
          <w:rFonts w:ascii="Arial" w:hAnsi="Arial" w:cs="Arial"/>
          <w:lang w:val="en-GB"/>
        </w:rPr>
      </w:pPr>
    </w:p>
    <w:p w14:paraId="4AF81877" w14:textId="77777777" w:rsidR="00C52D14" w:rsidRPr="00C52D14" w:rsidRDefault="00C52D14" w:rsidP="00C52D14">
      <w:pPr>
        <w:rPr>
          <w:rFonts w:ascii="Arial" w:hAnsi="Arial" w:cs="Arial"/>
          <w:lang w:val="en-GB"/>
        </w:rPr>
      </w:pPr>
      <w:r w:rsidRPr="00C52D14">
        <w:rPr>
          <w:rFonts w:ascii="Arial" w:hAnsi="Arial" w:cs="Arial"/>
          <w:lang w:val="en-GB"/>
        </w:rPr>
        <w:t xml:space="preserve">3. Impact on Quality of Care </w:t>
      </w:r>
    </w:p>
    <w:p w14:paraId="2ACF5EE7" w14:textId="77777777" w:rsidR="00C52D14" w:rsidRPr="00C52D14" w:rsidRDefault="00C52D14" w:rsidP="00C52D14">
      <w:pPr>
        <w:rPr>
          <w:rFonts w:ascii="Arial" w:hAnsi="Arial" w:cs="Arial"/>
          <w:lang w:val="en-GB"/>
        </w:rPr>
      </w:pPr>
      <w:r w:rsidRPr="00C52D14">
        <w:rPr>
          <w:rFonts w:ascii="Arial" w:hAnsi="Arial" w:cs="Arial"/>
          <w:lang w:val="en-GB"/>
        </w:rPr>
        <w:t>While telehealth has been shown to improve access to healthcare services, its impact on the quality of care remains a subject of ongoing debate. One of the primary concerns identified in the literature is the limitation of remote consultations in conducting physical examinations. Murphy et al. (2021) highlight that healthcare professionals may find it challenging to assess certain conditions accurately without direct physical interaction, which can affect diagnostic accuracy and clinical decision-making.</w:t>
      </w:r>
    </w:p>
    <w:p w14:paraId="70789D4E" w14:textId="77777777" w:rsidR="00C52D14" w:rsidRPr="00C52D14" w:rsidRDefault="00C52D14" w:rsidP="00C52D14">
      <w:pPr>
        <w:rPr>
          <w:rFonts w:ascii="Arial" w:hAnsi="Arial" w:cs="Arial"/>
          <w:lang w:val="en-GB"/>
        </w:rPr>
      </w:pPr>
      <w:r w:rsidRPr="00C52D14">
        <w:rPr>
          <w:rFonts w:ascii="Arial" w:hAnsi="Arial" w:cs="Arial"/>
          <w:lang w:val="en-GB"/>
        </w:rPr>
        <w:t>In addition to physical limitations, telehealth may also influence the quality of communication between patients and healthcare providers. Non-verbal cues, such as body language and facial expressions, play an important role in clinical interactions and may be more difficult to interpret during remote consultations. This can impact the development of trust and rapport, which are essential components of effective patient-centred care.</w:t>
      </w:r>
    </w:p>
    <w:p w14:paraId="5E37ADEC" w14:textId="77777777" w:rsidR="00C52D14" w:rsidRPr="00C52D14" w:rsidRDefault="00C52D14" w:rsidP="00C52D14">
      <w:pPr>
        <w:rPr>
          <w:rFonts w:ascii="Arial" w:hAnsi="Arial" w:cs="Arial"/>
          <w:lang w:val="en-GB"/>
        </w:rPr>
      </w:pPr>
      <w:r w:rsidRPr="00C52D14">
        <w:rPr>
          <w:rFonts w:ascii="Arial" w:hAnsi="Arial" w:cs="Arial"/>
          <w:lang w:val="en-GB"/>
        </w:rPr>
        <w:t>However, despite these limitations, telehealth has been found to be effective for certain types of healthcare interactions. Shaw et al. (2021) suggest that telehealth is particularly suitable for routine consultations, follow-up appointments, and the management of chronic conditions. In these contexts, telehealth can provide a convenient and efficient alternative to face-to-face care without significantly compromising quality.</w:t>
      </w:r>
    </w:p>
    <w:p w14:paraId="191828DA" w14:textId="77777777" w:rsidR="00C52D14" w:rsidRPr="00C52D14" w:rsidRDefault="00C52D14" w:rsidP="00C52D14">
      <w:pPr>
        <w:rPr>
          <w:rFonts w:ascii="Arial" w:hAnsi="Arial" w:cs="Arial"/>
          <w:lang w:val="en-GB"/>
        </w:rPr>
      </w:pPr>
      <w:r w:rsidRPr="00C52D14">
        <w:rPr>
          <w:rFonts w:ascii="Arial" w:hAnsi="Arial" w:cs="Arial"/>
          <w:lang w:val="en-GB"/>
        </w:rPr>
        <w:t>Furthermore, telehealth may improve continuity of care by enabling more frequent communication between patients and healthcare providers. This can lead to better monitoring of patient conditions and more timely interventions, potentially improving health outcomes. For some patients, particularly those with long-term conditions, the ability to access healthcare remotely may enhance engagement with services and support self-management.</w:t>
      </w:r>
    </w:p>
    <w:p w14:paraId="4EE3FF2C" w14:textId="77777777" w:rsidR="00C52D14" w:rsidRPr="00C52D14" w:rsidRDefault="00C52D14" w:rsidP="00C52D14">
      <w:pPr>
        <w:rPr>
          <w:rFonts w:ascii="Arial" w:hAnsi="Arial" w:cs="Arial"/>
          <w:lang w:val="en-GB"/>
        </w:rPr>
      </w:pPr>
      <w:r w:rsidRPr="00C52D14">
        <w:rPr>
          <w:rFonts w:ascii="Arial" w:hAnsi="Arial" w:cs="Arial"/>
          <w:lang w:val="en-GB"/>
        </w:rPr>
        <w:t>Nevertheless, the suitability of telehealth varies depending on the nature of the healthcare need. Complex or sensitive cases may require in-person consultations to ensure accurate assessment and effective communication. As such, a one-size-fits-all approach to telehealth is not appropriate.</w:t>
      </w:r>
    </w:p>
    <w:p w14:paraId="1BC11BDF" w14:textId="77777777" w:rsidR="00C52D14" w:rsidRPr="00C52D14" w:rsidRDefault="00C52D14" w:rsidP="00C52D14">
      <w:pPr>
        <w:rPr>
          <w:rFonts w:ascii="Arial" w:hAnsi="Arial" w:cs="Arial"/>
          <w:lang w:val="en-GB"/>
        </w:rPr>
      </w:pPr>
      <w:r w:rsidRPr="00C52D14">
        <w:rPr>
          <w:rFonts w:ascii="Arial" w:hAnsi="Arial" w:cs="Arial"/>
          <w:lang w:val="en-GB"/>
        </w:rPr>
        <w:t>Overall, the findings suggest that telehealth should be integrated into healthcare delivery as part of a hybrid model, where remote consultations complement rather than replace traditional face-to-face care. This approach allows healthcare providers to maximise the benefits of telehealth while minimising its limitations, ensuring that quality of care is maintained across different patient needs.</w:t>
      </w:r>
    </w:p>
    <w:p w14:paraId="40447AB7" w14:textId="77777777" w:rsidR="00C52D14" w:rsidRDefault="00C52D14" w:rsidP="00C52D14">
      <w:pPr>
        <w:rPr>
          <w:rFonts w:ascii="Arial" w:hAnsi="Arial" w:cs="Arial"/>
          <w:lang w:val="en-GB"/>
        </w:rPr>
      </w:pPr>
    </w:p>
    <w:p w14:paraId="5A56E82B" w14:textId="745092D5" w:rsidR="00C52D14" w:rsidRPr="00C52D14" w:rsidRDefault="00C52D14" w:rsidP="00C52D14">
      <w:pPr>
        <w:rPr>
          <w:rFonts w:ascii="Arial" w:hAnsi="Arial" w:cs="Arial"/>
          <w:lang w:val="en-GB"/>
        </w:rPr>
      </w:pPr>
      <w:r w:rsidRPr="00C52D14">
        <w:rPr>
          <w:rFonts w:ascii="Arial" w:hAnsi="Arial" w:cs="Arial"/>
          <w:lang w:val="en-GB"/>
        </w:rPr>
        <w:t xml:space="preserve">4. </w:t>
      </w:r>
      <w:r>
        <w:rPr>
          <w:rFonts w:ascii="Arial" w:hAnsi="Arial" w:cs="Arial"/>
          <w:lang w:val="en-GB"/>
        </w:rPr>
        <w:t>Patient Satisfaction</w:t>
      </w:r>
    </w:p>
    <w:p w14:paraId="53158F43" w14:textId="77777777" w:rsidR="00C52D14" w:rsidRPr="00C52D14" w:rsidRDefault="00C52D14" w:rsidP="00C52D14">
      <w:pPr>
        <w:rPr>
          <w:rFonts w:ascii="Arial" w:hAnsi="Arial" w:cs="Arial"/>
          <w:lang w:val="en-GB"/>
        </w:rPr>
      </w:pPr>
      <w:r w:rsidRPr="00C52D14">
        <w:rPr>
          <w:rFonts w:ascii="Arial" w:hAnsi="Arial" w:cs="Arial"/>
          <w:lang w:val="en-GB"/>
        </w:rPr>
        <w:t>Patient satisfaction with telehealth is generally reported to be high, primarily due to its convenience, flexibility, and ability to reduce travel time and waiting periods (Kruse et al., 2017). Many patients value the ability to access healthcare services from their own homes, particularly those with mobility limitations, chronic conditions, or demanding schedules. Telehealth can also reduce the need for time off work and associated costs, further contributing to positive patient experiences.</w:t>
      </w:r>
    </w:p>
    <w:p w14:paraId="7D25EEC7" w14:textId="77777777" w:rsidR="00C52D14" w:rsidRPr="00C52D14" w:rsidRDefault="00C52D14" w:rsidP="00C52D14">
      <w:pPr>
        <w:rPr>
          <w:rFonts w:ascii="Arial" w:hAnsi="Arial" w:cs="Arial"/>
          <w:lang w:val="en-GB"/>
        </w:rPr>
      </w:pPr>
      <w:r w:rsidRPr="00C52D14">
        <w:rPr>
          <w:rFonts w:ascii="Arial" w:hAnsi="Arial" w:cs="Arial"/>
          <w:lang w:val="en-GB"/>
        </w:rPr>
        <w:t>However, satisfaction with telehealth is not universal and varies depending on individual circumstances, preferences, and the nature of the healthcare need. Some patients continue to prefer face-to-face consultations, particularly for complex, sensitive, or emotionally significant health issues, where physical presence and direct interaction with healthcare professionals are considered important (Greenhalgh et al., 2020). The absence of non-verbal communication cues and physical examination in telehealth consultations can also impact patient confidence and perceived quality of care.</w:t>
      </w:r>
    </w:p>
    <w:p w14:paraId="334648A5" w14:textId="77777777" w:rsidR="00C52D14" w:rsidRPr="00C52D14" w:rsidRDefault="00C52D14" w:rsidP="00C52D14">
      <w:pPr>
        <w:rPr>
          <w:rFonts w:ascii="Arial" w:hAnsi="Arial" w:cs="Arial"/>
          <w:lang w:val="en-GB"/>
        </w:rPr>
      </w:pPr>
      <w:r w:rsidRPr="00C52D14">
        <w:rPr>
          <w:rFonts w:ascii="Arial" w:hAnsi="Arial" w:cs="Arial"/>
          <w:lang w:val="en-GB"/>
        </w:rPr>
        <w:t>Additionally, digital literacy plays a significant role in shaping patient satisfaction. Individuals who are confident in using digital technologies are more likely to report positive experiences with telehealth, whereas those with limited digital skills may experience frustration, anxiety, or reduced engagement with services (Office for National Statistics, 2021). This highlights the importance of ensuring that telehealth services are user-friendly and supported by adequate guidance for patients.</w:t>
      </w:r>
    </w:p>
    <w:p w14:paraId="2A5DC1A0" w14:textId="77777777" w:rsidR="00C52D14" w:rsidRPr="00C52D14" w:rsidRDefault="00C52D14" w:rsidP="00C52D14">
      <w:pPr>
        <w:rPr>
          <w:rFonts w:ascii="Arial" w:hAnsi="Arial" w:cs="Arial"/>
          <w:lang w:val="en-GB"/>
        </w:rPr>
      </w:pPr>
      <w:r w:rsidRPr="00C52D14">
        <w:rPr>
          <w:rFonts w:ascii="Arial" w:hAnsi="Arial" w:cs="Arial"/>
          <w:lang w:val="en-GB"/>
        </w:rPr>
        <w:t>Furthermore, issues such as technical difficulties, poor internet connectivity, and concerns about data privacy can negatively affect patient satisfaction. Interruptions during consultations or difficulties accessing digital platforms may reduce trust in telehealth services and discourage continued use.</w:t>
      </w:r>
    </w:p>
    <w:p w14:paraId="69D9EF3D" w14:textId="77777777" w:rsidR="00C52D14" w:rsidRPr="00C52D14" w:rsidRDefault="00C52D14" w:rsidP="00C52D14">
      <w:pPr>
        <w:rPr>
          <w:rFonts w:ascii="Arial" w:hAnsi="Arial" w:cs="Arial"/>
          <w:lang w:val="en-GB"/>
        </w:rPr>
      </w:pPr>
      <w:r w:rsidRPr="00C52D14">
        <w:rPr>
          <w:rFonts w:ascii="Arial" w:hAnsi="Arial" w:cs="Arial"/>
          <w:lang w:val="en-GB"/>
        </w:rPr>
        <w:t xml:space="preserve">Overall, while telehealth has the potential to enhance patient satisfaction, </w:t>
      </w:r>
      <w:proofErr w:type="gramStart"/>
      <w:r w:rsidRPr="00C52D14">
        <w:rPr>
          <w:rFonts w:ascii="Arial" w:hAnsi="Arial" w:cs="Arial"/>
          <w:lang w:val="en-GB"/>
        </w:rPr>
        <w:t>it is clear that a</w:t>
      </w:r>
      <w:proofErr w:type="gramEnd"/>
      <w:r w:rsidRPr="00C52D14">
        <w:rPr>
          <w:rFonts w:ascii="Arial" w:hAnsi="Arial" w:cs="Arial"/>
          <w:lang w:val="en-GB"/>
        </w:rPr>
        <w:t xml:space="preserve"> one-size-fits-all approach is not appropriate. Offering patients a choice between telehealth and face-to-face consultations is essential to ensure that services remain patient-centred and responsive to individual needs. A flexible, hybrid model of care is therefore likely to result in higher levels of satisfaction and improved healthcare outcomes.</w:t>
      </w:r>
    </w:p>
    <w:p w14:paraId="30DCDB04" w14:textId="77777777" w:rsidR="00C52D14" w:rsidRDefault="00C52D14" w:rsidP="00C52D14">
      <w:pPr>
        <w:rPr>
          <w:rFonts w:ascii="Arial" w:hAnsi="Arial" w:cs="Arial"/>
          <w:lang w:val="en-GB"/>
        </w:rPr>
      </w:pPr>
    </w:p>
    <w:p w14:paraId="68BBE860" w14:textId="4A5C47ED" w:rsidR="00C52D14" w:rsidRPr="00C52D14" w:rsidRDefault="00C52D14" w:rsidP="00C52D14">
      <w:pPr>
        <w:rPr>
          <w:rFonts w:ascii="Arial" w:hAnsi="Arial" w:cs="Arial"/>
          <w:lang w:val="en-GB"/>
        </w:rPr>
      </w:pPr>
      <w:r w:rsidRPr="00C52D14">
        <w:rPr>
          <w:rFonts w:ascii="Arial" w:hAnsi="Arial" w:cs="Arial"/>
          <w:lang w:val="en-GB"/>
        </w:rPr>
        <w:t>5. D</w:t>
      </w:r>
      <w:r>
        <w:rPr>
          <w:rFonts w:ascii="Arial" w:hAnsi="Arial" w:cs="Arial"/>
          <w:lang w:val="en-GB"/>
        </w:rPr>
        <w:t>iscussion</w:t>
      </w:r>
    </w:p>
    <w:p w14:paraId="0BCE9653" w14:textId="77777777" w:rsidR="00C52D14" w:rsidRPr="00C52D14" w:rsidRDefault="00C52D14" w:rsidP="00C52D14">
      <w:pPr>
        <w:rPr>
          <w:rFonts w:ascii="Arial" w:hAnsi="Arial" w:cs="Arial"/>
          <w:lang w:val="en-GB"/>
        </w:rPr>
      </w:pPr>
      <w:r w:rsidRPr="00C52D14">
        <w:rPr>
          <w:rFonts w:ascii="Arial" w:hAnsi="Arial" w:cs="Arial"/>
          <w:lang w:val="en-GB"/>
        </w:rPr>
        <w:t>The findings of this scoping review demonstrate that telehealth has significantly improved access to healthcare services in the UK. By reducing travel requirements and enabling remote consultations, telehealth has increased convenience and efficiency, aligning with NHS objectives to modernise healthcare delivery (NHS England, 2019).</w:t>
      </w:r>
    </w:p>
    <w:p w14:paraId="0F69B3C4" w14:textId="77777777" w:rsidR="00C52D14" w:rsidRPr="00C52D14" w:rsidRDefault="00C52D14" w:rsidP="00C52D14">
      <w:pPr>
        <w:rPr>
          <w:rFonts w:ascii="Arial" w:hAnsi="Arial" w:cs="Arial"/>
          <w:lang w:val="en-GB"/>
        </w:rPr>
      </w:pPr>
      <w:r w:rsidRPr="00C52D14">
        <w:rPr>
          <w:rFonts w:ascii="Arial" w:hAnsi="Arial" w:cs="Arial"/>
          <w:lang w:val="en-GB"/>
        </w:rPr>
        <w:t>However, digital exclusion remains a significant challenge. Individuals without access to digital technologies or the necessary skills are at risk of being excluded from telehealth services. This raises concerns about equity and highlights the need for targeted interventions to improve digital inclusion.</w:t>
      </w:r>
    </w:p>
    <w:p w14:paraId="65220FDC" w14:textId="77777777" w:rsidR="00C52D14" w:rsidRPr="00C52D14" w:rsidRDefault="00C52D14" w:rsidP="00C52D14">
      <w:pPr>
        <w:rPr>
          <w:rFonts w:ascii="Arial" w:hAnsi="Arial" w:cs="Arial"/>
          <w:lang w:val="en-GB"/>
        </w:rPr>
      </w:pPr>
      <w:r w:rsidRPr="00C52D14">
        <w:rPr>
          <w:rFonts w:ascii="Arial" w:hAnsi="Arial" w:cs="Arial"/>
          <w:lang w:val="en-GB"/>
        </w:rPr>
        <w:t>The impact of telehealth on quality of care is mixed. While telehealth is effective for routine consultations, it may not be suitable for more complex cases. A hybrid model that combines telehealth with face-to-face care is therefore recommended.</w:t>
      </w:r>
    </w:p>
    <w:p w14:paraId="66C76AD3" w14:textId="77777777" w:rsidR="00C52D14" w:rsidRPr="00C52D14" w:rsidRDefault="00C52D14" w:rsidP="00C52D14">
      <w:pPr>
        <w:rPr>
          <w:rFonts w:ascii="Arial" w:hAnsi="Arial" w:cs="Arial"/>
          <w:lang w:val="en-GB"/>
        </w:rPr>
      </w:pPr>
      <w:r w:rsidRPr="00C52D14">
        <w:rPr>
          <w:rFonts w:ascii="Arial" w:hAnsi="Arial" w:cs="Arial"/>
          <w:lang w:val="en-GB"/>
        </w:rPr>
        <w:t>Telehealth has also been shown to improve efficiency and reduce healthcare costs while maintaining high levels of patient satisfaction (</w:t>
      </w:r>
      <w:proofErr w:type="spellStart"/>
      <w:r w:rsidRPr="00C52D14">
        <w:rPr>
          <w:rFonts w:ascii="Arial" w:hAnsi="Arial" w:cs="Arial"/>
          <w:lang w:val="en-GB"/>
        </w:rPr>
        <w:t>Gajarawala</w:t>
      </w:r>
      <w:proofErr w:type="spellEnd"/>
      <w:r w:rsidRPr="00C52D14">
        <w:rPr>
          <w:rFonts w:ascii="Arial" w:hAnsi="Arial" w:cs="Arial"/>
          <w:lang w:val="en-GB"/>
        </w:rPr>
        <w:t xml:space="preserve"> and Pelkowski, 2021). Furthermore, research suggests that telehealth interventions are supported by </w:t>
      </w:r>
      <w:proofErr w:type="gramStart"/>
      <w:r w:rsidRPr="00C52D14">
        <w:rPr>
          <w:rFonts w:ascii="Arial" w:hAnsi="Arial" w:cs="Arial"/>
          <w:lang w:val="en-GB"/>
        </w:rPr>
        <w:t>a strong evidence</w:t>
      </w:r>
      <w:proofErr w:type="gramEnd"/>
      <w:r w:rsidRPr="00C52D14">
        <w:rPr>
          <w:rFonts w:ascii="Arial" w:hAnsi="Arial" w:cs="Arial"/>
          <w:lang w:val="en-GB"/>
        </w:rPr>
        <w:t xml:space="preserve"> base and are effective across various healthcare settings (</w:t>
      </w:r>
      <w:proofErr w:type="spellStart"/>
      <w:r w:rsidRPr="00C52D14">
        <w:rPr>
          <w:rFonts w:ascii="Arial" w:hAnsi="Arial" w:cs="Arial"/>
          <w:lang w:val="en-GB"/>
        </w:rPr>
        <w:t>Bashshur</w:t>
      </w:r>
      <w:proofErr w:type="spellEnd"/>
      <w:r w:rsidRPr="00C52D14">
        <w:rPr>
          <w:rFonts w:ascii="Arial" w:hAnsi="Arial" w:cs="Arial"/>
          <w:lang w:val="en-GB"/>
        </w:rPr>
        <w:t xml:space="preserve"> et al., 2016).</w:t>
      </w:r>
    </w:p>
    <w:p w14:paraId="0B59FCD1" w14:textId="77777777" w:rsidR="00C52D14" w:rsidRPr="00C52D14" w:rsidRDefault="00C52D14" w:rsidP="00C52D14">
      <w:pPr>
        <w:rPr>
          <w:rFonts w:ascii="Arial" w:hAnsi="Arial" w:cs="Arial"/>
          <w:lang w:val="en-GB"/>
        </w:rPr>
      </w:pPr>
      <w:r w:rsidRPr="00C52D14">
        <w:rPr>
          <w:rFonts w:ascii="Arial" w:hAnsi="Arial" w:cs="Arial"/>
          <w:lang w:val="en-GB"/>
        </w:rPr>
        <w:t>Overall, telehealth represents a valuable tool for improving access to healthcare, but its implementation must be carefully managed to ensure equitable access and high-quality care.</w:t>
      </w:r>
    </w:p>
    <w:p w14:paraId="1644A170" w14:textId="77777777" w:rsidR="00C52D14" w:rsidRPr="00C52D14" w:rsidRDefault="00C52D14" w:rsidP="00C52D14">
      <w:pPr>
        <w:rPr>
          <w:rFonts w:ascii="Arial" w:hAnsi="Arial" w:cs="Arial"/>
          <w:lang w:val="en-GB"/>
        </w:rPr>
      </w:pPr>
    </w:p>
    <w:p w14:paraId="61F2126A" w14:textId="77777777" w:rsidR="00C52D14" w:rsidRPr="00C52D14" w:rsidRDefault="00C52D14" w:rsidP="00C52D14">
      <w:pPr>
        <w:rPr>
          <w:rFonts w:ascii="Arial" w:hAnsi="Arial" w:cs="Arial"/>
          <w:lang w:val="en-GB"/>
        </w:rPr>
      </w:pPr>
      <w:r w:rsidRPr="00C52D14">
        <w:rPr>
          <w:rFonts w:ascii="Arial" w:hAnsi="Arial" w:cs="Arial"/>
          <w:lang w:val="en-GB"/>
        </w:rPr>
        <w:t>This scoping review has critically examined the impact of telehealth on patient access to healthcare services in the United Kingdom. The findings indicate that telehealth has played a significant role in improving accessibility, particularly by reducing geographical barriers, minimising travel requirements, and enabling more flexible and timely access to healthcare services. This is especially important in the context of increasing demand on the NHS and ongoing workforce pressures (The King’s Fund, 2022).</w:t>
      </w:r>
    </w:p>
    <w:p w14:paraId="1EB94659" w14:textId="77777777" w:rsidR="00C52D14" w:rsidRPr="00C52D14" w:rsidRDefault="00C52D14" w:rsidP="00C52D14">
      <w:pPr>
        <w:rPr>
          <w:rFonts w:ascii="Arial" w:hAnsi="Arial" w:cs="Arial"/>
          <w:lang w:val="en-GB"/>
        </w:rPr>
      </w:pPr>
      <w:r w:rsidRPr="00C52D14">
        <w:rPr>
          <w:rFonts w:ascii="Arial" w:hAnsi="Arial" w:cs="Arial"/>
          <w:lang w:val="en-GB"/>
        </w:rPr>
        <w:t>The review also highlights that telehealth has been effective in enhancing efficiency within healthcare systems, allowing for a greater number of consultations to be conducted and improving patient convenience. For many patients, particularly those with mobility issues or those living in rural areas, telehealth has provided a valuable alternative to traditional face-to-face consultations (Kruse et al., 2017).</w:t>
      </w:r>
    </w:p>
    <w:p w14:paraId="44CC9601" w14:textId="77777777" w:rsidR="00C52D14" w:rsidRPr="00C52D14" w:rsidRDefault="00C52D14" w:rsidP="00C52D14">
      <w:pPr>
        <w:rPr>
          <w:rFonts w:ascii="Arial" w:hAnsi="Arial" w:cs="Arial"/>
          <w:lang w:val="en-GB"/>
        </w:rPr>
      </w:pPr>
      <w:r w:rsidRPr="00C52D14">
        <w:rPr>
          <w:rFonts w:ascii="Arial" w:hAnsi="Arial" w:cs="Arial"/>
          <w:lang w:val="en-GB"/>
        </w:rPr>
        <w:t>However, despite these benefits, the findings reveal several significant challenges that must be addressed. Digital exclusion remains a critical issue, with certain populations, including older adults, low-income groups, and individuals with limited digital literacy, facing barriers in accessing telehealth services (Office for National Statistics, 2021). This raises concerns about equity and the potential for telehealth to exacerbate existing health inequalities if not implemented inclusively.</w:t>
      </w:r>
    </w:p>
    <w:p w14:paraId="77A37DC0" w14:textId="77777777" w:rsidR="00C52D14" w:rsidRPr="00C52D14" w:rsidRDefault="00C52D14" w:rsidP="00C52D14">
      <w:pPr>
        <w:rPr>
          <w:rFonts w:ascii="Arial" w:hAnsi="Arial" w:cs="Arial"/>
          <w:lang w:val="en-GB"/>
        </w:rPr>
      </w:pPr>
      <w:r w:rsidRPr="00C52D14">
        <w:rPr>
          <w:rFonts w:ascii="Arial" w:hAnsi="Arial" w:cs="Arial"/>
          <w:lang w:val="en-GB"/>
        </w:rPr>
        <w:t xml:space="preserve">Furthermore, the review highlights </w:t>
      </w:r>
      <w:proofErr w:type="gramStart"/>
      <w:r w:rsidRPr="00C52D14">
        <w:rPr>
          <w:rFonts w:ascii="Arial" w:hAnsi="Arial" w:cs="Arial"/>
          <w:lang w:val="en-GB"/>
        </w:rPr>
        <w:t>concerns</w:t>
      </w:r>
      <w:proofErr w:type="gramEnd"/>
      <w:r w:rsidRPr="00C52D14">
        <w:rPr>
          <w:rFonts w:ascii="Arial" w:hAnsi="Arial" w:cs="Arial"/>
          <w:lang w:val="en-GB"/>
        </w:rPr>
        <w:t xml:space="preserve"> regarding the quality of care delivered through telehealth. While telehealth is effective for routine consultations, it may not be appropriate for more complex or sensitive healthcare needs, particularly where physical examinations or detailed patient interactions are required (Murphy et al., 2021). This suggests that telehealth should not replace traditional healthcare services but should instead be integrated as part of a broader, patient-centred approach.</w:t>
      </w:r>
    </w:p>
    <w:p w14:paraId="561C2356" w14:textId="77777777" w:rsidR="00C52D14" w:rsidRPr="00C52D14" w:rsidRDefault="00C52D14" w:rsidP="00C52D14">
      <w:pPr>
        <w:rPr>
          <w:rFonts w:ascii="Arial" w:hAnsi="Arial" w:cs="Arial"/>
          <w:lang w:val="en-GB"/>
        </w:rPr>
      </w:pPr>
      <w:r w:rsidRPr="00C52D14">
        <w:rPr>
          <w:rFonts w:ascii="Arial" w:hAnsi="Arial" w:cs="Arial"/>
          <w:lang w:val="en-GB"/>
        </w:rPr>
        <w:t>Overall, telehealth represents a significant advancement in healthcare delivery within the UK. However, its success depends on careful implementation, ensuring that it enhances access without compromising quality or equity. A balanced and inclusive approach is essential to maximise the benefits of telehealth while addressing its limitations.</w:t>
      </w:r>
    </w:p>
    <w:p w14:paraId="10848C5C" w14:textId="77777777" w:rsidR="00C52D14" w:rsidRPr="00C52D14" w:rsidRDefault="00C52D14" w:rsidP="00C52D14">
      <w:pPr>
        <w:rPr>
          <w:rFonts w:ascii="Arial" w:hAnsi="Arial" w:cs="Arial"/>
          <w:lang w:val="en-GB"/>
        </w:rPr>
      </w:pPr>
      <w:r w:rsidRPr="00C52D14">
        <w:rPr>
          <w:rFonts w:ascii="Arial" w:hAnsi="Arial" w:cs="Arial"/>
          <w:lang w:val="en-GB"/>
        </w:rPr>
        <w:t>Recommendations for UK Healthcare Practice</w:t>
      </w:r>
    </w:p>
    <w:p w14:paraId="48097166" w14:textId="77777777" w:rsidR="00C52D14" w:rsidRPr="00C52D14" w:rsidRDefault="00C52D14" w:rsidP="00C52D14">
      <w:pPr>
        <w:rPr>
          <w:rFonts w:ascii="Arial" w:hAnsi="Arial" w:cs="Arial"/>
          <w:lang w:val="en-GB"/>
        </w:rPr>
      </w:pPr>
      <w:r w:rsidRPr="00C52D14">
        <w:rPr>
          <w:rFonts w:ascii="Arial" w:hAnsi="Arial" w:cs="Arial"/>
          <w:lang w:val="en-GB"/>
        </w:rPr>
        <w:t>Firstly, healthcare providers should adopt a hybrid model of care, combining telehealth with traditional face-to-face consultations. This approach would allow patients to benefit from the convenience of telehealth while ensuring that more complex cases are managed appropriately through in-person care. A flexible system that offers patient choice is likely to improve both access and satisfaction.</w:t>
      </w:r>
    </w:p>
    <w:p w14:paraId="2D5036F0" w14:textId="77777777" w:rsidR="00C52D14" w:rsidRPr="00C52D14" w:rsidRDefault="00C52D14" w:rsidP="00C52D14">
      <w:pPr>
        <w:rPr>
          <w:rFonts w:ascii="Arial" w:hAnsi="Arial" w:cs="Arial"/>
          <w:lang w:val="en-GB"/>
        </w:rPr>
      </w:pPr>
      <w:r w:rsidRPr="00C52D14">
        <w:rPr>
          <w:rFonts w:ascii="Arial" w:hAnsi="Arial" w:cs="Arial"/>
          <w:lang w:val="en-GB"/>
        </w:rPr>
        <w:t>Secondly, healthcare professionals should receive training in delivering telehealth services effectively. This includes developing communication skills suitable for remote consultations and understanding how to assess patients without physical examination where appropriate. Improving clinician confidence in telehealth can enhance the quality of care provided.</w:t>
      </w:r>
    </w:p>
    <w:p w14:paraId="795869B4" w14:textId="77777777" w:rsidR="00C52D14" w:rsidRPr="00C52D14" w:rsidRDefault="00C52D14" w:rsidP="00C52D14">
      <w:pPr>
        <w:rPr>
          <w:rFonts w:ascii="Arial" w:hAnsi="Arial" w:cs="Arial"/>
          <w:lang w:val="en-GB"/>
        </w:rPr>
      </w:pPr>
      <w:r w:rsidRPr="00C52D14">
        <w:rPr>
          <w:rFonts w:ascii="Arial" w:hAnsi="Arial" w:cs="Arial"/>
          <w:lang w:val="en-GB"/>
        </w:rPr>
        <w:t>Thirdly, there should be a greater focus on patient education and support. Many patients may struggle to use digital technologies, and providing guidance, tutorials, and support services can help improve engagement with telehealth. This is particularly important for vulnerable populations who may otherwise be excluded.</w:t>
      </w:r>
    </w:p>
    <w:p w14:paraId="4FDC1A65" w14:textId="77777777" w:rsidR="00C52D14" w:rsidRPr="00C52D14" w:rsidRDefault="00C52D14" w:rsidP="00C52D14">
      <w:pPr>
        <w:rPr>
          <w:rFonts w:ascii="Arial" w:hAnsi="Arial" w:cs="Arial"/>
          <w:lang w:val="en-GB"/>
        </w:rPr>
      </w:pPr>
      <w:r w:rsidRPr="00C52D14">
        <w:rPr>
          <w:rFonts w:ascii="Arial" w:hAnsi="Arial" w:cs="Arial"/>
          <w:lang w:val="en-GB"/>
        </w:rPr>
        <w:t>Recommendations for Policy and UK Healthcare Systems</w:t>
      </w:r>
    </w:p>
    <w:p w14:paraId="49ED8635" w14:textId="77777777" w:rsidR="00C52D14" w:rsidRPr="00C52D14" w:rsidRDefault="00C52D14" w:rsidP="00C52D14">
      <w:pPr>
        <w:rPr>
          <w:rFonts w:ascii="Arial" w:hAnsi="Arial" w:cs="Arial"/>
          <w:lang w:val="en-GB"/>
        </w:rPr>
      </w:pPr>
      <w:r w:rsidRPr="00C52D14">
        <w:rPr>
          <w:rFonts w:ascii="Arial" w:hAnsi="Arial" w:cs="Arial"/>
          <w:lang w:val="en-GB"/>
        </w:rPr>
        <w:t>From a policy perspective, addressing digital inequality should be a key priority. Policymakers should invest in improving access to digital technologies, including providing affordable internet services and digital devices to underserved populations. Without such interventions, telehealth risks reinforcing existing health disparities.</w:t>
      </w:r>
    </w:p>
    <w:p w14:paraId="38428036" w14:textId="77777777" w:rsidR="00C52D14" w:rsidRPr="00C52D14" w:rsidRDefault="00C52D14" w:rsidP="00C52D14">
      <w:pPr>
        <w:rPr>
          <w:rFonts w:ascii="Arial" w:hAnsi="Arial" w:cs="Arial"/>
          <w:lang w:val="en-GB"/>
        </w:rPr>
      </w:pPr>
      <w:r w:rsidRPr="00C52D14">
        <w:rPr>
          <w:rFonts w:ascii="Arial" w:hAnsi="Arial" w:cs="Arial"/>
          <w:lang w:val="en-GB"/>
        </w:rPr>
        <w:t>Additionally, there should be increased investment in digital infrastructure to ensure that telehealth services are reliable, secure, and accessible. This includes improving broadband connectivity, particularly in rural areas, and ensuring that healthcare systems are equipped with appropriate digital platforms.</w:t>
      </w:r>
    </w:p>
    <w:p w14:paraId="6A3D731A" w14:textId="77777777" w:rsidR="00C52D14" w:rsidRPr="00C52D14" w:rsidRDefault="00C52D14" w:rsidP="00C52D14">
      <w:pPr>
        <w:rPr>
          <w:rFonts w:ascii="Arial" w:hAnsi="Arial" w:cs="Arial"/>
          <w:lang w:val="en-GB"/>
        </w:rPr>
      </w:pPr>
      <w:r w:rsidRPr="00C52D14">
        <w:rPr>
          <w:rFonts w:ascii="Arial" w:hAnsi="Arial" w:cs="Arial"/>
          <w:lang w:val="en-GB"/>
        </w:rPr>
        <w:t>Policies should also focus on establishing clear guidelines and standards for telehealth practice, including data protection, patient confidentiality, and quality of care. Ensuring compliance with regulations such as the UK GDPR is essential to maintain patient trust and safety.</w:t>
      </w:r>
    </w:p>
    <w:p w14:paraId="5275A454" w14:textId="77777777" w:rsidR="00C52D14" w:rsidRPr="00C52D14" w:rsidRDefault="00C52D14" w:rsidP="00C52D14">
      <w:pPr>
        <w:rPr>
          <w:rFonts w:ascii="Arial" w:hAnsi="Arial" w:cs="Arial"/>
          <w:lang w:val="en-GB"/>
        </w:rPr>
      </w:pPr>
    </w:p>
    <w:p w14:paraId="062E1C56" w14:textId="77777777" w:rsidR="00C52D14" w:rsidRPr="00C52D14" w:rsidRDefault="00C52D14" w:rsidP="00C52D14">
      <w:pPr>
        <w:rPr>
          <w:rFonts w:ascii="Arial" w:hAnsi="Arial" w:cs="Arial"/>
          <w:lang w:val="en-GB"/>
        </w:rPr>
      </w:pPr>
    </w:p>
    <w:p w14:paraId="3201BF59" w14:textId="77777777" w:rsidR="00C52D14" w:rsidRPr="00C52D14" w:rsidRDefault="00C52D14" w:rsidP="00C52D14">
      <w:pPr>
        <w:rPr>
          <w:rFonts w:ascii="Arial" w:hAnsi="Arial" w:cs="Arial"/>
          <w:lang w:val="en-GB"/>
        </w:rPr>
      </w:pPr>
    </w:p>
    <w:p w14:paraId="08168457" w14:textId="77777777" w:rsidR="00C52D14" w:rsidRPr="00C52D14" w:rsidRDefault="00C52D14" w:rsidP="00C52D14">
      <w:pPr>
        <w:rPr>
          <w:rFonts w:ascii="Arial" w:hAnsi="Arial" w:cs="Arial"/>
          <w:lang w:val="en-GB"/>
        </w:rPr>
      </w:pPr>
      <w:r w:rsidRPr="00C52D14">
        <w:rPr>
          <w:rFonts w:ascii="Arial" w:hAnsi="Arial" w:cs="Arial"/>
          <w:lang w:val="en-GB"/>
        </w:rPr>
        <w:t>This review highlights several gaps in the existing literature that should be addressed through future research. Firstly, there is a need for longitudinal studies to assess the long-term impact of telehealth on patient outcomes and healthcare systems. Most current studies focus on short-term outcomes, particularly during the COVID-19 pandemic.</w:t>
      </w:r>
    </w:p>
    <w:p w14:paraId="62DFAA43" w14:textId="77777777" w:rsidR="00C52D14" w:rsidRPr="00C52D14" w:rsidRDefault="00C52D14" w:rsidP="00C52D14">
      <w:pPr>
        <w:rPr>
          <w:rFonts w:ascii="Arial" w:hAnsi="Arial" w:cs="Arial"/>
          <w:lang w:val="en-GB"/>
        </w:rPr>
      </w:pPr>
      <w:r w:rsidRPr="00C52D14">
        <w:rPr>
          <w:rFonts w:ascii="Arial" w:hAnsi="Arial" w:cs="Arial"/>
          <w:lang w:val="en-GB"/>
        </w:rPr>
        <w:t>Secondly, further research is needed to explore the experiences of specific population groups, such as older adults, individuals with disabilities, and those from lower socioeconomic backgrounds. Understanding the unique challenges faced by these groups can inform more inclusive telehealth strategies.</w:t>
      </w:r>
    </w:p>
    <w:p w14:paraId="3993B012" w14:textId="77777777" w:rsidR="00C52D14" w:rsidRPr="00C52D14" w:rsidRDefault="00C52D14" w:rsidP="00C52D14">
      <w:pPr>
        <w:rPr>
          <w:rFonts w:ascii="Arial" w:hAnsi="Arial" w:cs="Arial"/>
          <w:lang w:val="en-GB"/>
        </w:rPr>
      </w:pPr>
      <w:r w:rsidRPr="00C52D14">
        <w:rPr>
          <w:rFonts w:ascii="Arial" w:hAnsi="Arial" w:cs="Arial"/>
          <w:lang w:val="en-GB"/>
        </w:rPr>
        <w:t>Thirdly, future studies should examine the cost-effectiveness of telehealth in greater detail. While telehealth is often associated with reduced costs, more evidence is needed to determine its economic impact on healthcare systems over time.</w:t>
      </w:r>
    </w:p>
    <w:p w14:paraId="71D6734F" w14:textId="77777777" w:rsidR="00C52D14" w:rsidRPr="00C52D14" w:rsidRDefault="00C52D14" w:rsidP="00C52D14">
      <w:pPr>
        <w:rPr>
          <w:rFonts w:ascii="Arial" w:hAnsi="Arial" w:cs="Arial"/>
          <w:lang w:val="en-GB"/>
        </w:rPr>
      </w:pPr>
      <w:r w:rsidRPr="00C52D14">
        <w:rPr>
          <w:rFonts w:ascii="Arial" w:hAnsi="Arial" w:cs="Arial"/>
          <w:lang w:val="en-GB"/>
        </w:rPr>
        <w:t>Finally, research should explore the optimal balance between telehealth and face-to-face care, identifying which types of consultations are most suitable for remote delivery and which require in-person interaction.</w:t>
      </w:r>
    </w:p>
    <w:p w14:paraId="4B12968F" w14:textId="77777777" w:rsidR="00C52D14" w:rsidRPr="00C52D14" w:rsidRDefault="00C52D14" w:rsidP="00C52D14">
      <w:pPr>
        <w:rPr>
          <w:rFonts w:ascii="Arial" w:hAnsi="Arial" w:cs="Arial"/>
          <w:lang w:val="en-GB"/>
        </w:rPr>
      </w:pPr>
      <w:r w:rsidRPr="00C52D14">
        <w:rPr>
          <w:rFonts w:ascii="Arial" w:hAnsi="Arial" w:cs="Arial"/>
          <w:lang w:val="en-GB"/>
        </w:rPr>
        <w:t>In conclusion, telehealth has the potential to significantly transform healthcare delivery in the UK by improving access and efficiency. However, its long-term success will depend on addressing digital inequalities, maintaining quality of care, and adopting a balanced, patient-centred approach to healthcare provision.</w:t>
      </w:r>
    </w:p>
    <w:p w14:paraId="2326C557" w14:textId="77777777" w:rsidR="00C52D14" w:rsidRPr="00C52D14" w:rsidRDefault="00C52D14" w:rsidP="00C52D14">
      <w:pPr>
        <w:rPr>
          <w:rFonts w:ascii="Arial" w:hAnsi="Arial" w:cs="Arial"/>
          <w:lang w:val="en-GB"/>
        </w:rPr>
      </w:pPr>
    </w:p>
    <w:p w14:paraId="216D68D5" w14:textId="77777777" w:rsidR="00C52D14" w:rsidRPr="00C52D14" w:rsidRDefault="00C52D14" w:rsidP="00C52D14">
      <w:pPr>
        <w:rPr>
          <w:rFonts w:ascii="Arial" w:hAnsi="Arial" w:cs="Arial"/>
          <w:lang w:val="en-GB"/>
        </w:rPr>
      </w:pPr>
    </w:p>
    <w:p w14:paraId="7D5B7F21" w14:textId="77777777" w:rsidR="00C52D14" w:rsidRPr="00C52D14" w:rsidRDefault="00C52D14" w:rsidP="00C52D14">
      <w:pPr>
        <w:rPr>
          <w:rFonts w:ascii="Arial" w:hAnsi="Arial" w:cs="Arial"/>
          <w:lang w:val="en-GB"/>
        </w:rPr>
      </w:pPr>
    </w:p>
    <w:p w14:paraId="3A290754" w14:textId="77777777" w:rsidR="00C52D14" w:rsidRPr="00C52D14" w:rsidRDefault="00C52D14" w:rsidP="00C52D14">
      <w:pPr>
        <w:rPr>
          <w:rFonts w:ascii="Arial" w:hAnsi="Arial" w:cs="Arial"/>
          <w:lang w:val="en-GB"/>
        </w:rPr>
      </w:pPr>
    </w:p>
    <w:p w14:paraId="530B028C" w14:textId="77777777" w:rsidR="00C52D14" w:rsidRPr="00C52D14" w:rsidRDefault="00C52D14" w:rsidP="00C52D14">
      <w:pPr>
        <w:rPr>
          <w:rFonts w:ascii="Arial" w:hAnsi="Arial" w:cs="Arial"/>
          <w:lang w:val="en-GB"/>
        </w:rPr>
      </w:pPr>
    </w:p>
    <w:p w14:paraId="686D9750" w14:textId="77777777" w:rsidR="00C52D14" w:rsidRPr="00C52D14" w:rsidRDefault="00C52D14" w:rsidP="00C52D14">
      <w:pPr>
        <w:rPr>
          <w:rFonts w:ascii="Arial" w:hAnsi="Arial" w:cs="Arial"/>
          <w:lang w:val="en-GB"/>
        </w:rPr>
      </w:pPr>
    </w:p>
    <w:p w14:paraId="4F52CBD3" w14:textId="77777777" w:rsidR="00C52D14" w:rsidRPr="00C52D14" w:rsidRDefault="00C52D14" w:rsidP="00C52D14">
      <w:pPr>
        <w:rPr>
          <w:rFonts w:ascii="Arial" w:hAnsi="Arial" w:cs="Arial"/>
          <w:lang w:val="en-GB"/>
        </w:rPr>
      </w:pPr>
    </w:p>
    <w:p w14:paraId="36624FD8" w14:textId="77777777" w:rsidR="00C52D14" w:rsidRPr="00C52D14" w:rsidRDefault="00C52D14" w:rsidP="00C52D14">
      <w:pPr>
        <w:rPr>
          <w:rFonts w:ascii="Arial" w:hAnsi="Arial" w:cs="Arial"/>
          <w:lang w:val="en-GB"/>
        </w:rPr>
      </w:pPr>
    </w:p>
    <w:p w14:paraId="749DE469" w14:textId="77777777" w:rsidR="00C52D14" w:rsidRPr="00C52D14" w:rsidRDefault="00C52D14" w:rsidP="00C52D14">
      <w:pPr>
        <w:rPr>
          <w:rFonts w:ascii="Arial" w:hAnsi="Arial" w:cs="Arial"/>
          <w:lang w:val="en-GB"/>
        </w:rPr>
      </w:pPr>
    </w:p>
    <w:p w14:paraId="68509344" w14:textId="77777777" w:rsidR="00C52D14" w:rsidRPr="00C52D14" w:rsidRDefault="00C52D14" w:rsidP="00C52D14">
      <w:pPr>
        <w:rPr>
          <w:rFonts w:ascii="Arial" w:hAnsi="Arial" w:cs="Arial"/>
          <w:lang w:val="en-GB"/>
        </w:rPr>
      </w:pPr>
    </w:p>
    <w:p w14:paraId="762E931B" w14:textId="77777777" w:rsidR="00C52D14" w:rsidRPr="00C52D14" w:rsidRDefault="00C52D14" w:rsidP="00C52D14">
      <w:pPr>
        <w:rPr>
          <w:rFonts w:ascii="Arial" w:hAnsi="Arial" w:cs="Arial"/>
          <w:lang w:val="en-GB"/>
        </w:rPr>
      </w:pPr>
    </w:p>
    <w:p w14:paraId="73CE793A" w14:textId="77777777" w:rsidR="00C52D14" w:rsidRPr="00C52D14" w:rsidRDefault="00C52D14" w:rsidP="00C52D14">
      <w:pPr>
        <w:rPr>
          <w:rFonts w:ascii="Arial" w:hAnsi="Arial" w:cs="Arial"/>
          <w:lang w:val="en-GB"/>
        </w:rPr>
      </w:pPr>
    </w:p>
    <w:p w14:paraId="530DA12D" w14:textId="77777777" w:rsidR="00C52D14" w:rsidRPr="00C52D14" w:rsidRDefault="00C52D14" w:rsidP="00C52D14">
      <w:pPr>
        <w:rPr>
          <w:rFonts w:ascii="Arial" w:hAnsi="Arial" w:cs="Arial"/>
          <w:lang w:val="en-GB"/>
        </w:rPr>
      </w:pPr>
    </w:p>
    <w:p w14:paraId="4CED25F8" w14:textId="77777777" w:rsidR="00C52D14" w:rsidRPr="00C52D14" w:rsidRDefault="00C52D14" w:rsidP="00C52D14">
      <w:pPr>
        <w:rPr>
          <w:rFonts w:ascii="Arial" w:hAnsi="Arial" w:cs="Arial"/>
          <w:lang w:val="en-GB"/>
        </w:rPr>
      </w:pPr>
    </w:p>
    <w:p w14:paraId="40D68724" w14:textId="77777777" w:rsidR="00C52D14" w:rsidRPr="00C52D14" w:rsidRDefault="00C52D14" w:rsidP="00C52D14">
      <w:pPr>
        <w:rPr>
          <w:rFonts w:ascii="Arial" w:hAnsi="Arial" w:cs="Arial"/>
          <w:lang w:val="en-GB"/>
        </w:rPr>
      </w:pPr>
    </w:p>
    <w:p w14:paraId="010B4713" w14:textId="77777777" w:rsidR="00C52D14" w:rsidRPr="00C52D14" w:rsidRDefault="00C52D14" w:rsidP="00C52D14">
      <w:pPr>
        <w:rPr>
          <w:rFonts w:ascii="Arial" w:hAnsi="Arial" w:cs="Arial"/>
          <w:lang w:val="en-GB"/>
        </w:rPr>
      </w:pPr>
    </w:p>
    <w:p w14:paraId="28B252F6" w14:textId="77777777" w:rsidR="00C52D14" w:rsidRPr="00C52D14" w:rsidRDefault="00C52D14" w:rsidP="00C52D14">
      <w:pPr>
        <w:rPr>
          <w:rFonts w:ascii="Arial" w:hAnsi="Arial" w:cs="Arial"/>
          <w:lang w:val="en-GB"/>
        </w:rPr>
      </w:pPr>
    </w:p>
    <w:p w14:paraId="5C255D8A" w14:textId="77777777" w:rsidR="00C52D14" w:rsidRPr="00C52D14" w:rsidRDefault="00C52D14" w:rsidP="00C52D14">
      <w:pPr>
        <w:rPr>
          <w:rFonts w:ascii="Arial" w:hAnsi="Arial" w:cs="Arial"/>
          <w:lang w:val="en-GB"/>
        </w:rPr>
      </w:pPr>
      <w:r w:rsidRPr="00C52D14">
        <w:rPr>
          <w:rFonts w:ascii="Arial" w:hAnsi="Arial" w:cs="Arial"/>
          <w:lang w:val="en-GB"/>
        </w:rPr>
        <w:t>Reference List</w:t>
      </w:r>
    </w:p>
    <w:p w14:paraId="208268FD" w14:textId="77777777" w:rsidR="00C52D14" w:rsidRPr="00C52D14" w:rsidRDefault="00C52D14" w:rsidP="00C52D14">
      <w:pPr>
        <w:rPr>
          <w:rFonts w:ascii="Arial" w:hAnsi="Arial" w:cs="Arial"/>
          <w:lang w:val="en-GB"/>
        </w:rPr>
      </w:pPr>
      <w:r w:rsidRPr="00C52D14">
        <w:rPr>
          <w:rFonts w:ascii="Arial" w:hAnsi="Arial" w:cs="Arial"/>
          <w:lang w:val="en-GB"/>
        </w:rPr>
        <w:t xml:space="preserve">Arksey, H. and O’Malley, L. (2005) ‘Scoping studies: towards a methodological framework’, </w:t>
      </w:r>
      <w:r w:rsidRPr="00C52D14">
        <w:rPr>
          <w:rFonts w:ascii="Arial" w:hAnsi="Arial" w:cs="Arial"/>
          <w:i/>
          <w:iCs/>
          <w:lang w:val="en-GB"/>
        </w:rPr>
        <w:t>International Journal of Social Research Methodology</w:t>
      </w:r>
      <w:r w:rsidRPr="00C52D14">
        <w:rPr>
          <w:rFonts w:ascii="Arial" w:hAnsi="Arial" w:cs="Arial"/>
          <w:lang w:val="en-GB"/>
        </w:rPr>
        <w:t>, 8(1), pp. 19–32.</w:t>
      </w:r>
    </w:p>
    <w:p w14:paraId="460278A4" w14:textId="77777777" w:rsidR="00C52D14" w:rsidRPr="00C52D14" w:rsidRDefault="00C52D14" w:rsidP="00C52D14">
      <w:pPr>
        <w:rPr>
          <w:rFonts w:ascii="Arial" w:hAnsi="Arial" w:cs="Arial"/>
          <w:lang w:val="en-GB"/>
        </w:rPr>
      </w:pPr>
      <w:proofErr w:type="spellStart"/>
      <w:r w:rsidRPr="00C52D14">
        <w:rPr>
          <w:rFonts w:ascii="Arial" w:hAnsi="Arial" w:cs="Arial"/>
          <w:lang w:val="en-GB"/>
        </w:rPr>
        <w:t>Bashshur</w:t>
      </w:r>
      <w:proofErr w:type="spellEnd"/>
      <w:r w:rsidRPr="00C52D14">
        <w:rPr>
          <w:rFonts w:ascii="Arial" w:hAnsi="Arial" w:cs="Arial"/>
          <w:lang w:val="en-GB"/>
        </w:rPr>
        <w:t xml:space="preserve">, R., Shannon, G., </w:t>
      </w:r>
      <w:proofErr w:type="spellStart"/>
      <w:r w:rsidRPr="00C52D14">
        <w:rPr>
          <w:rFonts w:ascii="Arial" w:hAnsi="Arial" w:cs="Arial"/>
          <w:lang w:val="en-GB"/>
        </w:rPr>
        <w:t>Bashshur</w:t>
      </w:r>
      <w:proofErr w:type="spellEnd"/>
      <w:r w:rsidRPr="00C52D14">
        <w:rPr>
          <w:rFonts w:ascii="Arial" w:hAnsi="Arial" w:cs="Arial"/>
          <w:lang w:val="en-GB"/>
        </w:rPr>
        <w:t xml:space="preserve">, N. and </w:t>
      </w:r>
      <w:proofErr w:type="spellStart"/>
      <w:r w:rsidRPr="00C52D14">
        <w:rPr>
          <w:rFonts w:ascii="Arial" w:hAnsi="Arial" w:cs="Arial"/>
          <w:lang w:val="en-GB"/>
        </w:rPr>
        <w:t>Yellowlees</w:t>
      </w:r>
      <w:proofErr w:type="spellEnd"/>
      <w:r w:rsidRPr="00C52D14">
        <w:rPr>
          <w:rFonts w:ascii="Arial" w:hAnsi="Arial" w:cs="Arial"/>
          <w:lang w:val="en-GB"/>
        </w:rPr>
        <w:t xml:space="preserve">, P. (2016) ‘The empirical foundations of telemedicine interventions’, </w:t>
      </w:r>
      <w:r w:rsidRPr="00C52D14">
        <w:rPr>
          <w:rFonts w:ascii="Arial" w:hAnsi="Arial" w:cs="Arial"/>
          <w:i/>
          <w:iCs/>
          <w:lang w:val="en-GB"/>
        </w:rPr>
        <w:t>Telemedicine and e-Health</w:t>
      </w:r>
      <w:r w:rsidRPr="00C52D14">
        <w:rPr>
          <w:rFonts w:ascii="Arial" w:hAnsi="Arial" w:cs="Arial"/>
          <w:lang w:val="en-GB"/>
        </w:rPr>
        <w:t>, 22(5), pp. 342–375.</w:t>
      </w:r>
    </w:p>
    <w:p w14:paraId="67DB1766" w14:textId="77777777" w:rsidR="00C52D14" w:rsidRPr="00C52D14" w:rsidRDefault="00C52D14" w:rsidP="00C52D14">
      <w:pPr>
        <w:rPr>
          <w:rFonts w:ascii="Arial" w:hAnsi="Arial" w:cs="Arial"/>
          <w:lang w:val="en-GB"/>
        </w:rPr>
      </w:pPr>
      <w:r w:rsidRPr="00C52D14">
        <w:rPr>
          <w:rFonts w:ascii="Arial" w:hAnsi="Arial" w:cs="Arial"/>
          <w:lang w:val="en-GB"/>
        </w:rPr>
        <w:t xml:space="preserve">Braun, V. and Clarke, V. (2006) ‘Using thematic analysis in psychology’, </w:t>
      </w:r>
      <w:r w:rsidRPr="00C52D14">
        <w:rPr>
          <w:rFonts w:ascii="Arial" w:hAnsi="Arial" w:cs="Arial"/>
          <w:i/>
          <w:iCs/>
          <w:lang w:val="en-GB"/>
        </w:rPr>
        <w:t>Qualitative Research in Psychology</w:t>
      </w:r>
      <w:r w:rsidRPr="00C52D14">
        <w:rPr>
          <w:rFonts w:ascii="Arial" w:hAnsi="Arial" w:cs="Arial"/>
          <w:lang w:val="en-GB"/>
        </w:rPr>
        <w:t>, 3(2), pp. 77–101.</w:t>
      </w:r>
    </w:p>
    <w:p w14:paraId="5B1D8C81" w14:textId="77777777" w:rsidR="00C52D14" w:rsidRPr="00C52D14" w:rsidRDefault="00C52D14" w:rsidP="00C52D14">
      <w:pPr>
        <w:rPr>
          <w:rFonts w:ascii="Arial" w:hAnsi="Arial" w:cs="Arial"/>
          <w:lang w:val="en-GB"/>
        </w:rPr>
      </w:pPr>
      <w:proofErr w:type="spellStart"/>
      <w:r w:rsidRPr="00C52D14">
        <w:rPr>
          <w:rFonts w:ascii="Arial" w:hAnsi="Arial" w:cs="Arial"/>
          <w:lang w:val="en-GB"/>
        </w:rPr>
        <w:t>Gajarawala</w:t>
      </w:r>
      <w:proofErr w:type="spellEnd"/>
      <w:r w:rsidRPr="00C52D14">
        <w:rPr>
          <w:rFonts w:ascii="Arial" w:hAnsi="Arial" w:cs="Arial"/>
          <w:lang w:val="en-GB"/>
        </w:rPr>
        <w:t xml:space="preserve">, S.N. and Pelkowski, J.N. (2021) ‘Telehealth benefits and barriers’, </w:t>
      </w:r>
      <w:r w:rsidRPr="00C52D14">
        <w:rPr>
          <w:rFonts w:ascii="Arial" w:hAnsi="Arial" w:cs="Arial"/>
          <w:i/>
          <w:iCs/>
          <w:lang w:val="en-GB"/>
        </w:rPr>
        <w:t>The Journal for Nurse Practitioners</w:t>
      </w:r>
      <w:r w:rsidRPr="00C52D14">
        <w:rPr>
          <w:rFonts w:ascii="Arial" w:hAnsi="Arial" w:cs="Arial"/>
          <w:lang w:val="en-GB"/>
        </w:rPr>
        <w:t>, 17(2), pp. 218–221.</w:t>
      </w:r>
    </w:p>
    <w:p w14:paraId="17A412A6" w14:textId="77777777" w:rsidR="00C52D14" w:rsidRPr="00C52D14" w:rsidRDefault="00C52D14" w:rsidP="00C52D14">
      <w:pPr>
        <w:rPr>
          <w:rFonts w:ascii="Arial" w:hAnsi="Arial" w:cs="Arial"/>
          <w:lang w:val="en-GB"/>
        </w:rPr>
      </w:pPr>
      <w:r w:rsidRPr="00C52D14">
        <w:rPr>
          <w:rFonts w:ascii="Arial" w:hAnsi="Arial" w:cs="Arial"/>
          <w:lang w:val="en-GB"/>
        </w:rPr>
        <w:t xml:space="preserve">Greenhalgh, T., </w:t>
      </w:r>
      <w:proofErr w:type="spellStart"/>
      <w:r w:rsidRPr="00C52D14">
        <w:rPr>
          <w:rFonts w:ascii="Arial" w:hAnsi="Arial" w:cs="Arial"/>
          <w:lang w:val="en-GB"/>
        </w:rPr>
        <w:t>Wherton</w:t>
      </w:r>
      <w:proofErr w:type="spellEnd"/>
      <w:r w:rsidRPr="00C52D14">
        <w:rPr>
          <w:rFonts w:ascii="Arial" w:hAnsi="Arial" w:cs="Arial"/>
          <w:lang w:val="en-GB"/>
        </w:rPr>
        <w:t xml:space="preserve">, J., Shaw, S. and Morrison, C. (2020) ‘Video consultations for COVID-19’, </w:t>
      </w:r>
      <w:r w:rsidRPr="00C52D14">
        <w:rPr>
          <w:rFonts w:ascii="Arial" w:hAnsi="Arial" w:cs="Arial"/>
          <w:i/>
          <w:iCs/>
          <w:lang w:val="en-GB"/>
        </w:rPr>
        <w:t>BMJ</w:t>
      </w:r>
      <w:r w:rsidRPr="00C52D14">
        <w:rPr>
          <w:rFonts w:ascii="Arial" w:hAnsi="Arial" w:cs="Arial"/>
          <w:lang w:val="en-GB"/>
        </w:rPr>
        <w:t>, 368, m998.</w:t>
      </w:r>
    </w:p>
    <w:p w14:paraId="0C6C1F5B" w14:textId="77777777" w:rsidR="00C52D14" w:rsidRPr="00C52D14" w:rsidRDefault="00C52D14" w:rsidP="00C52D14">
      <w:pPr>
        <w:rPr>
          <w:rFonts w:ascii="Arial" w:hAnsi="Arial" w:cs="Arial"/>
          <w:lang w:val="en-GB"/>
        </w:rPr>
      </w:pPr>
      <w:r w:rsidRPr="00C52D14">
        <w:rPr>
          <w:rFonts w:ascii="Arial" w:hAnsi="Arial" w:cs="Arial"/>
          <w:lang w:val="en-GB"/>
        </w:rPr>
        <w:t xml:space="preserve">Kruse, C.S., Krowski, N., Rodriguez, B., Tran, L., Vela, J. and Brooks, M. (2017) ‘Telehealth and patient satisfaction: a systematic review and narrative analysis’, </w:t>
      </w:r>
      <w:r w:rsidRPr="00C52D14">
        <w:rPr>
          <w:rFonts w:ascii="Arial" w:hAnsi="Arial" w:cs="Arial"/>
          <w:i/>
          <w:iCs/>
          <w:lang w:val="en-GB"/>
        </w:rPr>
        <w:t>BMJ Open</w:t>
      </w:r>
      <w:r w:rsidRPr="00C52D14">
        <w:rPr>
          <w:rFonts w:ascii="Arial" w:hAnsi="Arial" w:cs="Arial"/>
          <w:lang w:val="en-GB"/>
        </w:rPr>
        <w:t>, 7(8), e016242.</w:t>
      </w:r>
    </w:p>
    <w:p w14:paraId="2AFBB09D" w14:textId="77777777" w:rsidR="00C52D14" w:rsidRPr="00C52D14" w:rsidRDefault="00C52D14" w:rsidP="00C52D14">
      <w:pPr>
        <w:rPr>
          <w:rFonts w:ascii="Arial" w:hAnsi="Arial" w:cs="Arial"/>
          <w:lang w:val="en-GB"/>
        </w:rPr>
      </w:pPr>
      <w:r w:rsidRPr="00C52D14">
        <w:rPr>
          <w:rFonts w:ascii="Arial" w:hAnsi="Arial" w:cs="Arial"/>
          <w:lang w:val="en-GB"/>
        </w:rPr>
        <w:t xml:space="preserve">Murphy, M., Scott, L.J., Salisbury, C., Turner, A., Scott, A., Denholm, R. and Lewis, R. (2021) ‘Implementation of remote consulting in UK primary care following the COVID-19 pandemic’, </w:t>
      </w:r>
      <w:r w:rsidRPr="00C52D14">
        <w:rPr>
          <w:rFonts w:ascii="Arial" w:hAnsi="Arial" w:cs="Arial"/>
          <w:i/>
          <w:iCs/>
          <w:lang w:val="en-GB"/>
        </w:rPr>
        <w:t>British Journal of General Practice</w:t>
      </w:r>
      <w:r w:rsidRPr="00C52D14">
        <w:rPr>
          <w:rFonts w:ascii="Arial" w:hAnsi="Arial" w:cs="Arial"/>
          <w:lang w:val="en-GB"/>
        </w:rPr>
        <w:t>, 71(704), pp. e166–e177.</w:t>
      </w:r>
    </w:p>
    <w:p w14:paraId="14B3469D" w14:textId="77777777" w:rsidR="00C52D14" w:rsidRPr="00C52D14" w:rsidRDefault="00C52D14" w:rsidP="00C52D14">
      <w:pPr>
        <w:rPr>
          <w:rFonts w:ascii="Arial" w:hAnsi="Arial" w:cs="Arial"/>
          <w:lang w:val="en-GB"/>
        </w:rPr>
      </w:pPr>
      <w:r w:rsidRPr="00C52D14">
        <w:rPr>
          <w:rFonts w:ascii="Arial" w:hAnsi="Arial" w:cs="Arial"/>
          <w:lang w:val="en-GB"/>
        </w:rPr>
        <w:t xml:space="preserve">NHS England (2019) </w:t>
      </w:r>
      <w:r w:rsidRPr="00C52D14">
        <w:rPr>
          <w:rFonts w:ascii="Arial" w:hAnsi="Arial" w:cs="Arial"/>
          <w:i/>
          <w:iCs/>
          <w:lang w:val="en-GB"/>
        </w:rPr>
        <w:t>The NHS Long Term Plan</w:t>
      </w:r>
      <w:r w:rsidRPr="00C52D14">
        <w:rPr>
          <w:rFonts w:ascii="Arial" w:hAnsi="Arial" w:cs="Arial"/>
          <w:lang w:val="en-GB"/>
        </w:rPr>
        <w:t xml:space="preserve">. Available at: </w:t>
      </w:r>
      <w:hyperlink r:id="rId8" w:tgtFrame="_new" w:history="1">
        <w:r w:rsidRPr="00C52D14">
          <w:rPr>
            <w:rStyle w:val="Hyperlink"/>
            <w:rFonts w:ascii="Arial" w:hAnsi="Arial" w:cs="Arial"/>
            <w:lang w:val="en-GB"/>
          </w:rPr>
          <w:t>https://www.longtermplan.nhs.uk</w:t>
        </w:r>
      </w:hyperlink>
      <w:r w:rsidRPr="00C52D14">
        <w:rPr>
          <w:rFonts w:ascii="Arial" w:hAnsi="Arial" w:cs="Arial"/>
          <w:lang w:val="en-GB"/>
        </w:rPr>
        <w:t xml:space="preserve"> (Accessed: 21 March 2026).</w:t>
      </w:r>
    </w:p>
    <w:p w14:paraId="3CA8A4C4" w14:textId="77777777" w:rsidR="00C52D14" w:rsidRPr="00C52D14" w:rsidRDefault="00C52D14" w:rsidP="00C52D14">
      <w:pPr>
        <w:rPr>
          <w:rFonts w:ascii="Arial" w:hAnsi="Arial" w:cs="Arial"/>
          <w:lang w:val="en-GB"/>
        </w:rPr>
      </w:pPr>
      <w:r w:rsidRPr="00C52D14">
        <w:rPr>
          <w:rFonts w:ascii="Arial" w:hAnsi="Arial" w:cs="Arial"/>
          <w:lang w:val="en-GB"/>
        </w:rPr>
        <w:t xml:space="preserve">NHS England (2020) </w:t>
      </w:r>
      <w:r w:rsidRPr="00C52D14">
        <w:rPr>
          <w:rFonts w:ascii="Arial" w:hAnsi="Arial" w:cs="Arial"/>
          <w:i/>
          <w:iCs/>
          <w:lang w:val="en-GB"/>
        </w:rPr>
        <w:t>COVID-19 Digital Response</w:t>
      </w:r>
      <w:r w:rsidRPr="00C52D14">
        <w:rPr>
          <w:rFonts w:ascii="Arial" w:hAnsi="Arial" w:cs="Arial"/>
          <w:lang w:val="en-GB"/>
        </w:rPr>
        <w:t xml:space="preserve">. Available at: </w:t>
      </w:r>
      <w:hyperlink r:id="rId9" w:tgtFrame="_new" w:history="1">
        <w:r w:rsidRPr="00C52D14">
          <w:rPr>
            <w:rStyle w:val="Hyperlink"/>
            <w:rFonts w:ascii="Arial" w:hAnsi="Arial" w:cs="Arial"/>
            <w:lang w:val="en-GB"/>
          </w:rPr>
          <w:t>https://www.england.nhs.uk</w:t>
        </w:r>
      </w:hyperlink>
      <w:r w:rsidRPr="00C52D14">
        <w:rPr>
          <w:rFonts w:ascii="Arial" w:hAnsi="Arial" w:cs="Arial"/>
          <w:lang w:val="en-GB"/>
        </w:rPr>
        <w:t xml:space="preserve"> (Accessed: 21 March 2026).</w:t>
      </w:r>
    </w:p>
    <w:p w14:paraId="2CC5C1BB" w14:textId="77777777" w:rsidR="00C52D14" w:rsidRPr="00C52D14" w:rsidRDefault="00C52D14" w:rsidP="00C52D14">
      <w:pPr>
        <w:rPr>
          <w:rFonts w:ascii="Arial" w:hAnsi="Arial" w:cs="Arial"/>
          <w:lang w:val="en-GB"/>
        </w:rPr>
      </w:pPr>
      <w:r w:rsidRPr="00C52D14">
        <w:rPr>
          <w:rFonts w:ascii="Arial" w:hAnsi="Arial" w:cs="Arial"/>
          <w:lang w:val="en-GB"/>
        </w:rPr>
        <w:t xml:space="preserve">NHS England (2022) </w:t>
      </w:r>
      <w:r w:rsidRPr="00C52D14">
        <w:rPr>
          <w:rFonts w:ascii="Arial" w:hAnsi="Arial" w:cs="Arial"/>
          <w:i/>
          <w:iCs/>
          <w:lang w:val="en-GB"/>
        </w:rPr>
        <w:t>What is Telehealth?</w:t>
      </w:r>
      <w:r w:rsidRPr="00C52D14">
        <w:rPr>
          <w:rFonts w:ascii="Arial" w:hAnsi="Arial" w:cs="Arial"/>
          <w:lang w:val="en-GB"/>
        </w:rPr>
        <w:t xml:space="preserve"> Available at: </w:t>
      </w:r>
      <w:hyperlink r:id="rId10" w:tgtFrame="_new" w:history="1">
        <w:r w:rsidRPr="00C52D14">
          <w:rPr>
            <w:rStyle w:val="Hyperlink"/>
            <w:rFonts w:ascii="Arial" w:hAnsi="Arial" w:cs="Arial"/>
            <w:lang w:val="en-GB"/>
          </w:rPr>
          <w:t>https://www.england.nhs.uk</w:t>
        </w:r>
      </w:hyperlink>
      <w:r w:rsidRPr="00C52D14">
        <w:rPr>
          <w:rFonts w:ascii="Arial" w:hAnsi="Arial" w:cs="Arial"/>
          <w:lang w:val="en-GB"/>
        </w:rPr>
        <w:t xml:space="preserve"> (Accessed: 21 March 2026).</w:t>
      </w:r>
    </w:p>
    <w:p w14:paraId="39A5E432" w14:textId="77777777" w:rsidR="00C52D14" w:rsidRPr="00C52D14" w:rsidRDefault="00C52D14" w:rsidP="00C52D14">
      <w:pPr>
        <w:rPr>
          <w:rFonts w:ascii="Arial" w:hAnsi="Arial" w:cs="Arial"/>
          <w:lang w:val="en-GB"/>
        </w:rPr>
      </w:pPr>
      <w:r w:rsidRPr="00C52D14">
        <w:rPr>
          <w:rFonts w:ascii="Arial" w:hAnsi="Arial" w:cs="Arial"/>
          <w:lang w:val="en-GB"/>
        </w:rPr>
        <w:t xml:space="preserve">Nuffield Trust (2022) </w:t>
      </w:r>
      <w:r w:rsidRPr="00C52D14">
        <w:rPr>
          <w:rFonts w:ascii="Arial" w:hAnsi="Arial" w:cs="Arial"/>
          <w:i/>
          <w:iCs/>
          <w:lang w:val="en-GB"/>
        </w:rPr>
        <w:t>Digital health and care in the NHS</w:t>
      </w:r>
      <w:r w:rsidRPr="00C52D14">
        <w:rPr>
          <w:rFonts w:ascii="Arial" w:hAnsi="Arial" w:cs="Arial"/>
          <w:lang w:val="en-GB"/>
        </w:rPr>
        <w:t xml:space="preserve">. Available at: </w:t>
      </w:r>
      <w:hyperlink r:id="rId11" w:tgtFrame="_new" w:history="1">
        <w:r w:rsidRPr="00C52D14">
          <w:rPr>
            <w:rStyle w:val="Hyperlink"/>
            <w:rFonts w:ascii="Arial" w:hAnsi="Arial" w:cs="Arial"/>
            <w:lang w:val="en-GB"/>
          </w:rPr>
          <w:t>https://www.nuffieldtrust.org.uk</w:t>
        </w:r>
      </w:hyperlink>
      <w:r w:rsidRPr="00C52D14">
        <w:rPr>
          <w:rFonts w:ascii="Arial" w:hAnsi="Arial" w:cs="Arial"/>
          <w:lang w:val="en-GB"/>
        </w:rPr>
        <w:t xml:space="preserve"> (Accessed: 20 March 2026).</w:t>
      </w:r>
    </w:p>
    <w:p w14:paraId="2C303406" w14:textId="77777777" w:rsidR="00C52D14" w:rsidRPr="00C52D14" w:rsidRDefault="00C52D14" w:rsidP="00C52D14">
      <w:pPr>
        <w:rPr>
          <w:rFonts w:ascii="Arial" w:hAnsi="Arial" w:cs="Arial"/>
          <w:lang w:val="en-GB"/>
        </w:rPr>
      </w:pPr>
      <w:r w:rsidRPr="00C52D14">
        <w:rPr>
          <w:rFonts w:ascii="Arial" w:hAnsi="Arial" w:cs="Arial"/>
          <w:lang w:val="en-GB"/>
        </w:rPr>
        <w:t xml:space="preserve">Office for National Statistics (2021) </w:t>
      </w:r>
      <w:r w:rsidRPr="00C52D14">
        <w:rPr>
          <w:rFonts w:ascii="Arial" w:hAnsi="Arial" w:cs="Arial"/>
          <w:i/>
          <w:iCs/>
          <w:lang w:val="en-GB"/>
        </w:rPr>
        <w:t>Internet access and digital inclusion in the UK</w:t>
      </w:r>
      <w:r w:rsidRPr="00C52D14">
        <w:rPr>
          <w:rFonts w:ascii="Arial" w:hAnsi="Arial" w:cs="Arial"/>
          <w:lang w:val="en-GB"/>
        </w:rPr>
        <w:t xml:space="preserve">. Available at: </w:t>
      </w:r>
      <w:hyperlink r:id="rId12" w:tgtFrame="_new" w:history="1">
        <w:r w:rsidRPr="00C52D14">
          <w:rPr>
            <w:rStyle w:val="Hyperlink"/>
            <w:rFonts w:ascii="Arial" w:hAnsi="Arial" w:cs="Arial"/>
            <w:lang w:val="en-GB"/>
          </w:rPr>
          <w:t>https://www.ons.gov.uk</w:t>
        </w:r>
      </w:hyperlink>
      <w:r w:rsidRPr="00C52D14">
        <w:rPr>
          <w:rFonts w:ascii="Arial" w:hAnsi="Arial" w:cs="Arial"/>
          <w:lang w:val="en-GB"/>
        </w:rPr>
        <w:t xml:space="preserve"> (Accessed: 20 March 2026).</w:t>
      </w:r>
    </w:p>
    <w:p w14:paraId="50488632" w14:textId="77777777" w:rsidR="00C52D14" w:rsidRPr="00C52D14" w:rsidRDefault="00C52D14" w:rsidP="00C52D14">
      <w:pPr>
        <w:rPr>
          <w:rFonts w:ascii="Arial" w:hAnsi="Arial" w:cs="Arial"/>
          <w:lang w:val="en-GB"/>
        </w:rPr>
      </w:pPr>
      <w:r w:rsidRPr="00C52D14">
        <w:rPr>
          <w:rFonts w:ascii="Arial" w:hAnsi="Arial" w:cs="Arial"/>
          <w:lang w:val="en-GB"/>
        </w:rPr>
        <w:t xml:space="preserve">Penchansky, R. and Thomas, J.W. (1981) ‘The concept of access: definition and relationship to consumer satisfaction’, </w:t>
      </w:r>
      <w:r w:rsidRPr="00C52D14">
        <w:rPr>
          <w:rFonts w:ascii="Arial" w:hAnsi="Arial" w:cs="Arial"/>
          <w:i/>
          <w:iCs/>
          <w:lang w:val="en-GB"/>
        </w:rPr>
        <w:t>Medical Care</w:t>
      </w:r>
      <w:r w:rsidRPr="00C52D14">
        <w:rPr>
          <w:rFonts w:ascii="Arial" w:hAnsi="Arial" w:cs="Arial"/>
          <w:lang w:val="en-GB"/>
        </w:rPr>
        <w:t>, 19(2), pp. 127–140.</w:t>
      </w:r>
    </w:p>
    <w:p w14:paraId="095118F7" w14:textId="77777777" w:rsidR="00C52D14" w:rsidRPr="00C52D14" w:rsidRDefault="00C52D14" w:rsidP="00C52D14">
      <w:pPr>
        <w:rPr>
          <w:rFonts w:ascii="Arial" w:hAnsi="Arial" w:cs="Arial"/>
          <w:lang w:val="en-GB"/>
        </w:rPr>
      </w:pPr>
      <w:r w:rsidRPr="00C52D14">
        <w:rPr>
          <w:rFonts w:ascii="Arial" w:hAnsi="Arial" w:cs="Arial"/>
          <w:lang w:val="en-GB"/>
        </w:rPr>
        <w:t xml:space="preserve">Roberts, E.T. and Mehrotra, A. (2020) ‘Assessment of disparities in digital access among Medicare beneficiaries’, </w:t>
      </w:r>
      <w:r w:rsidRPr="00C52D14">
        <w:rPr>
          <w:rFonts w:ascii="Arial" w:hAnsi="Arial" w:cs="Arial"/>
          <w:i/>
          <w:iCs/>
          <w:lang w:val="en-GB"/>
        </w:rPr>
        <w:t>JAMA Internal Medicine</w:t>
      </w:r>
      <w:r w:rsidRPr="00C52D14">
        <w:rPr>
          <w:rFonts w:ascii="Arial" w:hAnsi="Arial" w:cs="Arial"/>
          <w:lang w:val="en-GB"/>
        </w:rPr>
        <w:t>, 180(10), pp. 1386–1388.</w:t>
      </w:r>
    </w:p>
    <w:p w14:paraId="07376552" w14:textId="77777777" w:rsidR="00C52D14" w:rsidRPr="00C52D14" w:rsidRDefault="00C52D14" w:rsidP="00C52D14">
      <w:pPr>
        <w:rPr>
          <w:rFonts w:ascii="Arial" w:hAnsi="Arial" w:cs="Arial"/>
          <w:lang w:val="en-GB"/>
        </w:rPr>
      </w:pPr>
      <w:r w:rsidRPr="00C52D14">
        <w:rPr>
          <w:rFonts w:ascii="Arial" w:hAnsi="Arial" w:cs="Arial"/>
          <w:lang w:val="en-GB"/>
        </w:rPr>
        <w:t xml:space="preserve">Shaw, S.E., Seuren, L.M., </w:t>
      </w:r>
      <w:proofErr w:type="spellStart"/>
      <w:r w:rsidRPr="00C52D14">
        <w:rPr>
          <w:rFonts w:ascii="Arial" w:hAnsi="Arial" w:cs="Arial"/>
          <w:lang w:val="en-GB"/>
        </w:rPr>
        <w:t>Wherton</w:t>
      </w:r>
      <w:proofErr w:type="spellEnd"/>
      <w:r w:rsidRPr="00C52D14">
        <w:rPr>
          <w:rFonts w:ascii="Arial" w:hAnsi="Arial" w:cs="Arial"/>
          <w:lang w:val="en-GB"/>
        </w:rPr>
        <w:t xml:space="preserve">, J., Cameron, D., A’Court, C., Vijayaraghavan, S., Morris, J., Bhattacharya, S. and Greenhalgh, T. (2021) ‘Video consultations between patients and clinicians in healthcare services’, </w:t>
      </w:r>
      <w:r w:rsidRPr="00C52D14">
        <w:rPr>
          <w:rFonts w:ascii="Arial" w:hAnsi="Arial" w:cs="Arial"/>
          <w:i/>
          <w:iCs/>
          <w:lang w:val="en-GB"/>
        </w:rPr>
        <w:t>Journal of Health Services Research &amp; Policy</w:t>
      </w:r>
      <w:r w:rsidRPr="00C52D14">
        <w:rPr>
          <w:rFonts w:ascii="Arial" w:hAnsi="Arial" w:cs="Arial"/>
          <w:lang w:val="en-GB"/>
        </w:rPr>
        <w:t>, 26(2), pp. 93–100.</w:t>
      </w:r>
    </w:p>
    <w:p w14:paraId="7336A6FE" w14:textId="77777777" w:rsidR="00C52D14" w:rsidRPr="00C52D14" w:rsidRDefault="00C52D14" w:rsidP="00C52D14">
      <w:pPr>
        <w:rPr>
          <w:rFonts w:ascii="Arial" w:hAnsi="Arial" w:cs="Arial"/>
          <w:lang w:val="en-GB"/>
        </w:rPr>
      </w:pPr>
      <w:r w:rsidRPr="00C52D14">
        <w:rPr>
          <w:rFonts w:ascii="Arial" w:hAnsi="Arial" w:cs="Arial"/>
          <w:lang w:val="en-GB"/>
        </w:rPr>
        <w:t xml:space="preserve">The King’s Fund (2021) </w:t>
      </w:r>
      <w:r w:rsidRPr="00C52D14">
        <w:rPr>
          <w:rFonts w:ascii="Arial" w:hAnsi="Arial" w:cs="Arial"/>
          <w:i/>
          <w:iCs/>
          <w:lang w:val="en-GB"/>
        </w:rPr>
        <w:t>Access to healthcare in England</w:t>
      </w:r>
      <w:r w:rsidRPr="00C52D14">
        <w:rPr>
          <w:rFonts w:ascii="Arial" w:hAnsi="Arial" w:cs="Arial"/>
          <w:lang w:val="en-GB"/>
        </w:rPr>
        <w:t xml:space="preserve">. Available at: </w:t>
      </w:r>
      <w:hyperlink r:id="rId13" w:tgtFrame="_new" w:history="1">
        <w:r w:rsidRPr="00C52D14">
          <w:rPr>
            <w:rStyle w:val="Hyperlink"/>
            <w:rFonts w:ascii="Arial" w:hAnsi="Arial" w:cs="Arial"/>
            <w:lang w:val="en-GB"/>
          </w:rPr>
          <w:t>https://www.kingsfund.org.uk</w:t>
        </w:r>
      </w:hyperlink>
      <w:r w:rsidRPr="00C52D14">
        <w:rPr>
          <w:rFonts w:ascii="Arial" w:hAnsi="Arial" w:cs="Arial"/>
          <w:lang w:val="en-GB"/>
        </w:rPr>
        <w:t xml:space="preserve"> (Accessed: 21 March 2026).</w:t>
      </w:r>
    </w:p>
    <w:p w14:paraId="12B164EC" w14:textId="77777777" w:rsidR="00C52D14" w:rsidRPr="00C52D14" w:rsidRDefault="00C52D14" w:rsidP="00C52D14">
      <w:pPr>
        <w:rPr>
          <w:rFonts w:ascii="Arial" w:hAnsi="Arial" w:cs="Arial"/>
          <w:lang w:val="en-GB"/>
        </w:rPr>
      </w:pPr>
      <w:r w:rsidRPr="00C52D14">
        <w:rPr>
          <w:rFonts w:ascii="Arial" w:hAnsi="Arial" w:cs="Arial"/>
          <w:lang w:val="en-GB"/>
        </w:rPr>
        <w:t xml:space="preserve">The King’s Fund (2022) </w:t>
      </w:r>
      <w:r w:rsidRPr="00C52D14">
        <w:rPr>
          <w:rFonts w:ascii="Arial" w:hAnsi="Arial" w:cs="Arial"/>
          <w:i/>
          <w:iCs/>
          <w:lang w:val="en-GB"/>
        </w:rPr>
        <w:t>NHS workforce pressures</w:t>
      </w:r>
      <w:r w:rsidRPr="00C52D14">
        <w:rPr>
          <w:rFonts w:ascii="Arial" w:hAnsi="Arial" w:cs="Arial"/>
          <w:lang w:val="en-GB"/>
        </w:rPr>
        <w:t xml:space="preserve">. Available at: </w:t>
      </w:r>
      <w:hyperlink r:id="rId14" w:tgtFrame="_new" w:history="1">
        <w:r w:rsidRPr="00C52D14">
          <w:rPr>
            <w:rStyle w:val="Hyperlink"/>
            <w:rFonts w:ascii="Arial" w:hAnsi="Arial" w:cs="Arial"/>
            <w:lang w:val="en-GB"/>
          </w:rPr>
          <w:t>https://www.kingsfund.org.uk</w:t>
        </w:r>
      </w:hyperlink>
      <w:r w:rsidRPr="00C52D14">
        <w:rPr>
          <w:rFonts w:ascii="Arial" w:hAnsi="Arial" w:cs="Arial"/>
          <w:lang w:val="en-GB"/>
        </w:rPr>
        <w:t xml:space="preserve"> (Accessed: 21 March 2026).</w:t>
      </w:r>
    </w:p>
    <w:p w14:paraId="3A7974F2" w14:textId="77777777" w:rsidR="00C52D14" w:rsidRPr="00C52D14" w:rsidRDefault="00C52D14" w:rsidP="00C52D14">
      <w:pPr>
        <w:rPr>
          <w:rFonts w:ascii="Arial" w:hAnsi="Arial" w:cs="Arial"/>
          <w:lang w:val="en-GB"/>
        </w:rPr>
      </w:pPr>
      <w:r w:rsidRPr="00C52D14">
        <w:rPr>
          <w:rFonts w:ascii="Arial" w:hAnsi="Arial" w:cs="Arial"/>
          <w:lang w:val="en-GB"/>
        </w:rPr>
        <w:t xml:space="preserve">Watts, G. (2020) ‘COVID-19 and digital health inequalities’, </w:t>
      </w:r>
      <w:r w:rsidRPr="00C52D14">
        <w:rPr>
          <w:rFonts w:ascii="Arial" w:hAnsi="Arial" w:cs="Arial"/>
          <w:i/>
          <w:iCs/>
          <w:lang w:val="en-GB"/>
        </w:rPr>
        <w:t>The Lancet Digital Health</w:t>
      </w:r>
      <w:r w:rsidRPr="00C52D14">
        <w:rPr>
          <w:rFonts w:ascii="Arial" w:hAnsi="Arial" w:cs="Arial"/>
          <w:lang w:val="en-GB"/>
        </w:rPr>
        <w:t>, 2(8), pp. e395–e396.</w:t>
      </w:r>
    </w:p>
    <w:p w14:paraId="60883F21" w14:textId="77777777" w:rsidR="00C52D14" w:rsidRPr="00C52D14" w:rsidRDefault="00C52D14" w:rsidP="00C52D14">
      <w:pPr>
        <w:rPr>
          <w:rFonts w:ascii="Arial" w:hAnsi="Arial" w:cs="Arial"/>
          <w:lang w:val="en-GB"/>
        </w:rPr>
      </w:pPr>
      <w:r w:rsidRPr="00C52D14">
        <w:rPr>
          <w:rFonts w:ascii="Arial" w:hAnsi="Arial" w:cs="Arial"/>
          <w:lang w:val="en-GB"/>
        </w:rPr>
        <w:t xml:space="preserve">World Health Organisation (2020) </w:t>
      </w:r>
      <w:r w:rsidRPr="00C52D14">
        <w:rPr>
          <w:rFonts w:ascii="Arial" w:hAnsi="Arial" w:cs="Arial"/>
          <w:i/>
          <w:iCs/>
          <w:lang w:val="en-GB"/>
        </w:rPr>
        <w:t>Telemedicine: Opportunities and developments in Member States</w:t>
      </w:r>
      <w:r w:rsidRPr="00C52D14">
        <w:rPr>
          <w:rFonts w:ascii="Arial" w:hAnsi="Arial" w:cs="Arial"/>
          <w:lang w:val="en-GB"/>
        </w:rPr>
        <w:t xml:space="preserve">. Available at: </w:t>
      </w:r>
      <w:hyperlink r:id="rId15" w:tgtFrame="_new" w:history="1">
        <w:r w:rsidRPr="00C52D14">
          <w:rPr>
            <w:rStyle w:val="Hyperlink"/>
            <w:rFonts w:ascii="Arial" w:hAnsi="Arial" w:cs="Arial"/>
            <w:lang w:val="en-GB"/>
          </w:rPr>
          <w:t>https://www.who.int</w:t>
        </w:r>
      </w:hyperlink>
      <w:r w:rsidRPr="00C52D14">
        <w:rPr>
          <w:rFonts w:ascii="Arial" w:hAnsi="Arial" w:cs="Arial"/>
          <w:lang w:val="en-GB"/>
        </w:rPr>
        <w:t xml:space="preserve"> (Accessed: 21 March 2026).</w:t>
      </w:r>
    </w:p>
    <w:p w14:paraId="26541BA7" w14:textId="77777777" w:rsidR="000A5716" w:rsidRPr="00C52D14" w:rsidRDefault="000A5716" w:rsidP="00C52D14">
      <w:pPr>
        <w:rPr>
          <w:rFonts w:ascii="Arial" w:hAnsi="Arial" w:cs="Arial"/>
        </w:rPr>
      </w:pPr>
    </w:p>
    <w:p w14:paraId="358F7C68" w14:textId="77777777" w:rsidR="00371CD0" w:rsidRPr="00C52D14" w:rsidRDefault="00371CD0" w:rsidP="00C52D14">
      <w:pPr>
        <w:rPr>
          <w:rFonts w:ascii="Arial" w:hAnsi="Arial" w:cs="Arial"/>
        </w:rPr>
      </w:pPr>
    </w:p>
    <w:sectPr w:rsidR="00371CD0" w:rsidRPr="00C52D14">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163941" w14:textId="77777777" w:rsidR="003C3E8F" w:rsidRDefault="003C3E8F" w:rsidP="00902019">
      <w:pPr>
        <w:spacing w:after="0" w:line="240" w:lineRule="auto"/>
      </w:pPr>
      <w:r>
        <w:separator/>
      </w:r>
    </w:p>
  </w:endnote>
  <w:endnote w:type="continuationSeparator" w:id="0">
    <w:p w14:paraId="658D0399" w14:textId="77777777" w:rsidR="003C3E8F" w:rsidRDefault="003C3E8F" w:rsidP="00902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121555"/>
      <w:docPartObj>
        <w:docPartGallery w:val="Page Numbers (Bottom of Page)"/>
        <w:docPartUnique/>
      </w:docPartObj>
    </w:sdtPr>
    <w:sdtEndPr>
      <w:rPr>
        <w:noProof/>
      </w:rPr>
    </w:sdtEndPr>
    <w:sdtContent>
      <w:p w14:paraId="23E36C5D" w14:textId="2AC6F8EF" w:rsidR="00902019" w:rsidRDefault="009020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193647" w14:textId="77777777" w:rsidR="00902019" w:rsidRDefault="009020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F0841" w14:textId="77777777" w:rsidR="003C3E8F" w:rsidRDefault="003C3E8F" w:rsidP="00902019">
      <w:pPr>
        <w:spacing w:after="0" w:line="240" w:lineRule="auto"/>
      </w:pPr>
      <w:r>
        <w:separator/>
      </w:r>
    </w:p>
  </w:footnote>
  <w:footnote w:type="continuationSeparator" w:id="0">
    <w:p w14:paraId="179500C6" w14:textId="77777777" w:rsidR="003C3E8F" w:rsidRDefault="003C3E8F" w:rsidP="009020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296344"/>
    <w:multiLevelType w:val="multilevel"/>
    <w:tmpl w:val="C1902D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2D14AA"/>
    <w:multiLevelType w:val="multilevel"/>
    <w:tmpl w:val="CC36E9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6F6FD9"/>
    <w:multiLevelType w:val="multilevel"/>
    <w:tmpl w:val="4AE822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930314237">
    <w:abstractNumId w:val="2"/>
    <w:lvlOverride w:ilvl="0"/>
    <w:lvlOverride w:ilvl="1"/>
    <w:lvlOverride w:ilvl="2"/>
    <w:lvlOverride w:ilvl="3"/>
    <w:lvlOverride w:ilvl="4"/>
    <w:lvlOverride w:ilvl="5"/>
    <w:lvlOverride w:ilvl="6"/>
    <w:lvlOverride w:ilvl="7"/>
    <w:lvlOverride w:ilvl="8"/>
  </w:num>
  <w:num w:numId="2" w16cid:durableId="1422147005">
    <w:abstractNumId w:val="0"/>
    <w:lvlOverride w:ilvl="0"/>
    <w:lvlOverride w:ilvl="1"/>
    <w:lvlOverride w:ilvl="2"/>
    <w:lvlOverride w:ilvl="3"/>
    <w:lvlOverride w:ilvl="4"/>
    <w:lvlOverride w:ilvl="5"/>
    <w:lvlOverride w:ilvl="6"/>
    <w:lvlOverride w:ilvl="7"/>
    <w:lvlOverride w:ilvl="8"/>
  </w:num>
  <w:num w:numId="3" w16cid:durableId="2059740004">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716"/>
    <w:rsid w:val="000A5716"/>
    <w:rsid w:val="001B5CEE"/>
    <w:rsid w:val="00371CD0"/>
    <w:rsid w:val="00374BE3"/>
    <w:rsid w:val="003C3E8F"/>
    <w:rsid w:val="00902019"/>
    <w:rsid w:val="00A61CBC"/>
    <w:rsid w:val="00BA2D9D"/>
    <w:rsid w:val="00C52D14"/>
    <w:rsid w:val="00F226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236D1"/>
  <w15:chartTrackingRefBased/>
  <w15:docId w15:val="{1FE824EF-19FF-4A67-B625-C53C1D9B7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716"/>
    <w:pPr>
      <w:spacing w:line="259" w:lineRule="auto"/>
    </w:pPr>
    <w:rPr>
      <w:sz w:val="22"/>
      <w:szCs w:val="22"/>
    </w:rPr>
  </w:style>
  <w:style w:type="paragraph" w:styleId="Heading1">
    <w:name w:val="heading 1"/>
    <w:basedOn w:val="Normal"/>
    <w:next w:val="Normal"/>
    <w:link w:val="Heading1Char"/>
    <w:uiPriority w:val="9"/>
    <w:qFormat/>
    <w:rsid w:val="000A57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7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7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7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7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7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7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7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7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7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7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7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7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7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7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7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7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716"/>
    <w:rPr>
      <w:rFonts w:eastAsiaTheme="majorEastAsia" w:cstheme="majorBidi"/>
      <w:color w:val="272727" w:themeColor="text1" w:themeTint="D8"/>
    </w:rPr>
  </w:style>
  <w:style w:type="paragraph" w:styleId="Title">
    <w:name w:val="Title"/>
    <w:basedOn w:val="Normal"/>
    <w:next w:val="Normal"/>
    <w:link w:val="TitleChar"/>
    <w:uiPriority w:val="10"/>
    <w:qFormat/>
    <w:rsid w:val="000A57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7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7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7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716"/>
    <w:pPr>
      <w:spacing w:before="160"/>
      <w:jc w:val="center"/>
    </w:pPr>
    <w:rPr>
      <w:i/>
      <w:iCs/>
      <w:color w:val="404040" w:themeColor="text1" w:themeTint="BF"/>
    </w:rPr>
  </w:style>
  <w:style w:type="character" w:customStyle="1" w:styleId="QuoteChar">
    <w:name w:val="Quote Char"/>
    <w:basedOn w:val="DefaultParagraphFont"/>
    <w:link w:val="Quote"/>
    <w:uiPriority w:val="29"/>
    <w:rsid w:val="000A5716"/>
    <w:rPr>
      <w:i/>
      <w:iCs/>
      <w:color w:val="404040" w:themeColor="text1" w:themeTint="BF"/>
    </w:rPr>
  </w:style>
  <w:style w:type="paragraph" w:styleId="ListParagraph">
    <w:name w:val="List Paragraph"/>
    <w:basedOn w:val="Normal"/>
    <w:uiPriority w:val="34"/>
    <w:qFormat/>
    <w:rsid w:val="000A5716"/>
    <w:pPr>
      <w:ind w:left="720"/>
      <w:contextualSpacing/>
    </w:pPr>
  </w:style>
  <w:style w:type="character" w:styleId="IntenseEmphasis">
    <w:name w:val="Intense Emphasis"/>
    <w:basedOn w:val="DefaultParagraphFont"/>
    <w:uiPriority w:val="21"/>
    <w:qFormat/>
    <w:rsid w:val="000A5716"/>
    <w:rPr>
      <w:i/>
      <w:iCs/>
      <w:color w:val="0F4761" w:themeColor="accent1" w:themeShade="BF"/>
    </w:rPr>
  </w:style>
  <w:style w:type="paragraph" w:styleId="IntenseQuote">
    <w:name w:val="Intense Quote"/>
    <w:basedOn w:val="Normal"/>
    <w:next w:val="Normal"/>
    <w:link w:val="IntenseQuoteChar"/>
    <w:uiPriority w:val="30"/>
    <w:qFormat/>
    <w:rsid w:val="000A57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716"/>
    <w:rPr>
      <w:i/>
      <w:iCs/>
      <w:color w:val="0F4761" w:themeColor="accent1" w:themeShade="BF"/>
    </w:rPr>
  </w:style>
  <w:style w:type="character" w:styleId="IntenseReference">
    <w:name w:val="Intense Reference"/>
    <w:basedOn w:val="DefaultParagraphFont"/>
    <w:uiPriority w:val="32"/>
    <w:qFormat/>
    <w:rsid w:val="000A5716"/>
    <w:rPr>
      <w:b/>
      <w:bCs/>
      <w:smallCaps/>
      <w:color w:val="0F4761" w:themeColor="accent1" w:themeShade="BF"/>
      <w:spacing w:val="5"/>
    </w:rPr>
  </w:style>
  <w:style w:type="character" w:styleId="Hyperlink">
    <w:name w:val="Hyperlink"/>
    <w:basedOn w:val="DefaultParagraphFont"/>
    <w:uiPriority w:val="99"/>
    <w:unhideWhenUsed/>
    <w:rsid w:val="00C52D14"/>
    <w:rPr>
      <w:color w:val="467886" w:themeColor="hyperlink"/>
      <w:u w:val="single"/>
    </w:rPr>
  </w:style>
  <w:style w:type="character" w:styleId="UnresolvedMention">
    <w:name w:val="Unresolved Mention"/>
    <w:basedOn w:val="DefaultParagraphFont"/>
    <w:uiPriority w:val="99"/>
    <w:semiHidden/>
    <w:unhideWhenUsed/>
    <w:rsid w:val="00C52D14"/>
    <w:rPr>
      <w:color w:val="605E5C"/>
      <w:shd w:val="clear" w:color="auto" w:fill="E1DFDD"/>
    </w:rPr>
  </w:style>
  <w:style w:type="paragraph" w:styleId="Header">
    <w:name w:val="header"/>
    <w:basedOn w:val="Normal"/>
    <w:link w:val="HeaderChar"/>
    <w:uiPriority w:val="99"/>
    <w:unhideWhenUsed/>
    <w:rsid w:val="009020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2019"/>
    <w:rPr>
      <w:sz w:val="22"/>
      <w:szCs w:val="22"/>
    </w:rPr>
  </w:style>
  <w:style w:type="paragraph" w:styleId="Footer">
    <w:name w:val="footer"/>
    <w:basedOn w:val="Normal"/>
    <w:link w:val="FooterChar"/>
    <w:uiPriority w:val="99"/>
    <w:unhideWhenUsed/>
    <w:rsid w:val="009020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2019"/>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 TargetMode="External"/><Relationship Id="rId13" Type="http://schemas.openxmlformats.org/officeDocument/2006/relationships/hyperlink" Target="https://www.kingsfund.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ons.gov.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ffieldtrust.org.uk" TargetMode="External"/><Relationship Id="rId5" Type="http://schemas.openxmlformats.org/officeDocument/2006/relationships/footnotes" Target="footnotes.xml"/><Relationship Id="rId15" Type="http://schemas.openxmlformats.org/officeDocument/2006/relationships/hyperlink" Target="https://www.who.int" TargetMode="External"/><Relationship Id="rId10" Type="http://schemas.openxmlformats.org/officeDocument/2006/relationships/hyperlink" Target="https://www.england.nhs.uk" TargetMode="External"/><Relationship Id="rId4" Type="http://schemas.openxmlformats.org/officeDocument/2006/relationships/webSettings" Target="webSettings.xml"/><Relationship Id="rId9" Type="http://schemas.openxmlformats.org/officeDocument/2006/relationships/hyperlink" Target="https://www.england.nhs.uk" TargetMode="External"/><Relationship Id="rId14" Type="http://schemas.openxmlformats.org/officeDocument/2006/relationships/hyperlink" Target="https://www.kingsfu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4500</Words>
  <Characters>25656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Shumon Ahmed</dc:creator>
  <cp:keywords/>
  <dc:description/>
  <cp:lastModifiedBy>Shumon Ahmed</cp:lastModifiedBy>
  <cp:revision>2</cp:revision>
  <dcterms:created xsi:type="dcterms:W3CDTF">2026-03-28T22:26:00Z</dcterms:created>
  <dcterms:modified xsi:type="dcterms:W3CDTF">2026-03-28T22:26:00Z</dcterms:modified>
</cp:coreProperties>
</file>