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075" w:rsidRDefault="008D6075" w:rsidP="008D6075">
      <w:pPr>
        <w:ind w:firstLine="0"/>
        <w:rPr>
          <w:rFonts w:cs="Times New Roman"/>
        </w:rPr>
      </w:pPr>
    </w:p>
    <w:p w:rsidR="00CD631E" w:rsidRDefault="00852709" w:rsidP="00852709">
      <w:pPr>
        <w:ind w:firstLine="0"/>
        <w:rPr>
          <w:rFonts w:cs="Times New Roman"/>
        </w:rPr>
      </w:pPr>
      <w:r>
        <w:rPr>
          <w:rFonts w:cs="Times New Roman"/>
        </w:rPr>
        <w:t xml:space="preserve">The Global </w:t>
      </w:r>
      <w:r w:rsidR="008D6075">
        <w:rPr>
          <w:rFonts w:cs="Times New Roman"/>
        </w:rPr>
        <w:t>Business Environment – Assessment 2</w:t>
      </w:r>
    </w:p>
    <w:p w:rsidR="00852709" w:rsidRDefault="00852709" w:rsidP="00852709">
      <w:pPr>
        <w:ind w:firstLine="0"/>
        <w:rPr>
          <w:rFonts w:cs="Times New Roman"/>
        </w:rPr>
      </w:pPr>
      <w:proofErr w:type="spellStart"/>
      <w:r>
        <w:rPr>
          <w:rFonts w:cs="Times New Roman"/>
        </w:rPr>
        <w:t>Name</w:t>
      </w:r>
      <w:proofErr w:type="gramStart"/>
      <w:r>
        <w:rPr>
          <w:rFonts w:cs="Times New Roman"/>
        </w:rPr>
        <w:t>:Angel</w:t>
      </w:r>
      <w:proofErr w:type="spellEnd"/>
      <w:proofErr w:type="gramEnd"/>
      <w:r>
        <w:rPr>
          <w:rFonts w:cs="Times New Roman"/>
        </w:rPr>
        <w:t xml:space="preserve"> </w:t>
      </w:r>
      <w:proofErr w:type="spellStart"/>
      <w:r>
        <w:rPr>
          <w:rFonts w:cs="Times New Roman"/>
        </w:rPr>
        <w:t>Rachev</w:t>
      </w:r>
      <w:proofErr w:type="spellEnd"/>
    </w:p>
    <w:p w:rsidR="00852709" w:rsidRPr="00D43609" w:rsidRDefault="00852709" w:rsidP="00852709">
      <w:pPr>
        <w:ind w:firstLine="0"/>
        <w:rPr>
          <w:rFonts w:cs="Times New Roman"/>
        </w:rPr>
      </w:pPr>
      <w:r>
        <w:rPr>
          <w:rFonts w:cs="Times New Roman"/>
        </w:rPr>
        <w:t>ID:1916961</w:t>
      </w:r>
      <w:bookmarkStart w:id="0" w:name="_GoBack"/>
      <w:bookmarkEnd w:id="0"/>
    </w:p>
    <w:p w:rsidR="00CD631E" w:rsidRPr="00D43609" w:rsidRDefault="00CD631E" w:rsidP="00CD631E">
      <w:pPr>
        <w:ind w:firstLine="0"/>
        <w:jc w:val="center"/>
        <w:rPr>
          <w:rFonts w:cs="Times New Roman"/>
        </w:rPr>
      </w:pPr>
    </w:p>
    <w:p w:rsidR="00CD631E" w:rsidRPr="00D43609" w:rsidRDefault="00CD631E" w:rsidP="00CD631E">
      <w:pPr>
        <w:ind w:firstLine="0"/>
        <w:jc w:val="center"/>
        <w:rPr>
          <w:rFonts w:cs="Times New Roman"/>
        </w:rPr>
      </w:pPr>
    </w:p>
    <w:p w:rsidR="00CD631E" w:rsidRPr="00D43609" w:rsidRDefault="00CD631E" w:rsidP="00CD631E">
      <w:pPr>
        <w:ind w:firstLine="0"/>
        <w:jc w:val="center"/>
        <w:rPr>
          <w:rFonts w:cs="Times New Roman"/>
        </w:rPr>
      </w:pPr>
    </w:p>
    <w:p w:rsidR="00CD631E" w:rsidRPr="00D43609" w:rsidRDefault="00CD631E" w:rsidP="00CD631E">
      <w:pPr>
        <w:ind w:firstLine="0"/>
        <w:jc w:val="center"/>
        <w:rPr>
          <w:rFonts w:cs="Times New Roman"/>
        </w:rPr>
      </w:pPr>
    </w:p>
    <w:p w:rsidR="00CD631E" w:rsidRPr="00D43609" w:rsidRDefault="00CD10E5" w:rsidP="00CD631E">
      <w:pPr>
        <w:spacing w:after="160" w:line="259" w:lineRule="auto"/>
        <w:ind w:firstLine="0"/>
        <w:rPr>
          <w:rFonts w:cs="Times New Roman"/>
        </w:rPr>
      </w:pPr>
      <w:r w:rsidRPr="00D43609">
        <w:rPr>
          <w:rFonts w:cs="Times New Roman"/>
        </w:rPr>
        <w:br w:type="page"/>
      </w:r>
    </w:p>
    <w:p w:rsidR="00CD631E" w:rsidRPr="00D43609" w:rsidRDefault="00CD10E5" w:rsidP="00CD631E">
      <w:pPr>
        <w:ind w:firstLine="0"/>
        <w:rPr>
          <w:rFonts w:cs="Times New Roman"/>
          <w:b/>
        </w:rPr>
      </w:pPr>
      <w:r w:rsidRPr="00D43609">
        <w:rPr>
          <w:rFonts w:cs="Times New Roman"/>
          <w:b/>
        </w:rPr>
        <w:lastRenderedPageBreak/>
        <w:t xml:space="preserve">Supply Chain Design </w:t>
      </w:r>
    </w:p>
    <w:p w:rsidR="00CD631E" w:rsidRPr="00D43609" w:rsidRDefault="00CD10E5" w:rsidP="00A338A8">
      <w:pPr>
        <w:autoSpaceDE w:val="0"/>
        <w:autoSpaceDN w:val="0"/>
        <w:adjustRightInd w:val="0"/>
        <w:rPr>
          <w:rFonts w:cs="Times New Roman"/>
        </w:rPr>
      </w:pPr>
      <w:r w:rsidRPr="00D43609">
        <w:rPr>
          <w:rFonts w:cs="Times New Roman"/>
          <w:b/>
        </w:rPr>
        <w:tab/>
      </w:r>
      <w:r w:rsidR="00593613" w:rsidRPr="00593613">
        <w:rPr>
          <w:rFonts w:cs="Times New Roman"/>
          <w:szCs w:val="24"/>
        </w:rPr>
        <w:t xml:space="preserve">A value chain can be clarified as an integrated cycle and technique in which many different business substances meet and work with the ultimate goal of: </w:t>
      </w:r>
      <w:r w:rsidR="008D6075">
        <w:rPr>
          <w:rFonts w:cs="Times New Roman"/>
          <w:szCs w:val="24"/>
        </w:rPr>
        <w:t>o</w:t>
      </w:r>
      <w:r w:rsidR="00593613" w:rsidRPr="00593613">
        <w:rPr>
          <w:rFonts w:cs="Times New Roman"/>
          <w:szCs w:val="24"/>
        </w:rPr>
        <w:t xml:space="preserve">btaining raw </w:t>
      </w:r>
      <w:proofErr w:type="gramStart"/>
      <w:r w:rsidR="00593613" w:rsidRPr="00593613">
        <w:rPr>
          <w:rFonts w:cs="Times New Roman"/>
          <w:szCs w:val="24"/>
        </w:rPr>
        <w:t>materials ,</w:t>
      </w:r>
      <w:proofErr w:type="gramEnd"/>
      <w:r w:rsidR="00593613" w:rsidRPr="00593613">
        <w:rPr>
          <w:rFonts w:cs="Times New Roman"/>
          <w:szCs w:val="24"/>
        </w:rPr>
        <w:t xml:space="preserve">  transforming said raw materials into an explicitly final product; and handing over the latter goods to retailers. Said circuit is usually represented by the forward flow of materials and data in the reverse flow. For a long time, analysts, just like professionals, have fundamentally studied the different cycles of the flexible circuit separately. Nevertheless, there has recently been an intensified consideration placed directly on the plan, the implementation, just as a study of the chain by graceful in general. In addition, from the point of view of the earth, the idea of ​​a flexible chain arises from various changes directly in the preparation of nature, comprehensive rising assembly costs, assembly bases, contracting assets, shortened life models of the product, leveling the battlefield inside the assembly, just like the globalization of market economies. Also, the current intrigue seeks to increase the usual chain from graceful to combine reverse coordination, to include the recovery of the item for reuse, re-inventing, just like reuse. Immediately within the study of assembly, the idea of ​​a fine chain became mainly two-phase multi-tier stock models and subsequently it is crucial to understand that very significant progress has been made precisely in structure, just as the investigation of two-tier frameworks. Nevertheless, much of the research in this segment depends directly on the great work of Clark and Scharf (1960) along with Clark and Scharf (1962). In case a reader is intrigued, the individual is mentioned as </w:t>
      </w:r>
      <w:proofErr w:type="spellStart"/>
      <w:r w:rsidR="00593613" w:rsidRPr="00593613">
        <w:rPr>
          <w:rFonts w:cs="Times New Roman"/>
          <w:szCs w:val="24"/>
        </w:rPr>
        <w:t>Federgruen</w:t>
      </w:r>
      <w:proofErr w:type="spellEnd"/>
      <w:r w:rsidR="00593613" w:rsidRPr="00593613">
        <w:rPr>
          <w:rFonts w:cs="Times New Roman"/>
          <w:szCs w:val="24"/>
        </w:rPr>
        <w:t xml:space="preserve"> (1993), just as Bhatnagar, et. al. (1993) for thorough audits of this type of model. In addition, later investigations and conversations of two-tier models can be reconstructed by </w:t>
      </w:r>
      <w:proofErr w:type="spellStart"/>
      <w:r w:rsidR="00593613" w:rsidRPr="00593613">
        <w:rPr>
          <w:rFonts w:cs="Times New Roman"/>
          <w:szCs w:val="24"/>
        </w:rPr>
        <w:t>Diks</w:t>
      </w:r>
      <w:proofErr w:type="spellEnd"/>
      <w:r w:rsidR="00593613" w:rsidRPr="00593613">
        <w:rPr>
          <w:rFonts w:cs="Times New Roman"/>
          <w:szCs w:val="24"/>
        </w:rPr>
        <w:t xml:space="preserve">, et. al. (1996) just as van </w:t>
      </w:r>
      <w:proofErr w:type="spellStart"/>
      <w:r w:rsidR="00593613" w:rsidRPr="00593613">
        <w:rPr>
          <w:rFonts w:cs="Times New Roman"/>
          <w:szCs w:val="24"/>
        </w:rPr>
        <w:t>Houtum</w:t>
      </w:r>
      <w:proofErr w:type="spellEnd"/>
      <w:r w:rsidR="00593613" w:rsidRPr="00593613">
        <w:rPr>
          <w:rFonts w:cs="Times New Roman"/>
          <w:szCs w:val="24"/>
        </w:rPr>
        <w:t xml:space="preserve">, et. al. (1996). </w:t>
      </w:r>
    </w:p>
    <w:p w:rsidR="00593613" w:rsidRPr="00593613" w:rsidRDefault="00593613" w:rsidP="00593613">
      <w:pPr>
        <w:autoSpaceDE w:val="0"/>
        <w:autoSpaceDN w:val="0"/>
        <w:adjustRightInd w:val="0"/>
        <w:rPr>
          <w:rFonts w:cs="Times New Roman"/>
          <w:szCs w:val="24"/>
        </w:rPr>
      </w:pPr>
      <w:r w:rsidRPr="00593613">
        <w:rPr>
          <w:rFonts w:cs="Times New Roman"/>
          <w:szCs w:val="24"/>
        </w:rPr>
        <w:lastRenderedPageBreak/>
        <w:t>As mentioned above, the graceful chain is an integrated assembly cycle where the raw materials are eventually converted directly into the last items, at which point they are referred to the buyers. At the highest level, the flexible chain consists of two main, coordinated measures: (1) production planning and inventory control process and (2) distribution and logistics cycle.</w:t>
      </w:r>
    </w:p>
    <w:p w:rsidR="00593613" w:rsidRPr="00593613" w:rsidRDefault="00593613" w:rsidP="00593613">
      <w:pPr>
        <w:autoSpaceDE w:val="0"/>
        <w:autoSpaceDN w:val="0"/>
        <w:adjustRightInd w:val="0"/>
        <w:rPr>
          <w:rFonts w:cs="Times New Roman"/>
          <w:szCs w:val="24"/>
        </w:rPr>
      </w:pPr>
    </w:p>
    <w:p w:rsidR="00593613" w:rsidRPr="00593613" w:rsidRDefault="00593613" w:rsidP="00593613">
      <w:pPr>
        <w:autoSpaceDE w:val="0"/>
        <w:autoSpaceDN w:val="0"/>
        <w:adjustRightInd w:val="0"/>
        <w:rPr>
          <w:rFonts w:cs="Times New Roman"/>
          <w:szCs w:val="24"/>
        </w:rPr>
      </w:pPr>
      <w:r w:rsidRPr="00593613">
        <w:rPr>
          <w:rFonts w:cs="Times New Roman"/>
          <w:szCs w:val="24"/>
        </w:rPr>
        <w:t>Production planning and inventory control integrate assembly just like capacity sub-measures, along with their interfaces. Even more explicitly, the order of creation depicts the plan and administration of the entire assembly cycle (comprehensive reservation of raw materials along with receipt, assembly structuring and planning cycle, and structure and control of the material it cares for). Inventory control depicts the plan just as the administration of capacity strategies along with raw material systems, life cycle inventories, and even more critically, the final elements.</w:t>
      </w:r>
    </w:p>
    <w:p w:rsidR="00593613" w:rsidRPr="00593613" w:rsidRDefault="00593613" w:rsidP="00593613">
      <w:pPr>
        <w:autoSpaceDE w:val="0"/>
        <w:autoSpaceDN w:val="0"/>
        <w:adjustRightInd w:val="0"/>
        <w:rPr>
          <w:rFonts w:cs="Times New Roman"/>
          <w:szCs w:val="24"/>
        </w:rPr>
      </w:pPr>
    </w:p>
    <w:p w:rsidR="00593613" w:rsidRPr="00593613" w:rsidRDefault="00593613" w:rsidP="00593613">
      <w:pPr>
        <w:autoSpaceDE w:val="0"/>
        <w:autoSpaceDN w:val="0"/>
        <w:adjustRightInd w:val="0"/>
        <w:rPr>
          <w:rFonts w:cs="Times New Roman"/>
          <w:szCs w:val="24"/>
        </w:rPr>
      </w:pPr>
      <w:r w:rsidRPr="00593613">
        <w:rPr>
          <w:rFonts w:cs="Times New Roman"/>
          <w:szCs w:val="24"/>
        </w:rPr>
        <w:t>The distribution and logistics cycle decides how the items can be recovered and moved from the retailer's warehouse. In addition, these items can be legally moved to retailers or possibly initially taken to the offices of circulation, which thus move the items right to the retailers' premises. This cycle is comprehensive for stock recovery, transportation, along with transportation of the last item. Subsequently, these cycles cooperate directly with each other or create a coordinated grace chain. The administration and the plan and these cycles make sense of the extent to which the chain gracefully performs its function as a unit to meet the normal destinations of the presentation.</w:t>
      </w:r>
    </w:p>
    <w:p w:rsidR="00593613" w:rsidRPr="00593613" w:rsidRDefault="00593613" w:rsidP="00593613">
      <w:pPr>
        <w:autoSpaceDE w:val="0"/>
        <w:autoSpaceDN w:val="0"/>
        <w:adjustRightInd w:val="0"/>
        <w:rPr>
          <w:rFonts w:cs="Times New Roman"/>
          <w:szCs w:val="24"/>
        </w:rPr>
      </w:pPr>
    </w:p>
    <w:p w:rsidR="00FE63C3" w:rsidRPr="00D43609" w:rsidRDefault="00593613" w:rsidP="00593613">
      <w:pPr>
        <w:autoSpaceDE w:val="0"/>
        <w:autoSpaceDN w:val="0"/>
        <w:adjustRightInd w:val="0"/>
        <w:rPr>
          <w:rFonts w:cs="Times New Roman"/>
          <w:szCs w:val="24"/>
        </w:rPr>
      </w:pPr>
      <w:r w:rsidRPr="00593613">
        <w:rPr>
          <w:rFonts w:cs="Times New Roman"/>
          <w:szCs w:val="24"/>
        </w:rPr>
        <w:lastRenderedPageBreak/>
        <w:t>In the vehicle manufacturing industry, both cycles can be included to achieve a consistent progression of administrations and the elements between actual assembly and end-customer correspondence. For example, the contour of the system below shows, for example, a vehicle producing a flexible chain flow.</w:t>
      </w:r>
    </w:p>
    <w:p w:rsidR="00E46F0B" w:rsidRPr="00D43609" w:rsidRDefault="00CD10E5" w:rsidP="00283E40">
      <w:pPr>
        <w:autoSpaceDE w:val="0"/>
        <w:autoSpaceDN w:val="0"/>
        <w:adjustRightInd w:val="0"/>
        <w:ind w:firstLine="0"/>
        <w:rPr>
          <w:rFonts w:cs="Times New Roman"/>
          <w:szCs w:val="24"/>
        </w:rPr>
      </w:pPr>
      <w:r w:rsidRPr="00D43609">
        <w:rPr>
          <w:rFonts w:cs="Times New Roman"/>
          <w:noProof/>
          <w:szCs w:val="24"/>
          <w:lang w:val="bg-BG" w:eastAsia="bg-BG"/>
        </w:rPr>
        <w:drawing>
          <wp:anchor distT="0" distB="0" distL="114300" distR="114300" simplePos="0" relativeHeight="251658240" behindDoc="0" locked="0" layoutInCell="1" allowOverlap="1">
            <wp:simplePos x="0" y="0"/>
            <wp:positionH relativeFrom="column">
              <wp:posOffset>460858</wp:posOffset>
            </wp:positionH>
            <wp:positionV relativeFrom="paragraph">
              <wp:posOffset>1219</wp:posOffset>
            </wp:positionV>
            <wp:extent cx="5943600" cy="42881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82777" name="car manufacture sc.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288155"/>
                    </a:xfrm>
                    <a:prstGeom prst="rect">
                      <a:avLst/>
                    </a:prstGeom>
                  </pic:spPr>
                </pic:pic>
              </a:graphicData>
            </a:graphic>
          </wp:anchor>
        </w:drawing>
      </w:r>
      <w:r w:rsidR="00283E40">
        <w:rPr>
          <w:rFonts w:cs="Times New Roman"/>
          <w:szCs w:val="24"/>
        </w:rPr>
        <w:t>Figure 1</w:t>
      </w:r>
    </w:p>
    <w:p w:rsidR="00D1277E" w:rsidRDefault="00CD10E5" w:rsidP="000D73CB">
      <w:pPr>
        <w:autoSpaceDE w:val="0"/>
        <w:autoSpaceDN w:val="0"/>
        <w:adjustRightInd w:val="0"/>
        <w:ind w:firstLine="0"/>
        <w:rPr>
          <w:rFonts w:cs="Times New Roman"/>
          <w:b/>
          <w:szCs w:val="24"/>
        </w:rPr>
      </w:pPr>
      <w:r w:rsidRPr="00D43609">
        <w:rPr>
          <w:rFonts w:cs="Times New Roman"/>
          <w:b/>
          <w:szCs w:val="24"/>
        </w:rPr>
        <w:t xml:space="preserve">Supply Chain Analysis </w:t>
      </w:r>
    </w:p>
    <w:p w:rsidR="00D1277E" w:rsidRDefault="00593613" w:rsidP="00B81BCE">
      <w:pPr>
        <w:autoSpaceDE w:val="0"/>
        <w:autoSpaceDN w:val="0"/>
        <w:adjustRightInd w:val="0"/>
        <w:rPr>
          <w:rFonts w:cs="Times New Roman"/>
          <w:szCs w:val="24"/>
        </w:rPr>
      </w:pPr>
      <w:r w:rsidRPr="00593613">
        <w:rPr>
          <w:rFonts w:cs="Times New Roman"/>
          <w:szCs w:val="24"/>
        </w:rPr>
        <w:t xml:space="preserve">The value chain in this selected industry, as the circuit in Figure 1 shows, consists of five phases. For the most part, multi-stage models for a chain of graceful configuration, just like the study, can be divided directly into four classifications through the display approach. Thus, in the cases consolidated here, the display methodology is determined by the temperament of the data sources and the purpose of the study. The four reference classifications are: (1) deterministic </w:t>
      </w:r>
      <w:r w:rsidRPr="00593613">
        <w:rPr>
          <w:rFonts w:cs="Times New Roman"/>
          <w:szCs w:val="24"/>
        </w:rPr>
        <w:lastRenderedPageBreak/>
        <w:t xml:space="preserve">logic models in which the factors are specified exactly as indicated (2) stochastic investigative models in which in each case one of the factors is unclear, just as a particular probability is expected to follow, (3) models of economics and (4) models of reproduction. Furthermore, for </w:t>
      </w:r>
      <w:proofErr w:type="gramStart"/>
      <w:r w:rsidRPr="00593613">
        <w:rPr>
          <w:rFonts w:cs="Times New Roman"/>
          <w:szCs w:val="24"/>
        </w:rPr>
        <w:t>either the extension and</w:t>
      </w:r>
      <w:proofErr w:type="gramEnd"/>
      <w:r w:rsidRPr="00593613">
        <w:rPr>
          <w:rFonts w:cs="Times New Roman"/>
          <w:szCs w:val="24"/>
        </w:rPr>
        <w:t xml:space="preserve"> the reason for this study, the article will appear to be limited to two taught numerical models, which are stochastic models just like deterministic models.</w:t>
      </w:r>
      <w:r w:rsidR="005A27FD">
        <w:rPr>
          <w:rFonts w:cs="Times New Roman"/>
          <w:szCs w:val="24"/>
        </w:rPr>
        <w:t xml:space="preserve"> </w:t>
      </w:r>
    </w:p>
    <w:p w:rsidR="008D6075" w:rsidRPr="00D43609" w:rsidRDefault="008D6075" w:rsidP="00B81BCE">
      <w:pPr>
        <w:autoSpaceDE w:val="0"/>
        <w:autoSpaceDN w:val="0"/>
        <w:adjustRightInd w:val="0"/>
        <w:rPr>
          <w:rFonts w:cs="Times New Roman"/>
          <w:szCs w:val="24"/>
        </w:rPr>
      </w:pPr>
    </w:p>
    <w:p w:rsidR="00A7468A" w:rsidRPr="00D43609" w:rsidRDefault="00CD10E5" w:rsidP="00074612">
      <w:pPr>
        <w:autoSpaceDE w:val="0"/>
        <w:autoSpaceDN w:val="0"/>
        <w:adjustRightInd w:val="0"/>
        <w:rPr>
          <w:rFonts w:cs="Times New Roman"/>
          <w:b/>
          <w:bCs/>
          <w:szCs w:val="24"/>
        </w:rPr>
      </w:pPr>
      <w:r w:rsidRPr="00D43609">
        <w:rPr>
          <w:rFonts w:cs="Times New Roman"/>
          <w:b/>
          <w:bCs/>
          <w:szCs w:val="24"/>
        </w:rPr>
        <w:t>Stochastic Analytical Models</w:t>
      </w:r>
    </w:p>
    <w:p w:rsidR="00593613" w:rsidRPr="00593613" w:rsidRDefault="00593613" w:rsidP="00593613">
      <w:pPr>
        <w:autoSpaceDE w:val="0"/>
        <w:autoSpaceDN w:val="0"/>
        <w:adjustRightInd w:val="0"/>
        <w:rPr>
          <w:rFonts w:cs="Times New Roman"/>
          <w:szCs w:val="24"/>
        </w:rPr>
      </w:pPr>
      <w:r w:rsidRPr="00593613">
        <w:rPr>
          <w:rFonts w:cs="Times New Roman"/>
          <w:szCs w:val="24"/>
        </w:rPr>
        <w:t xml:space="preserve">Cohen and Lee (1988) devised a model for establishing the material needs approach for all materials directly for each phase in the creation of a chain of graceful frameworks. Thus, in this work, the creators used four recognized cost-based sub-models (there is one stochastic </w:t>
      </w:r>
      <w:proofErr w:type="spellStart"/>
      <w:r w:rsidRPr="00593613">
        <w:rPr>
          <w:rFonts w:cs="Times New Roman"/>
          <w:szCs w:val="24"/>
        </w:rPr>
        <w:t>submodel</w:t>
      </w:r>
      <w:proofErr w:type="spellEnd"/>
      <w:r w:rsidRPr="00593613">
        <w:rPr>
          <w:rFonts w:cs="Times New Roman"/>
          <w:szCs w:val="24"/>
        </w:rPr>
        <w:t xml:space="preserve"> for each considered phase of creation). Subsequently, each of the mentioned </w:t>
      </w:r>
      <w:proofErr w:type="spellStart"/>
      <w:r w:rsidRPr="00593613">
        <w:rPr>
          <w:rFonts w:cs="Times New Roman"/>
          <w:szCs w:val="24"/>
        </w:rPr>
        <w:t>submodels</w:t>
      </w:r>
      <w:proofErr w:type="spellEnd"/>
      <w:r w:rsidRPr="00593613">
        <w:rPr>
          <w:rFonts w:cs="Times New Roman"/>
          <w:szCs w:val="24"/>
        </w:rPr>
        <w:t xml:space="preserve"> is then recorded and presented, for example Material Control: Establishes the request for quantities of material, rearranges sections, along with estimated response times directly for all offices of the graceful chain, given lead times, material bills, occupancy rates, cost information and creation needs. Production control: Determines the plot plots to be created exactly as the execution time directly for each element, taking into account the reaction seasons of the material. Completed Inventory (Warehouse): Does it determine the monetary amount of the order exactly as the amount directly for each item, using cost information, order execution time, completion targets, along with the order information.</w:t>
      </w:r>
    </w:p>
    <w:p w:rsidR="00593613" w:rsidRPr="00593613" w:rsidRDefault="00593613" w:rsidP="00593613">
      <w:pPr>
        <w:autoSpaceDE w:val="0"/>
        <w:autoSpaceDN w:val="0"/>
        <w:adjustRightInd w:val="0"/>
        <w:rPr>
          <w:rFonts w:cs="Times New Roman"/>
          <w:szCs w:val="24"/>
        </w:rPr>
      </w:pPr>
    </w:p>
    <w:p w:rsidR="00A7468A" w:rsidRDefault="00593613" w:rsidP="00593613">
      <w:pPr>
        <w:autoSpaceDE w:val="0"/>
        <w:autoSpaceDN w:val="0"/>
        <w:adjustRightInd w:val="0"/>
        <w:rPr>
          <w:rFonts w:cs="Times New Roman"/>
          <w:szCs w:val="24"/>
        </w:rPr>
      </w:pPr>
      <w:r w:rsidRPr="00593613">
        <w:rPr>
          <w:rFonts w:cs="Times New Roman"/>
          <w:szCs w:val="24"/>
        </w:rPr>
        <w:t xml:space="preserve">At this point, each of the mentioned </w:t>
      </w:r>
      <w:proofErr w:type="spellStart"/>
      <w:r w:rsidRPr="00593613">
        <w:rPr>
          <w:rFonts w:cs="Times New Roman"/>
          <w:szCs w:val="24"/>
        </w:rPr>
        <w:t>submodels</w:t>
      </w:r>
      <w:proofErr w:type="spellEnd"/>
      <w:r w:rsidRPr="00593613">
        <w:rPr>
          <w:rFonts w:cs="Times New Roman"/>
          <w:szCs w:val="24"/>
        </w:rPr>
        <w:t xml:space="preserve"> depends directly on the purpose of the underlying costs. In the final advance of the calculation, the creators make sense of the inaccurate strategies of the ideal request, using an arithmetic program that limits the total </w:t>
      </w:r>
      <w:proofErr w:type="spellStart"/>
      <w:r w:rsidRPr="00593613">
        <w:rPr>
          <w:rFonts w:cs="Times New Roman"/>
          <w:szCs w:val="24"/>
        </w:rPr>
        <w:t>total</w:t>
      </w:r>
      <w:proofErr w:type="spellEnd"/>
      <w:r w:rsidRPr="00593613">
        <w:rPr>
          <w:rFonts w:cs="Times New Roman"/>
          <w:szCs w:val="24"/>
        </w:rPr>
        <w:t xml:space="preserve"> </w:t>
      </w:r>
      <w:r w:rsidRPr="00593613">
        <w:rPr>
          <w:rFonts w:cs="Times New Roman"/>
          <w:szCs w:val="24"/>
        </w:rPr>
        <w:lastRenderedPageBreak/>
        <w:t xml:space="preserve">cost for each of these four </w:t>
      </w:r>
      <w:proofErr w:type="spellStart"/>
      <w:r w:rsidRPr="00593613">
        <w:rPr>
          <w:rFonts w:cs="Times New Roman"/>
          <w:szCs w:val="24"/>
        </w:rPr>
        <w:t>submodels</w:t>
      </w:r>
      <w:proofErr w:type="spellEnd"/>
      <w:r w:rsidRPr="00593613">
        <w:rPr>
          <w:rFonts w:cs="Times New Roman"/>
          <w:szCs w:val="24"/>
        </w:rPr>
        <w:t xml:space="preserve">. </w:t>
      </w:r>
      <w:proofErr w:type="spellStart"/>
      <w:r w:rsidRPr="00593613">
        <w:rPr>
          <w:rFonts w:cs="Times New Roman"/>
          <w:szCs w:val="24"/>
        </w:rPr>
        <w:t>Svoronos</w:t>
      </w:r>
      <w:proofErr w:type="spellEnd"/>
      <w:r w:rsidRPr="00593613">
        <w:rPr>
          <w:rFonts w:cs="Times New Roman"/>
          <w:szCs w:val="24"/>
        </w:rPr>
        <w:t xml:space="preserve">, just as </w:t>
      </w:r>
      <w:proofErr w:type="spellStart"/>
      <w:r w:rsidRPr="00593613">
        <w:rPr>
          <w:rFonts w:cs="Times New Roman"/>
          <w:szCs w:val="24"/>
        </w:rPr>
        <w:t>Zipkin</w:t>
      </w:r>
      <w:proofErr w:type="spellEnd"/>
      <w:r w:rsidRPr="00593613">
        <w:rPr>
          <w:rFonts w:cs="Times New Roman"/>
          <w:szCs w:val="24"/>
        </w:rPr>
        <w:t xml:space="preserve"> (1991) thinks of a multi-echelon, is a flexible circular framework (</w:t>
      </w:r>
      <w:proofErr w:type="spellStart"/>
      <w:r w:rsidRPr="00593613">
        <w:rPr>
          <w:rFonts w:cs="Times New Roman"/>
          <w:szCs w:val="24"/>
        </w:rPr>
        <w:t>ie</w:t>
      </w:r>
      <w:proofErr w:type="spellEnd"/>
      <w:r w:rsidRPr="00593613">
        <w:rPr>
          <w:rFonts w:cs="Times New Roman"/>
          <w:szCs w:val="24"/>
        </w:rPr>
        <w:t xml:space="preserve">, every office has all the things considered one and a direct predecessor, but quite a few immediate substitutes). In this investigation, the creators derive a basic renewal strategy for each office (S-1, S) for each office and that requests for each office follow a free Poisson cycle. The creators achieve constant approximate values ​​directly for the degree of normal stock and the extraordinary normal rainfall numbers in each area directly for each solution for the base stock level. Finally, using these approximations, the creators intend to propose the development of an improvement model that solves the degree of the lowest base. Lee and </w:t>
      </w:r>
      <w:proofErr w:type="spellStart"/>
      <w:r w:rsidRPr="00593613">
        <w:rPr>
          <w:rFonts w:cs="Times New Roman"/>
          <w:szCs w:val="24"/>
        </w:rPr>
        <w:t>Billington</w:t>
      </w:r>
      <w:proofErr w:type="spellEnd"/>
      <w:r w:rsidRPr="00593613">
        <w:rPr>
          <w:rFonts w:cs="Times New Roman"/>
          <w:szCs w:val="24"/>
        </w:rPr>
        <w:t xml:space="preserve"> (1993) devised a heuristic stochastic model for administering material flows on a site-by-site basis. In particular, the creators structure the type of force, intermittently, require the stock to be sorted, just as they decide the time of exploration (by type of item), just as the amount to the request (by type of item), and the yields of a model. Creators think of a model that either: (1) makes sense of the material strategy it requires by determining the required inventory levels to achieve a certain degree of targeted administration for each item in each office, or (2) ensuring the degree of administration for each item in each office, provided that material requests are arranged.</w:t>
      </w:r>
    </w:p>
    <w:p w:rsidR="008D6075" w:rsidRDefault="008D6075" w:rsidP="00593613">
      <w:pPr>
        <w:autoSpaceDE w:val="0"/>
        <w:autoSpaceDN w:val="0"/>
        <w:adjustRightInd w:val="0"/>
        <w:rPr>
          <w:rFonts w:cs="Times New Roman"/>
          <w:szCs w:val="24"/>
        </w:rPr>
      </w:pPr>
    </w:p>
    <w:p w:rsidR="00593613" w:rsidRDefault="00593613" w:rsidP="008D6075">
      <w:pPr>
        <w:autoSpaceDE w:val="0"/>
        <w:autoSpaceDN w:val="0"/>
        <w:adjustRightInd w:val="0"/>
        <w:rPr>
          <w:rFonts w:cs="Times New Roman"/>
          <w:szCs w:val="24"/>
        </w:rPr>
      </w:pPr>
      <w:r w:rsidRPr="00593613">
        <w:rPr>
          <w:rFonts w:cs="Times New Roman"/>
          <w:szCs w:val="24"/>
        </w:rPr>
        <w:t xml:space="preserve">Tadeusz </w:t>
      </w:r>
      <w:proofErr w:type="spellStart"/>
      <w:r w:rsidRPr="00593613">
        <w:rPr>
          <w:rFonts w:cs="Times New Roman"/>
          <w:szCs w:val="24"/>
        </w:rPr>
        <w:t>Savik</w:t>
      </w:r>
      <w:proofErr w:type="spellEnd"/>
      <w:r w:rsidRPr="00593613">
        <w:rPr>
          <w:rFonts w:cs="Times New Roman"/>
          <w:szCs w:val="24"/>
        </w:rPr>
        <w:t xml:space="preserve"> (2017) found that stochastic models are most suitable for enterprises that have a high degree of vulnerability in them. Accordingly, the stochastic way to deal with a graceful chain on the board is one that does not have time to separate and pay attention in nature. In doing so, car association administrators maintain a flexible chain against any foreseeable hazard and endure until specific hazards are completed. Nevertheless, due to the preparedness justified by this numerical model, relief measures are now being created if such an organization </w:t>
      </w:r>
      <w:r w:rsidRPr="00593613">
        <w:rPr>
          <w:rFonts w:cs="Times New Roman"/>
          <w:szCs w:val="24"/>
        </w:rPr>
        <w:lastRenderedPageBreak/>
        <w:t xml:space="preserve">encounters misfortunes or various kinds of dangers. Vehicle manufacturers who can choose such a model to control their flexible chain include those who assemble the best sports and SUVs. In such situations, manufacturers cannot bet on the performance of the vehicle, but they can bet on the structure. </w:t>
      </w:r>
    </w:p>
    <w:p w:rsidR="008D6075" w:rsidRDefault="008D6075" w:rsidP="008D6075">
      <w:pPr>
        <w:autoSpaceDE w:val="0"/>
        <w:autoSpaceDN w:val="0"/>
        <w:adjustRightInd w:val="0"/>
        <w:rPr>
          <w:rFonts w:cs="Times New Roman"/>
          <w:szCs w:val="24"/>
        </w:rPr>
      </w:pPr>
    </w:p>
    <w:p w:rsidR="00593613" w:rsidRDefault="00593613" w:rsidP="00593613">
      <w:pPr>
        <w:autoSpaceDE w:val="0"/>
        <w:autoSpaceDN w:val="0"/>
        <w:adjustRightInd w:val="0"/>
        <w:rPr>
          <w:rFonts w:cs="Times New Roman"/>
          <w:szCs w:val="24"/>
        </w:rPr>
      </w:pPr>
      <w:r w:rsidRPr="00593613">
        <w:rPr>
          <w:rFonts w:cs="Times New Roman"/>
          <w:szCs w:val="24"/>
        </w:rPr>
        <w:t xml:space="preserve">As suggested by Zeng and Xia, (2015) probably the best implementation of the stochastic model is stochastic programming. Thus, in disrupted flexible circuit flows, several probable interruption situations are conceptualized and plans are facilitated for each of these situations. Such an application can work in a completely or even half-damaged car, exquisitely circuit. It can use a specific model, such as stochastic mixed integer programming (MIP), to organize the creation of a flexible portfolio as it deploys. Another possible use is considered by </w:t>
      </w:r>
      <w:proofErr w:type="spellStart"/>
      <w:r w:rsidRPr="00593613">
        <w:rPr>
          <w:rFonts w:cs="Times New Roman"/>
          <w:szCs w:val="24"/>
        </w:rPr>
        <w:t>Sawik</w:t>
      </w:r>
      <w:proofErr w:type="spellEnd"/>
      <w:r w:rsidRPr="00593613">
        <w:rPr>
          <w:rFonts w:cs="Times New Roman"/>
          <w:szCs w:val="24"/>
        </w:rPr>
        <w:t xml:space="preserve"> (2014), where the portfolio is flexibly dissected relative to sales orders in the event of a profit suspension or discontinuation. While this numerical model is designed to improve creation and flexible levels regardless of predictable disturbances, the deterministic model, as will be found in the very next segment, is busy devising a specific answer for a solitary fully tracked situation.</w:t>
      </w:r>
    </w:p>
    <w:p w:rsidR="008D6075" w:rsidRDefault="008D6075" w:rsidP="00593613">
      <w:pPr>
        <w:autoSpaceDE w:val="0"/>
        <w:autoSpaceDN w:val="0"/>
        <w:adjustRightInd w:val="0"/>
        <w:rPr>
          <w:rFonts w:cs="Times New Roman"/>
          <w:szCs w:val="24"/>
        </w:rPr>
      </w:pPr>
    </w:p>
    <w:p w:rsidR="00447BD7" w:rsidRDefault="00CD10E5" w:rsidP="003F4D75">
      <w:pPr>
        <w:autoSpaceDE w:val="0"/>
        <w:autoSpaceDN w:val="0"/>
        <w:adjustRightInd w:val="0"/>
        <w:rPr>
          <w:rFonts w:cs="Times New Roman"/>
          <w:b/>
          <w:szCs w:val="24"/>
        </w:rPr>
      </w:pPr>
      <w:r w:rsidRPr="00447BD7">
        <w:rPr>
          <w:rFonts w:cs="Times New Roman"/>
          <w:b/>
          <w:szCs w:val="24"/>
        </w:rPr>
        <w:t xml:space="preserve">Deterministic </w:t>
      </w:r>
      <w:r>
        <w:rPr>
          <w:rFonts w:cs="Times New Roman"/>
          <w:b/>
          <w:szCs w:val="24"/>
        </w:rPr>
        <w:t>Analytical Model</w:t>
      </w:r>
    </w:p>
    <w:p w:rsidR="00593613" w:rsidRPr="00593613" w:rsidRDefault="00CD10E5" w:rsidP="00593613">
      <w:pPr>
        <w:autoSpaceDE w:val="0"/>
        <w:autoSpaceDN w:val="0"/>
        <w:adjustRightInd w:val="0"/>
        <w:ind w:firstLine="0"/>
        <w:rPr>
          <w:rFonts w:cs="Times New Roman"/>
          <w:szCs w:val="24"/>
        </w:rPr>
      </w:pPr>
      <w:r>
        <w:rPr>
          <w:rFonts w:cs="Times New Roman"/>
          <w:szCs w:val="24"/>
        </w:rPr>
        <w:t xml:space="preserve"> </w:t>
      </w:r>
      <w:r w:rsidR="00593613" w:rsidRPr="00593613">
        <w:rPr>
          <w:rFonts w:cs="Times New Roman"/>
          <w:szCs w:val="24"/>
        </w:rPr>
        <w:t xml:space="preserve">The deterministic numerical way of dealing with an elegant chain concentrates around the normal stimulus, not to alleviate vulnerabilities, as in stochastic methodology. When differentiated from stochastic methodology during their application, the deterministic MIP replaces all potential results of stochastic projection with expected estimates in a certain flexible chain way. Thus, this MIP starts from a single defined variable and develops expected qualities for possible results of this variable in the grace chain. As most car companies base their flexible </w:t>
      </w:r>
      <w:r w:rsidR="00593613" w:rsidRPr="00593613">
        <w:rPr>
          <w:rFonts w:cs="Times New Roman"/>
          <w:szCs w:val="24"/>
        </w:rPr>
        <w:lastRenderedPageBreak/>
        <w:t>chains on high demands, the deterministic model is extremely suitable for most vehicle manufacturing businesses. For example, a vehicle manufacturer, for example, Toyota, is faced with a small variety in the number of vehicle units claimed in the business sectors on which it has just infringed. For example, Toyota's annual transactions have generated about $ 20-26 billion since 2012. This is based on the fact that once automotive organizations violate a specialty, there are small vulnerabilities in coordination and flexibility of the chain, respectively authorizing the heavy use of the deterministic model.</w:t>
      </w:r>
    </w:p>
    <w:p w:rsidR="00593613" w:rsidRPr="00593613" w:rsidRDefault="00593613" w:rsidP="00593613">
      <w:pPr>
        <w:autoSpaceDE w:val="0"/>
        <w:autoSpaceDN w:val="0"/>
        <w:adjustRightInd w:val="0"/>
        <w:ind w:firstLine="0"/>
        <w:rPr>
          <w:rFonts w:cs="Times New Roman"/>
          <w:szCs w:val="24"/>
        </w:rPr>
      </w:pPr>
    </w:p>
    <w:p w:rsidR="00593613" w:rsidRDefault="00593613" w:rsidP="00593613">
      <w:pPr>
        <w:autoSpaceDE w:val="0"/>
        <w:autoSpaceDN w:val="0"/>
        <w:adjustRightInd w:val="0"/>
        <w:ind w:firstLine="0"/>
        <w:rPr>
          <w:rFonts w:cs="Times New Roman"/>
          <w:szCs w:val="24"/>
        </w:rPr>
      </w:pPr>
      <w:r w:rsidRPr="00593613">
        <w:rPr>
          <w:rFonts w:cs="Times New Roman"/>
          <w:szCs w:val="24"/>
        </w:rPr>
        <w:t>While examining the vulnerability in the deterministic model, there are two considerations that must be accepted. This is based on the fact that the grace of cars depends strongly either on the vulnerability it hopes to make or on the general interruptions to the situation with stochastic models. Accordingly, the deterministic interest combined with the disorder gracefully leads to a reduction in the cost gap due to the activity of the decentralized stock. Unlike the case of stochastic demonstration, where chain directors flexibly program all normal interruptions, the answer to the best graceful chain and strategic methodology derived from the deterministic model is more reliable because it depends on the normal satisfaction of suppliers. Thus, deterministic models in the automotive business are more reasonable, as they depend on the assessments of real regulators in the market. Such an explanation could be reached to justify it, as the source of the process continued to reach brands such as Toyota.</w:t>
      </w:r>
    </w:p>
    <w:p w:rsidR="003F4D75" w:rsidRDefault="001E1F90" w:rsidP="00593613">
      <w:pPr>
        <w:autoSpaceDE w:val="0"/>
        <w:autoSpaceDN w:val="0"/>
        <w:adjustRightInd w:val="0"/>
        <w:ind w:firstLine="0"/>
        <w:rPr>
          <w:rFonts w:cs="Times New Roman"/>
          <w:szCs w:val="24"/>
        </w:rPr>
      </w:pPr>
      <w:r>
        <w:rPr>
          <w:rFonts w:cs="Times New Roman"/>
          <w:szCs w:val="24"/>
        </w:rPr>
        <w:t xml:space="preserve"> </w:t>
      </w:r>
    </w:p>
    <w:p w:rsidR="003F4D75" w:rsidRDefault="00CD10E5" w:rsidP="00447BD7">
      <w:pPr>
        <w:autoSpaceDE w:val="0"/>
        <w:autoSpaceDN w:val="0"/>
        <w:adjustRightInd w:val="0"/>
        <w:ind w:firstLine="0"/>
        <w:rPr>
          <w:rFonts w:cs="Times New Roman"/>
          <w:b/>
          <w:szCs w:val="24"/>
        </w:rPr>
      </w:pPr>
      <w:r w:rsidRPr="003F4D75">
        <w:rPr>
          <w:rFonts w:cs="Times New Roman"/>
          <w:b/>
          <w:szCs w:val="24"/>
        </w:rPr>
        <w:t>Summary of Findings</w:t>
      </w:r>
    </w:p>
    <w:p w:rsidR="003C0BC4" w:rsidRDefault="008D6075" w:rsidP="00447BD7">
      <w:pPr>
        <w:autoSpaceDE w:val="0"/>
        <w:autoSpaceDN w:val="0"/>
        <w:adjustRightInd w:val="0"/>
        <w:ind w:firstLine="0"/>
        <w:rPr>
          <w:rFonts w:cs="Times New Roman"/>
          <w:bCs/>
          <w:szCs w:val="24"/>
        </w:rPr>
      </w:pPr>
      <w:r w:rsidRPr="008D6075">
        <w:rPr>
          <w:rFonts w:cs="Times New Roman"/>
          <w:bCs/>
          <w:szCs w:val="24"/>
        </w:rPr>
        <w:t xml:space="preserve">The article found that the flexible circuit configuration is convincing for the graceful chain digital model. However, in investigating the structure, such a plan may have distinctive digital </w:t>
      </w:r>
      <w:r w:rsidRPr="008D6075">
        <w:rPr>
          <w:rFonts w:cs="Times New Roman"/>
          <w:bCs/>
          <w:szCs w:val="24"/>
        </w:rPr>
        <w:lastRenderedPageBreak/>
        <w:t>understandings. Thus, this understanding has enormous results in terms of the types of cars and market structures that models can perceive. For example, in a few specialized markets for very good quality vehicles, the stochastic model is more appropriate because it is more impressive when used to present arrangements despite the ever-increasing vulnerability. On the other hand, in special market structures that are huge and where they are wanted and flexibly changed, the deterministic methodology is best suited for choice by automotive organizations. This is based on the fact that the model works on the basis of data on social events from the market as a flexible chain part. Thus, products promoted and distributed under this model must be conventional in order to reduce the vulnerability in their interest and gracefully. The real model is the Toyota vehicle brand. This is a complete differentiation to many quality vehicles, such as the Hummer brand. In any case, whichever approach you choose, the flexible chain is divided into a multi-level measure involving different players and partners. The way one decides to view the exchange of interests and gracefully between partners is a choice dictated by the idea of ​​the car item you need to sell.</w:t>
      </w:r>
    </w:p>
    <w:p w:rsidR="008D6075" w:rsidRDefault="008D6075" w:rsidP="00447BD7">
      <w:pPr>
        <w:autoSpaceDE w:val="0"/>
        <w:autoSpaceDN w:val="0"/>
        <w:adjustRightInd w:val="0"/>
        <w:ind w:firstLine="0"/>
        <w:rPr>
          <w:rFonts w:cs="Times New Roman"/>
          <w:bCs/>
          <w:szCs w:val="24"/>
        </w:rPr>
      </w:pPr>
    </w:p>
    <w:p w:rsidR="008D6075" w:rsidRDefault="008D6075" w:rsidP="00447BD7">
      <w:pPr>
        <w:autoSpaceDE w:val="0"/>
        <w:autoSpaceDN w:val="0"/>
        <w:adjustRightInd w:val="0"/>
        <w:ind w:firstLine="0"/>
        <w:rPr>
          <w:rFonts w:cs="Times New Roman"/>
          <w:bCs/>
          <w:szCs w:val="24"/>
        </w:rPr>
      </w:pPr>
    </w:p>
    <w:p w:rsidR="008D6075" w:rsidRDefault="008D6075" w:rsidP="00447BD7">
      <w:pPr>
        <w:autoSpaceDE w:val="0"/>
        <w:autoSpaceDN w:val="0"/>
        <w:adjustRightInd w:val="0"/>
        <w:ind w:firstLine="0"/>
        <w:rPr>
          <w:rFonts w:cs="Times New Roman"/>
          <w:bCs/>
          <w:szCs w:val="24"/>
        </w:rPr>
      </w:pPr>
    </w:p>
    <w:p w:rsidR="008D6075" w:rsidRDefault="008D6075" w:rsidP="00447BD7">
      <w:pPr>
        <w:autoSpaceDE w:val="0"/>
        <w:autoSpaceDN w:val="0"/>
        <w:adjustRightInd w:val="0"/>
        <w:ind w:firstLine="0"/>
        <w:rPr>
          <w:rFonts w:cs="Times New Roman"/>
          <w:bCs/>
          <w:szCs w:val="24"/>
        </w:rPr>
      </w:pPr>
    </w:p>
    <w:p w:rsidR="008D6075" w:rsidRDefault="008D6075" w:rsidP="00447BD7">
      <w:pPr>
        <w:autoSpaceDE w:val="0"/>
        <w:autoSpaceDN w:val="0"/>
        <w:adjustRightInd w:val="0"/>
        <w:ind w:firstLine="0"/>
        <w:rPr>
          <w:rFonts w:cs="Times New Roman"/>
          <w:bCs/>
          <w:szCs w:val="24"/>
        </w:rPr>
      </w:pPr>
    </w:p>
    <w:p w:rsidR="008D6075" w:rsidRDefault="008D6075" w:rsidP="00447BD7">
      <w:pPr>
        <w:autoSpaceDE w:val="0"/>
        <w:autoSpaceDN w:val="0"/>
        <w:adjustRightInd w:val="0"/>
        <w:ind w:firstLine="0"/>
        <w:rPr>
          <w:rFonts w:cs="Times New Roman"/>
          <w:bCs/>
          <w:szCs w:val="24"/>
        </w:rPr>
      </w:pPr>
    </w:p>
    <w:p w:rsidR="008D6075" w:rsidRPr="008D6075" w:rsidRDefault="008D6075" w:rsidP="00447BD7">
      <w:pPr>
        <w:autoSpaceDE w:val="0"/>
        <w:autoSpaceDN w:val="0"/>
        <w:adjustRightInd w:val="0"/>
        <w:ind w:firstLine="0"/>
        <w:rPr>
          <w:rFonts w:cs="Times New Roman"/>
          <w:bCs/>
          <w:szCs w:val="24"/>
        </w:rPr>
      </w:pPr>
    </w:p>
    <w:p w:rsidR="00D4293C" w:rsidRDefault="00D4293C" w:rsidP="00447BD7">
      <w:pPr>
        <w:autoSpaceDE w:val="0"/>
        <w:autoSpaceDN w:val="0"/>
        <w:adjustRightInd w:val="0"/>
        <w:ind w:firstLine="0"/>
        <w:rPr>
          <w:rFonts w:cs="Times New Roman"/>
          <w:szCs w:val="24"/>
        </w:rPr>
      </w:pPr>
    </w:p>
    <w:p w:rsidR="00D4293C" w:rsidRDefault="00D4293C" w:rsidP="00447BD7">
      <w:pPr>
        <w:autoSpaceDE w:val="0"/>
        <w:autoSpaceDN w:val="0"/>
        <w:adjustRightInd w:val="0"/>
        <w:ind w:firstLine="0"/>
        <w:rPr>
          <w:rFonts w:cs="Times New Roman"/>
          <w:szCs w:val="24"/>
        </w:rPr>
      </w:pPr>
    </w:p>
    <w:p w:rsidR="00D4293C" w:rsidRDefault="008D6075" w:rsidP="00D4293C">
      <w:pPr>
        <w:autoSpaceDE w:val="0"/>
        <w:autoSpaceDN w:val="0"/>
        <w:adjustRightInd w:val="0"/>
        <w:ind w:firstLine="0"/>
        <w:jc w:val="center"/>
        <w:rPr>
          <w:rFonts w:cs="Times New Roman"/>
          <w:szCs w:val="24"/>
        </w:rPr>
      </w:pPr>
      <w:r>
        <w:rPr>
          <w:rFonts w:cs="Times New Roman"/>
          <w:szCs w:val="24"/>
        </w:rPr>
        <w:lastRenderedPageBreak/>
        <w:t>References</w:t>
      </w:r>
    </w:p>
    <w:p w:rsidR="001E5F2D" w:rsidRPr="00D7327A" w:rsidRDefault="00CD10E5" w:rsidP="001E5F2D">
      <w:pPr>
        <w:autoSpaceDE w:val="0"/>
        <w:autoSpaceDN w:val="0"/>
        <w:adjustRightInd w:val="0"/>
        <w:ind w:left="720" w:hanging="720"/>
        <w:rPr>
          <w:rFonts w:cs="Times New Roman"/>
          <w:szCs w:val="24"/>
        </w:rPr>
      </w:pPr>
      <w:proofErr w:type="spellStart"/>
      <w:r w:rsidRPr="00D7327A">
        <w:rPr>
          <w:rFonts w:cs="Times New Roman"/>
          <w:szCs w:val="24"/>
        </w:rPr>
        <w:t>Acar</w:t>
      </w:r>
      <w:proofErr w:type="spellEnd"/>
      <w:r w:rsidRPr="00D7327A">
        <w:rPr>
          <w:rFonts w:cs="Times New Roman"/>
          <w:szCs w:val="24"/>
        </w:rPr>
        <w:t xml:space="preserve">, Y., </w:t>
      </w:r>
      <w:proofErr w:type="spellStart"/>
      <w:r w:rsidRPr="00D7327A">
        <w:rPr>
          <w:rFonts w:cs="Times New Roman"/>
          <w:szCs w:val="24"/>
        </w:rPr>
        <w:t>Kadipasaoglu</w:t>
      </w:r>
      <w:proofErr w:type="spellEnd"/>
      <w:r w:rsidRPr="00D7327A">
        <w:rPr>
          <w:rFonts w:cs="Times New Roman"/>
          <w:szCs w:val="24"/>
        </w:rPr>
        <w:t xml:space="preserve">, S. and </w:t>
      </w:r>
      <w:proofErr w:type="spellStart"/>
      <w:r w:rsidRPr="00D7327A">
        <w:rPr>
          <w:rFonts w:cs="Times New Roman"/>
          <w:szCs w:val="24"/>
        </w:rPr>
        <w:t>Schipperijn</w:t>
      </w:r>
      <w:proofErr w:type="spellEnd"/>
      <w:r w:rsidRPr="00D7327A">
        <w:rPr>
          <w:rFonts w:cs="Times New Roman"/>
          <w:szCs w:val="24"/>
        </w:rPr>
        <w:t xml:space="preserve">, P., 2010. A decision support framework for global supply chain modeling: an assessment of the impact of demand, supply and lead-time uncertainties on performance. </w:t>
      </w:r>
      <w:r w:rsidRPr="00D7327A">
        <w:rPr>
          <w:rFonts w:cs="Times New Roman"/>
          <w:i/>
          <w:iCs/>
          <w:szCs w:val="24"/>
        </w:rPr>
        <w:t>International Journal of Production Research</w:t>
      </w:r>
      <w:r w:rsidRPr="00D7327A">
        <w:rPr>
          <w:rFonts w:cs="Times New Roman"/>
          <w:szCs w:val="24"/>
        </w:rPr>
        <w:t>, </w:t>
      </w:r>
      <w:r w:rsidRPr="00D7327A">
        <w:rPr>
          <w:rFonts w:cs="Times New Roman"/>
          <w:i/>
          <w:iCs/>
          <w:szCs w:val="24"/>
        </w:rPr>
        <w:t>48</w:t>
      </w:r>
      <w:r w:rsidRPr="00D7327A">
        <w:rPr>
          <w:rFonts w:cs="Times New Roman"/>
          <w:szCs w:val="24"/>
        </w:rPr>
        <w:t>(</w:t>
      </w:r>
      <w:r w:rsidRPr="008D6075">
        <w:rPr>
          <w:rFonts w:cs="Times New Roman"/>
          <w:b/>
          <w:bCs/>
          <w:szCs w:val="24"/>
        </w:rPr>
        <w:t>11</w:t>
      </w:r>
      <w:r w:rsidRPr="00D7327A">
        <w:rPr>
          <w:rFonts w:cs="Times New Roman"/>
          <w:szCs w:val="24"/>
        </w:rPr>
        <w:t>), pp.3245-3268.</w:t>
      </w:r>
    </w:p>
    <w:p w:rsidR="001E5F2D" w:rsidRPr="003E7086" w:rsidRDefault="00CD10E5" w:rsidP="001E5F2D">
      <w:pPr>
        <w:autoSpaceDE w:val="0"/>
        <w:autoSpaceDN w:val="0"/>
        <w:adjustRightInd w:val="0"/>
        <w:ind w:left="720" w:hanging="720"/>
        <w:rPr>
          <w:rFonts w:cs="Times New Roman"/>
          <w:szCs w:val="24"/>
        </w:rPr>
      </w:pPr>
      <w:r w:rsidRPr="003E7086">
        <w:rPr>
          <w:rFonts w:cs="Times New Roman"/>
          <w:szCs w:val="24"/>
        </w:rPr>
        <w:t xml:space="preserve">Beamon, B.M., 1998. Supply chain design and </w:t>
      </w:r>
      <w:r w:rsidR="000674BE" w:rsidRPr="003E7086">
        <w:rPr>
          <w:rFonts w:cs="Times New Roman"/>
          <w:szCs w:val="24"/>
        </w:rPr>
        <w:t>analysis:</w:t>
      </w:r>
      <w:r w:rsidRPr="003E7086">
        <w:rPr>
          <w:rFonts w:cs="Times New Roman"/>
          <w:szCs w:val="24"/>
        </w:rPr>
        <w:t xml:space="preserve"> Models and methods. </w:t>
      </w:r>
      <w:r w:rsidRPr="008D6075">
        <w:rPr>
          <w:rFonts w:cs="Times New Roman"/>
          <w:i/>
          <w:iCs/>
          <w:szCs w:val="24"/>
        </w:rPr>
        <w:t>International journal of production economics</w:t>
      </w:r>
      <w:r w:rsidRPr="003E7086">
        <w:rPr>
          <w:rFonts w:cs="Times New Roman"/>
          <w:szCs w:val="24"/>
        </w:rPr>
        <w:t>, 55(</w:t>
      </w:r>
      <w:r w:rsidRPr="008D6075">
        <w:rPr>
          <w:rFonts w:cs="Times New Roman"/>
          <w:b/>
          <w:bCs/>
          <w:szCs w:val="24"/>
        </w:rPr>
        <w:t>3</w:t>
      </w:r>
      <w:r w:rsidRPr="003E7086">
        <w:rPr>
          <w:rFonts w:cs="Times New Roman"/>
          <w:szCs w:val="24"/>
        </w:rPr>
        <w:t>), pp.281-294.</w:t>
      </w:r>
    </w:p>
    <w:p w:rsidR="001E5F2D" w:rsidRDefault="00CD10E5" w:rsidP="001E5F2D">
      <w:pPr>
        <w:autoSpaceDE w:val="0"/>
        <w:autoSpaceDN w:val="0"/>
        <w:adjustRightInd w:val="0"/>
        <w:ind w:left="720" w:hanging="720"/>
        <w:rPr>
          <w:rFonts w:cs="Times New Roman"/>
          <w:szCs w:val="24"/>
        </w:rPr>
      </w:pPr>
      <w:proofErr w:type="spellStart"/>
      <w:r w:rsidRPr="00D7327A">
        <w:rPr>
          <w:rFonts w:cs="Times New Roman"/>
          <w:szCs w:val="24"/>
        </w:rPr>
        <w:t>Bihlmaier</w:t>
      </w:r>
      <w:proofErr w:type="spellEnd"/>
      <w:r w:rsidRPr="00D7327A">
        <w:rPr>
          <w:rFonts w:cs="Times New Roman"/>
          <w:szCs w:val="24"/>
        </w:rPr>
        <w:t xml:space="preserve">, R., </w:t>
      </w:r>
      <w:proofErr w:type="spellStart"/>
      <w:r w:rsidRPr="00D7327A">
        <w:rPr>
          <w:rFonts w:cs="Times New Roman"/>
          <w:szCs w:val="24"/>
        </w:rPr>
        <w:t>Koberstein</w:t>
      </w:r>
      <w:proofErr w:type="spellEnd"/>
      <w:r w:rsidRPr="00D7327A">
        <w:rPr>
          <w:rFonts w:cs="Times New Roman"/>
          <w:szCs w:val="24"/>
        </w:rPr>
        <w:t xml:space="preserve">, A. and </w:t>
      </w:r>
      <w:proofErr w:type="spellStart"/>
      <w:r w:rsidRPr="00D7327A">
        <w:rPr>
          <w:rFonts w:cs="Times New Roman"/>
          <w:szCs w:val="24"/>
        </w:rPr>
        <w:t>Obst</w:t>
      </w:r>
      <w:proofErr w:type="spellEnd"/>
      <w:r w:rsidRPr="00D7327A">
        <w:rPr>
          <w:rFonts w:cs="Times New Roman"/>
          <w:szCs w:val="24"/>
        </w:rPr>
        <w:t xml:space="preserve">, R., 2009. Modeling and </w:t>
      </w:r>
      <w:r w:rsidR="000674BE" w:rsidRPr="00D7327A">
        <w:rPr>
          <w:rFonts w:cs="Times New Roman"/>
          <w:szCs w:val="24"/>
        </w:rPr>
        <w:t>optimizing</w:t>
      </w:r>
      <w:r w:rsidRPr="00D7327A">
        <w:rPr>
          <w:rFonts w:cs="Times New Roman"/>
          <w:szCs w:val="24"/>
        </w:rPr>
        <w:t xml:space="preserve"> of strategic and tactical production planning in the automotive industry under uncertainty. </w:t>
      </w:r>
      <w:r w:rsidRPr="008D6075">
        <w:rPr>
          <w:rFonts w:cs="Times New Roman"/>
          <w:i/>
          <w:iCs/>
          <w:szCs w:val="24"/>
        </w:rPr>
        <w:t>In Supply Chain Planning</w:t>
      </w:r>
      <w:r w:rsidRPr="00D7327A">
        <w:rPr>
          <w:rFonts w:cs="Times New Roman"/>
          <w:szCs w:val="24"/>
        </w:rPr>
        <w:t> (pp. 1-26). Springer, Berlin, Heidelberg.</w:t>
      </w:r>
    </w:p>
    <w:p w:rsidR="001E5F2D" w:rsidRDefault="00CD10E5" w:rsidP="001E5F2D">
      <w:pPr>
        <w:autoSpaceDE w:val="0"/>
        <w:autoSpaceDN w:val="0"/>
        <w:adjustRightInd w:val="0"/>
        <w:ind w:left="720" w:hanging="720"/>
        <w:rPr>
          <w:rFonts w:cs="Times New Roman"/>
          <w:szCs w:val="24"/>
        </w:rPr>
      </w:pPr>
      <w:r w:rsidRPr="00D7327A">
        <w:rPr>
          <w:rFonts w:cs="Times New Roman"/>
          <w:szCs w:val="24"/>
        </w:rPr>
        <w:t>Boyd, G.A., 2014. Estimating the changes in the distribution of energy efficiency in the US automobile assembly industry. </w:t>
      </w:r>
      <w:r w:rsidRPr="008D6075">
        <w:rPr>
          <w:rFonts w:cs="Times New Roman"/>
          <w:i/>
          <w:iCs/>
          <w:szCs w:val="24"/>
        </w:rPr>
        <w:t>Energy Economics</w:t>
      </w:r>
      <w:r w:rsidRPr="00D7327A">
        <w:rPr>
          <w:rFonts w:cs="Times New Roman"/>
          <w:szCs w:val="24"/>
        </w:rPr>
        <w:t>, 42, pp.81-87.</w:t>
      </w:r>
    </w:p>
    <w:p w:rsidR="001E5F2D" w:rsidRPr="00D7327A" w:rsidRDefault="00CD10E5" w:rsidP="001E5F2D">
      <w:pPr>
        <w:autoSpaceDE w:val="0"/>
        <w:autoSpaceDN w:val="0"/>
        <w:adjustRightInd w:val="0"/>
        <w:ind w:left="720" w:hanging="720"/>
        <w:rPr>
          <w:rFonts w:cs="Times New Roman"/>
          <w:szCs w:val="24"/>
        </w:rPr>
      </w:pPr>
      <w:proofErr w:type="spellStart"/>
      <w:r w:rsidRPr="00D7327A">
        <w:rPr>
          <w:rFonts w:cs="Times New Roman"/>
          <w:szCs w:val="24"/>
        </w:rPr>
        <w:t>Dowlah</w:t>
      </w:r>
      <w:proofErr w:type="spellEnd"/>
      <w:r w:rsidRPr="00D7327A">
        <w:rPr>
          <w:rFonts w:cs="Times New Roman"/>
          <w:szCs w:val="24"/>
        </w:rPr>
        <w:t>, C., 2018. </w:t>
      </w:r>
      <w:r w:rsidRPr="008D6075">
        <w:rPr>
          <w:rFonts w:cs="Times New Roman"/>
          <w:i/>
          <w:iCs/>
          <w:szCs w:val="24"/>
        </w:rPr>
        <w:t>Transformations of Global Prosperity: How Foreign Investment, Multinationals, and Value Chains are Remaking Modern Economy</w:t>
      </w:r>
      <w:r w:rsidRPr="00D7327A">
        <w:rPr>
          <w:rFonts w:cs="Times New Roman"/>
          <w:szCs w:val="24"/>
        </w:rPr>
        <w:t>. Springer.</w:t>
      </w:r>
    </w:p>
    <w:p w:rsidR="001E5F2D" w:rsidRPr="00D7327A" w:rsidRDefault="00CD10E5" w:rsidP="001E5F2D">
      <w:pPr>
        <w:autoSpaceDE w:val="0"/>
        <w:autoSpaceDN w:val="0"/>
        <w:adjustRightInd w:val="0"/>
        <w:ind w:left="720" w:hanging="720"/>
        <w:rPr>
          <w:rFonts w:cs="Times New Roman"/>
          <w:szCs w:val="24"/>
        </w:rPr>
      </w:pPr>
      <w:proofErr w:type="spellStart"/>
      <w:r w:rsidRPr="00D7327A">
        <w:rPr>
          <w:rFonts w:cs="Times New Roman"/>
          <w:szCs w:val="24"/>
        </w:rPr>
        <w:t>Hammami</w:t>
      </w:r>
      <w:proofErr w:type="spellEnd"/>
      <w:r w:rsidRPr="00D7327A">
        <w:rPr>
          <w:rFonts w:cs="Times New Roman"/>
          <w:szCs w:val="24"/>
        </w:rPr>
        <w:t xml:space="preserve">, R., </w:t>
      </w:r>
      <w:proofErr w:type="spellStart"/>
      <w:r w:rsidRPr="00D7327A">
        <w:rPr>
          <w:rFonts w:cs="Times New Roman"/>
          <w:szCs w:val="24"/>
        </w:rPr>
        <w:t>Temponi</w:t>
      </w:r>
      <w:proofErr w:type="spellEnd"/>
      <w:r w:rsidRPr="00D7327A">
        <w:rPr>
          <w:rFonts w:cs="Times New Roman"/>
          <w:szCs w:val="24"/>
        </w:rPr>
        <w:t xml:space="preserve">, C. and </w:t>
      </w:r>
      <w:proofErr w:type="spellStart"/>
      <w:r w:rsidRPr="00D7327A">
        <w:rPr>
          <w:rFonts w:cs="Times New Roman"/>
          <w:szCs w:val="24"/>
        </w:rPr>
        <w:t>Frein</w:t>
      </w:r>
      <w:proofErr w:type="spellEnd"/>
      <w:r w:rsidRPr="00D7327A">
        <w:rPr>
          <w:rFonts w:cs="Times New Roman"/>
          <w:szCs w:val="24"/>
        </w:rPr>
        <w:t xml:space="preserve">, Y., 2014. A scenario-based stochastic model for supplier selection in the global context with multiple buyers, currency fluctuation uncertainties, and price discounts. </w:t>
      </w:r>
      <w:r w:rsidRPr="008D6075">
        <w:rPr>
          <w:rFonts w:cs="Times New Roman"/>
          <w:i/>
          <w:iCs/>
          <w:szCs w:val="24"/>
        </w:rPr>
        <w:t>European Journal of Operational Research</w:t>
      </w:r>
      <w:r w:rsidRPr="00D7327A">
        <w:rPr>
          <w:rFonts w:cs="Times New Roman"/>
          <w:szCs w:val="24"/>
        </w:rPr>
        <w:t>, 233(</w:t>
      </w:r>
      <w:r w:rsidRPr="008D6075">
        <w:rPr>
          <w:rFonts w:cs="Times New Roman"/>
          <w:b/>
          <w:bCs/>
          <w:szCs w:val="24"/>
        </w:rPr>
        <w:t>1</w:t>
      </w:r>
      <w:r w:rsidRPr="00D7327A">
        <w:rPr>
          <w:rFonts w:cs="Times New Roman"/>
          <w:szCs w:val="24"/>
        </w:rPr>
        <w:t>), pp.159-170.</w:t>
      </w:r>
    </w:p>
    <w:p w:rsidR="001E5F2D" w:rsidRPr="00D7327A" w:rsidRDefault="00CD10E5" w:rsidP="001E5F2D">
      <w:pPr>
        <w:autoSpaceDE w:val="0"/>
        <w:autoSpaceDN w:val="0"/>
        <w:adjustRightInd w:val="0"/>
        <w:ind w:left="720" w:hanging="720"/>
        <w:rPr>
          <w:rFonts w:cs="Times New Roman"/>
          <w:szCs w:val="24"/>
        </w:rPr>
      </w:pPr>
      <w:proofErr w:type="spellStart"/>
      <w:r w:rsidRPr="00D7327A">
        <w:rPr>
          <w:rFonts w:cs="Times New Roman"/>
          <w:szCs w:val="24"/>
        </w:rPr>
        <w:t>Hammami</w:t>
      </w:r>
      <w:proofErr w:type="spellEnd"/>
      <w:r w:rsidRPr="00D7327A">
        <w:rPr>
          <w:rFonts w:cs="Times New Roman"/>
          <w:szCs w:val="24"/>
        </w:rPr>
        <w:t xml:space="preserve">, R., and </w:t>
      </w:r>
      <w:proofErr w:type="spellStart"/>
      <w:r w:rsidRPr="00D7327A">
        <w:rPr>
          <w:rFonts w:cs="Times New Roman"/>
          <w:szCs w:val="24"/>
        </w:rPr>
        <w:t>Frein</w:t>
      </w:r>
      <w:proofErr w:type="spellEnd"/>
      <w:r w:rsidRPr="00D7327A">
        <w:rPr>
          <w:rFonts w:cs="Times New Roman"/>
          <w:szCs w:val="24"/>
        </w:rPr>
        <w:t>, Y., 201</w:t>
      </w:r>
      <w:r>
        <w:rPr>
          <w:rFonts w:cs="Times New Roman"/>
          <w:szCs w:val="24"/>
        </w:rPr>
        <w:t>5</w:t>
      </w:r>
      <w:r w:rsidRPr="00D7327A">
        <w:rPr>
          <w:rFonts w:cs="Times New Roman"/>
          <w:szCs w:val="24"/>
        </w:rPr>
        <w:t>. A stochastic model for supplier selection with multiple buyers, currency fluctuation uncertainties, and price discounts. </w:t>
      </w:r>
      <w:r w:rsidRPr="008D6075">
        <w:rPr>
          <w:rFonts w:cs="Times New Roman"/>
          <w:i/>
          <w:iCs/>
          <w:szCs w:val="24"/>
        </w:rPr>
        <w:t>European Journal of Operational Research</w:t>
      </w:r>
      <w:r w:rsidRPr="00D7327A">
        <w:rPr>
          <w:rFonts w:cs="Times New Roman"/>
          <w:szCs w:val="24"/>
        </w:rPr>
        <w:t>, 233(</w:t>
      </w:r>
      <w:r w:rsidRPr="008D6075">
        <w:rPr>
          <w:rFonts w:cs="Times New Roman"/>
          <w:b/>
          <w:bCs/>
          <w:szCs w:val="24"/>
        </w:rPr>
        <w:t>1</w:t>
      </w:r>
      <w:r w:rsidRPr="00D7327A">
        <w:rPr>
          <w:rFonts w:cs="Times New Roman"/>
          <w:szCs w:val="24"/>
        </w:rPr>
        <w:t>), pp.1</w:t>
      </w:r>
      <w:r>
        <w:rPr>
          <w:rFonts w:cs="Times New Roman"/>
          <w:szCs w:val="24"/>
        </w:rPr>
        <w:t>60</w:t>
      </w:r>
      <w:r w:rsidRPr="00D7327A">
        <w:rPr>
          <w:rFonts w:cs="Times New Roman"/>
          <w:szCs w:val="24"/>
        </w:rPr>
        <w:t>-17</w:t>
      </w:r>
      <w:r>
        <w:rPr>
          <w:rFonts w:cs="Times New Roman"/>
          <w:szCs w:val="24"/>
        </w:rPr>
        <w:t>1</w:t>
      </w:r>
      <w:r w:rsidRPr="00D7327A">
        <w:rPr>
          <w:rFonts w:cs="Times New Roman"/>
          <w:szCs w:val="24"/>
        </w:rPr>
        <w:t>.</w:t>
      </w:r>
    </w:p>
    <w:p w:rsidR="001E5F2D" w:rsidRDefault="00CD10E5" w:rsidP="001E5F2D">
      <w:pPr>
        <w:autoSpaceDE w:val="0"/>
        <w:autoSpaceDN w:val="0"/>
        <w:adjustRightInd w:val="0"/>
        <w:ind w:left="720" w:hanging="720"/>
        <w:rPr>
          <w:rFonts w:cs="Times New Roman"/>
          <w:szCs w:val="24"/>
        </w:rPr>
      </w:pPr>
      <w:r w:rsidRPr="003E7086">
        <w:rPr>
          <w:rFonts w:cs="Times New Roman"/>
          <w:szCs w:val="24"/>
        </w:rPr>
        <w:t xml:space="preserve">Hu, S.J., Zhu, X., Wang, H. and </w:t>
      </w:r>
      <w:proofErr w:type="spellStart"/>
      <w:r w:rsidRPr="003E7086">
        <w:rPr>
          <w:rFonts w:cs="Times New Roman"/>
          <w:szCs w:val="24"/>
        </w:rPr>
        <w:t>Koren</w:t>
      </w:r>
      <w:proofErr w:type="spellEnd"/>
      <w:r w:rsidRPr="003E7086">
        <w:rPr>
          <w:rFonts w:cs="Times New Roman"/>
          <w:szCs w:val="24"/>
        </w:rPr>
        <w:t>, Y., 2008. Product variety and manufacturing complexity in assembly systems and supply chains. </w:t>
      </w:r>
      <w:r w:rsidRPr="008D6075">
        <w:rPr>
          <w:rFonts w:cs="Times New Roman"/>
          <w:i/>
          <w:iCs/>
          <w:szCs w:val="24"/>
        </w:rPr>
        <w:t>CIRP Annals</w:t>
      </w:r>
      <w:r w:rsidRPr="003E7086">
        <w:rPr>
          <w:rFonts w:cs="Times New Roman"/>
          <w:szCs w:val="24"/>
        </w:rPr>
        <w:t>, </w:t>
      </w:r>
      <w:r w:rsidRPr="001E5F2D">
        <w:rPr>
          <w:rFonts w:cs="Times New Roman"/>
          <w:szCs w:val="24"/>
        </w:rPr>
        <w:t>57</w:t>
      </w:r>
      <w:r w:rsidRPr="003E7086">
        <w:rPr>
          <w:rFonts w:cs="Times New Roman"/>
          <w:szCs w:val="24"/>
        </w:rPr>
        <w:t>(</w:t>
      </w:r>
      <w:r w:rsidRPr="008D6075">
        <w:rPr>
          <w:rFonts w:cs="Times New Roman"/>
          <w:b/>
          <w:bCs/>
          <w:szCs w:val="24"/>
        </w:rPr>
        <w:t>1</w:t>
      </w:r>
      <w:r w:rsidRPr="003E7086">
        <w:rPr>
          <w:rFonts w:cs="Times New Roman"/>
          <w:szCs w:val="24"/>
        </w:rPr>
        <w:t>), pp.45-48.</w:t>
      </w:r>
    </w:p>
    <w:p w:rsidR="001E5F2D" w:rsidRDefault="00CD10E5" w:rsidP="001E5F2D">
      <w:pPr>
        <w:autoSpaceDE w:val="0"/>
        <w:autoSpaceDN w:val="0"/>
        <w:adjustRightInd w:val="0"/>
        <w:ind w:left="720" w:hanging="720"/>
        <w:rPr>
          <w:rFonts w:cs="Times New Roman"/>
          <w:szCs w:val="24"/>
        </w:rPr>
      </w:pPr>
      <w:r w:rsidRPr="001E5F2D">
        <w:rPr>
          <w:rFonts w:cs="Times New Roman"/>
          <w:szCs w:val="24"/>
        </w:rPr>
        <w:lastRenderedPageBreak/>
        <w:t xml:space="preserve">Ivanov, D., Sokolov, B., and Pavlov, A., 2013. Dual problem formulation and its application to the optimal redesign of an integrated production-distribution network with structure dynamics and ripple effect considerations. </w:t>
      </w:r>
      <w:r w:rsidRPr="008D6075">
        <w:rPr>
          <w:rFonts w:cs="Times New Roman"/>
          <w:i/>
          <w:iCs/>
          <w:szCs w:val="24"/>
        </w:rPr>
        <w:t>International Journal of Production Research</w:t>
      </w:r>
      <w:r w:rsidRPr="001E5F2D">
        <w:rPr>
          <w:rFonts w:cs="Times New Roman"/>
          <w:szCs w:val="24"/>
        </w:rPr>
        <w:t>, 51(</w:t>
      </w:r>
      <w:r w:rsidRPr="008D6075">
        <w:rPr>
          <w:rFonts w:cs="Times New Roman"/>
          <w:b/>
          <w:bCs/>
          <w:szCs w:val="24"/>
        </w:rPr>
        <w:t>18</w:t>
      </w:r>
      <w:r w:rsidRPr="001E5F2D">
        <w:rPr>
          <w:rFonts w:cs="Times New Roman"/>
          <w:szCs w:val="24"/>
        </w:rPr>
        <w:t>), pp.5386-5403.</w:t>
      </w:r>
    </w:p>
    <w:p w:rsidR="001E5F2D" w:rsidRDefault="00CD10E5" w:rsidP="001E5F2D">
      <w:pPr>
        <w:autoSpaceDE w:val="0"/>
        <w:autoSpaceDN w:val="0"/>
        <w:adjustRightInd w:val="0"/>
        <w:ind w:left="720" w:hanging="720"/>
        <w:rPr>
          <w:rFonts w:cs="Times New Roman"/>
          <w:szCs w:val="24"/>
        </w:rPr>
      </w:pPr>
      <w:r w:rsidRPr="00D7327A">
        <w:rPr>
          <w:rFonts w:cs="Times New Roman"/>
          <w:szCs w:val="24"/>
        </w:rPr>
        <w:t>Jiang, J.G., Xia, N., Zhang, G.F. and YIN, X., 2015. Partner selection of agile supply chain based on ant colony optimization algorithm. </w:t>
      </w:r>
      <w:r w:rsidRPr="008D6075">
        <w:rPr>
          <w:rFonts w:cs="Times New Roman"/>
          <w:i/>
          <w:iCs/>
          <w:szCs w:val="24"/>
        </w:rPr>
        <w:t>Journal of System Simulation</w:t>
      </w:r>
      <w:r w:rsidRPr="00D7327A">
        <w:rPr>
          <w:rFonts w:cs="Times New Roman"/>
          <w:szCs w:val="24"/>
        </w:rPr>
        <w:t>, </w:t>
      </w:r>
      <w:r w:rsidRPr="001E5F2D">
        <w:rPr>
          <w:rFonts w:cs="Times New Roman"/>
          <w:szCs w:val="24"/>
        </w:rPr>
        <w:t>18</w:t>
      </w:r>
      <w:r w:rsidRPr="00D7327A">
        <w:rPr>
          <w:rFonts w:cs="Times New Roman"/>
          <w:szCs w:val="24"/>
        </w:rPr>
        <w:t>(</w:t>
      </w:r>
      <w:r w:rsidRPr="008D6075">
        <w:rPr>
          <w:rFonts w:cs="Times New Roman"/>
          <w:b/>
          <w:bCs/>
          <w:szCs w:val="24"/>
        </w:rPr>
        <w:t>12</w:t>
      </w:r>
      <w:r w:rsidRPr="00D7327A">
        <w:rPr>
          <w:rFonts w:cs="Times New Roman"/>
          <w:szCs w:val="24"/>
        </w:rPr>
        <w:t>), pp.3377-3379.</w:t>
      </w:r>
    </w:p>
    <w:p w:rsidR="001E5F2D" w:rsidRPr="00D7327A" w:rsidRDefault="00CD10E5" w:rsidP="001E5F2D">
      <w:pPr>
        <w:autoSpaceDE w:val="0"/>
        <w:autoSpaceDN w:val="0"/>
        <w:adjustRightInd w:val="0"/>
        <w:ind w:left="720" w:hanging="720"/>
        <w:rPr>
          <w:rFonts w:cs="Times New Roman"/>
          <w:szCs w:val="24"/>
        </w:rPr>
      </w:pPr>
      <w:proofErr w:type="spellStart"/>
      <w:r w:rsidRPr="00D7327A">
        <w:rPr>
          <w:rFonts w:cs="Times New Roman"/>
          <w:szCs w:val="24"/>
        </w:rPr>
        <w:t>Kauder</w:t>
      </w:r>
      <w:proofErr w:type="spellEnd"/>
      <w:r w:rsidRPr="00D7327A">
        <w:rPr>
          <w:rFonts w:cs="Times New Roman"/>
          <w:szCs w:val="24"/>
        </w:rPr>
        <w:t xml:space="preserve">, S. and Meyer, H., 2009. Strategic network planning for an international automotive manufacturer. </w:t>
      </w:r>
      <w:r w:rsidRPr="008D6075">
        <w:rPr>
          <w:rFonts w:cs="Times New Roman"/>
          <w:i/>
          <w:iCs/>
          <w:szCs w:val="24"/>
        </w:rPr>
        <w:t>OR Spectrum</w:t>
      </w:r>
      <w:r w:rsidRPr="00D7327A">
        <w:rPr>
          <w:rFonts w:cs="Times New Roman"/>
          <w:szCs w:val="24"/>
        </w:rPr>
        <w:t>, 31(</w:t>
      </w:r>
      <w:r w:rsidRPr="008D6075">
        <w:rPr>
          <w:rFonts w:cs="Times New Roman"/>
          <w:b/>
          <w:bCs/>
          <w:szCs w:val="24"/>
        </w:rPr>
        <w:t>3</w:t>
      </w:r>
      <w:r w:rsidRPr="00D7327A">
        <w:rPr>
          <w:rFonts w:cs="Times New Roman"/>
          <w:szCs w:val="24"/>
        </w:rPr>
        <w:t>), pp.507-532.</w:t>
      </w:r>
    </w:p>
    <w:p w:rsidR="00D4293C" w:rsidRPr="00D4293C" w:rsidRDefault="00CD10E5" w:rsidP="001E5F2D">
      <w:pPr>
        <w:autoSpaceDE w:val="0"/>
        <w:autoSpaceDN w:val="0"/>
        <w:adjustRightInd w:val="0"/>
        <w:ind w:left="720" w:hanging="720"/>
        <w:rPr>
          <w:rFonts w:cs="Times New Roman"/>
          <w:szCs w:val="24"/>
        </w:rPr>
      </w:pPr>
      <w:r w:rsidRPr="00D4293C">
        <w:rPr>
          <w:rFonts w:cs="Times New Roman"/>
          <w:szCs w:val="24"/>
        </w:rPr>
        <w:t xml:space="preserve">Lee, H. and Whang, S., 1999. Decentralized multi-echelon supply chains: Incentives and information. </w:t>
      </w:r>
      <w:r w:rsidRPr="008D6075">
        <w:rPr>
          <w:rFonts w:cs="Times New Roman"/>
          <w:i/>
          <w:iCs/>
          <w:szCs w:val="24"/>
        </w:rPr>
        <w:t>Management Science</w:t>
      </w:r>
      <w:r w:rsidRPr="00D4293C">
        <w:rPr>
          <w:rFonts w:cs="Times New Roman"/>
          <w:szCs w:val="24"/>
        </w:rPr>
        <w:t>, 45(</w:t>
      </w:r>
      <w:r w:rsidRPr="008D6075">
        <w:rPr>
          <w:rFonts w:cs="Times New Roman"/>
          <w:b/>
          <w:bCs/>
          <w:szCs w:val="24"/>
        </w:rPr>
        <w:t>5</w:t>
      </w:r>
      <w:r w:rsidRPr="00D4293C">
        <w:rPr>
          <w:rFonts w:cs="Times New Roman"/>
          <w:szCs w:val="24"/>
        </w:rPr>
        <w:t>), pp.633-640.</w:t>
      </w:r>
    </w:p>
    <w:p w:rsidR="00D4293C" w:rsidRDefault="00CD10E5" w:rsidP="001E5F2D">
      <w:pPr>
        <w:autoSpaceDE w:val="0"/>
        <w:autoSpaceDN w:val="0"/>
        <w:adjustRightInd w:val="0"/>
        <w:ind w:left="720" w:hanging="720"/>
        <w:rPr>
          <w:rFonts w:cs="Times New Roman"/>
          <w:szCs w:val="24"/>
        </w:rPr>
      </w:pPr>
      <w:r w:rsidRPr="00D4293C">
        <w:rPr>
          <w:rFonts w:cs="Times New Roman"/>
          <w:szCs w:val="24"/>
        </w:rPr>
        <w:t>Li, X. and Wang, Q., 2007. Coordination mechanisms of supply chain systems. </w:t>
      </w:r>
      <w:r w:rsidRPr="008D6075">
        <w:rPr>
          <w:rFonts w:cs="Times New Roman"/>
          <w:i/>
          <w:iCs/>
          <w:szCs w:val="24"/>
        </w:rPr>
        <w:t>European journal of operational research</w:t>
      </w:r>
      <w:r w:rsidRPr="00D4293C">
        <w:rPr>
          <w:rFonts w:cs="Times New Roman"/>
          <w:szCs w:val="24"/>
        </w:rPr>
        <w:t>, </w:t>
      </w:r>
      <w:r w:rsidRPr="001E5F2D">
        <w:rPr>
          <w:rFonts w:cs="Times New Roman"/>
          <w:szCs w:val="24"/>
        </w:rPr>
        <w:t>179</w:t>
      </w:r>
      <w:r w:rsidRPr="00D4293C">
        <w:rPr>
          <w:rFonts w:cs="Times New Roman"/>
          <w:szCs w:val="24"/>
        </w:rPr>
        <w:t>(</w:t>
      </w:r>
      <w:r w:rsidRPr="008D6075">
        <w:rPr>
          <w:rFonts w:cs="Times New Roman"/>
          <w:b/>
          <w:bCs/>
          <w:szCs w:val="24"/>
        </w:rPr>
        <w:t>1</w:t>
      </w:r>
      <w:r w:rsidRPr="00D4293C">
        <w:rPr>
          <w:rFonts w:cs="Times New Roman"/>
          <w:szCs w:val="24"/>
        </w:rPr>
        <w:t>), pp.1-16.</w:t>
      </w:r>
    </w:p>
    <w:p w:rsidR="001E5F2D" w:rsidRPr="00D7327A" w:rsidRDefault="00CD10E5" w:rsidP="001E5F2D">
      <w:pPr>
        <w:autoSpaceDE w:val="0"/>
        <w:autoSpaceDN w:val="0"/>
        <w:adjustRightInd w:val="0"/>
        <w:ind w:left="720" w:hanging="720"/>
        <w:rPr>
          <w:rFonts w:cs="Times New Roman"/>
          <w:szCs w:val="24"/>
        </w:rPr>
      </w:pPr>
      <w:r w:rsidRPr="00D7327A">
        <w:rPr>
          <w:rFonts w:cs="Times New Roman"/>
          <w:szCs w:val="24"/>
        </w:rPr>
        <w:t>Oh, S.C. and Hildreth, A., 2014. Estimating the technical improvement of energy efficiency in the automotive industry—stochastic and deterministic frontier benchmarking approaches. </w:t>
      </w:r>
      <w:r w:rsidRPr="008D6075">
        <w:rPr>
          <w:rFonts w:cs="Times New Roman"/>
          <w:i/>
          <w:iCs/>
          <w:szCs w:val="24"/>
        </w:rPr>
        <w:t>Energies</w:t>
      </w:r>
      <w:r w:rsidRPr="00D7327A">
        <w:rPr>
          <w:rFonts w:cs="Times New Roman"/>
          <w:szCs w:val="24"/>
        </w:rPr>
        <w:t>, 7(</w:t>
      </w:r>
      <w:r w:rsidRPr="008D6075">
        <w:rPr>
          <w:rFonts w:cs="Times New Roman"/>
          <w:b/>
          <w:bCs/>
          <w:szCs w:val="24"/>
        </w:rPr>
        <w:t>9</w:t>
      </w:r>
      <w:r w:rsidRPr="00D7327A">
        <w:rPr>
          <w:rFonts w:cs="Times New Roman"/>
          <w:szCs w:val="24"/>
        </w:rPr>
        <w:t>), pp.6196-6222.</w:t>
      </w:r>
    </w:p>
    <w:p w:rsidR="001E5F2D" w:rsidRPr="00D7327A" w:rsidRDefault="00CD10E5" w:rsidP="001E5F2D">
      <w:pPr>
        <w:autoSpaceDE w:val="0"/>
        <w:autoSpaceDN w:val="0"/>
        <w:adjustRightInd w:val="0"/>
        <w:ind w:left="720" w:hanging="720"/>
        <w:rPr>
          <w:rFonts w:cs="Times New Roman"/>
          <w:szCs w:val="24"/>
        </w:rPr>
      </w:pPr>
      <w:r w:rsidRPr="00D7327A">
        <w:rPr>
          <w:rFonts w:cs="Times New Roman"/>
          <w:szCs w:val="24"/>
        </w:rPr>
        <w:t>Oh, S.C. and Hildreth, A., 2013. Decisions on energy demand response option contracts in smart grids based on activity-based costing and stochastic programming. </w:t>
      </w:r>
      <w:r w:rsidRPr="008D6075">
        <w:rPr>
          <w:rFonts w:cs="Times New Roman"/>
          <w:i/>
          <w:iCs/>
          <w:szCs w:val="24"/>
        </w:rPr>
        <w:t>Energies</w:t>
      </w:r>
      <w:r w:rsidRPr="00D7327A">
        <w:rPr>
          <w:rFonts w:cs="Times New Roman"/>
          <w:szCs w:val="24"/>
        </w:rPr>
        <w:t>, 6(</w:t>
      </w:r>
      <w:r w:rsidRPr="008D6075">
        <w:rPr>
          <w:rFonts w:cs="Times New Roman"/>
          <w:b/>
          <w:bCs/>
          <w:szCs w:val="24"/>
        </w:rPr>
        <w:t>1</w:t>
      </w:r>
      <w:r w:rsidRPr="00D7327A">
        <w:rPr>
          <w:rFonts w:cs="Times New Roman"/>
          <w:szCs w:val="24"/>
        </w:rPr>
        <w:t>), pp.425-443.</w:t>
      </w:r>
    </w:p>
    <w:p w:rsidR="001E5F2D" w:rsidRPr="00D7327A" w:rsidRDefault="00CD10E5" w:rsidP="001E5F2D">
      <w:pPr>
        <w:autoSpaceDE w:val="0"/>
        <w:autoSpaceDN w:val="0"/>
        <w:adjustRightInd w:val="0"/>
        <w:ind w:left="720" w:hanging="720"/>
        <w:rPr>
          <w:rFonts w:cs="Times New Roman"/>
          <w:szCs w:val="24"/>
        </w:rPr>
      </w:pPr>
      <w:proofErr w:type="spellStart"/>
      <w:r w:rsidRPr="00D7327A">
        <w:rPr>
          <w:rFonts w:cs="Times New Roman"/>
          <w:szCs w:val="24"/>
        </w:rPr>
        <w:t>Sawik</w:t>
      </w:r>
      <w:proofErr w:type="spellEnd"/>
      <w:r w:rsidRPr="00D7327A">
        <w:rPr>
          <w:rFonts w:cs="Times New Roman"/>
          <w:szCs w:val="24"/>
        </w:rPr>
        <w:t>, T., 2017. Stochastic versus deterministic approach to coordinated supply chain scheduling. </w:t>
      </w:r>
      <w:r w:rsidRPr="008D6075">
        <w:rPr>
          <w:rFonts w:cs="Times New Roman"/>
          <w:i/>
          <w:iCs/>
          <w:szCs w:val="24"/>
        </w:rPr>
        <w:t>Mathematical Problems in Engineering</w:t>
      </w:r>
      <w:r w:rsidRPr="00D7327A">
        <w:rPr>
          <w:rFonts w:cs="Times New Roman"/>
          <w:szCs w:val="24"/>
        </w:rPr>
        <w:t>, 2017.</w:t>
      </w:r>
    </w:p>
    <w:p w:rsidR="001E5F2D" w:rsidRDefault="00CD10E5" w:rsidP="001E5F2D">
      <w:pPr>
        <w:autoSpaceDE w:val="0"/>
        <w:autoSpaceDN w:val="0"/>
        <w:adjustRightInd w:val="0"/>
        <w:ind w:left="720" w:hanging="720"/>
        <w:rPr>
          <w:rFonts w:cs="Times New Roman"/>
          <w:szCs w:val="24"/>
        </w:rPr>
      </w:pPr>
      <w:r w:rsidRPr="00D7327A">
        <w:rPr>
          <w:rFonts w:cs="Times New Roman"/>
          <w:szCs w:val="24"/>
        </w:rPr>
        <w:t xml:space="preserve">Snyder, L.V., </w:t>
      </w:r>
      <w:proofErr w:type="spellStart"/>
      <w:r w:rsidRPr="00D7327A">
        <w:rPr>
          <w:rFonts w:cs="Times New Roman"/>
          <w:szCs w:val="24"/>
        </w:rPr>
        <w:t>Atan</w:t>
      </w:r>
      <w:proofErr w:type="spellEnd"/>
      <w:r w:rsidRPr="00D7327A">
        <w:rPr>
          <w:rFonts w:cs="Times New Roman"/>
          <w:szCs w:val="24"/>
        </w:rPr>
        <w:t xml:space="preserve">, Z., Peng, P., Rong, Y., Schmitt, A.J. and </w:t>
      </w:r>
      <w:proofErr w:type="spellStart"/>
      <w:r w:rsidRPr="00D7327A">
        <w:rPr>
          <w:rFonts w:cs="Times New Roman"/>
          <w:szCs w:val="24"/>
        </w:rPr>
        <w:t>Sinsoysal</w:t>
      </w:r>
      <w:proofErr w:type="spellEnd"/>
      <w:r w:rsidRPr="00D7327A">
        <w:rPr>
          <w:rFonts w:cs="Times New Roman"/>
          <w:szCs w:val="24"/>
        </w:rPr>
        <w:t xml:space="preserve">, B., 2016. OR/MS models for supply chain disruptions: A review. </w:t>
      </w:r>
      <w:proofErr w:type="spellStart"/>
      <w:r w:rsidRPr="008D6075">
        <w:rPr>
          <w:rFonts w:cs="Times New Roman"/>
          <w:i/>
          <w:iCs/>
          <w:szCs w:val="24"/>
        </w:rPr>
        <w:t>Iie</w:t>
      </w:r>
      <w:proofErr w:type="spellEnd"/>
      <w:r w:rsidRPr="008D6075">
        <w:rPr>
          <w:rFonts w:cs="Times New Roman"/>
          <w:i/>
          <w:iCs/>
          <w:szCs w:val="24"/>
        </w:rPr>
        <w:t xml:space="preserve"> Transactions</w:t>
      </w:r>
      <w:r w:rsidRPr="00D7327A">
        <w:rPr>
          <w:rFonts w:cs="Times New Roman"/>
          <w:szCs w:val="24"/>
        </w:rPr>
        <w:t>, 48(</w:t>
      </w:r>
      <w:r w:rsidRPr="008D6075">
        <w:rPr>
          <w:rFonts w:cs="Times New Roman"/>
          <w:b/>
          <w:bCs/>
          <w:szCs w:val="24"/>
        </w:rPr>
        <w:t>2</w:t>
      </w:r>
      <w:r w:rsidRPr="00D7327A">
        <w:rPr>
          <w:rFonts w:cs="Times New Roman"/>
          <w:szCs w:val="24"/>
        </w:rPr>
        <w:t>), pp.89-109.</w:t>
      </w:r>
    </w:p>
    <w:p w:rsidR="001E5F2D" w:rsidRPr="00D7327A" w:rsidRDefault="00CD10E5" w:rsidP="001E5F2D">
      <w:pPr>
        <w:autoSpaceDE w:val="0"/>
        <w:autoSpaceDN w:val="0"/>
        <w:adjustRightInd w:val="0"/>
        <w:ind w:left="720" w:hanging="720"/>
        <w:rPr>
          <w:rFonts w:cs="Times New Roman"/>
          <w:szCs w:val="24"/>
        </w:rPr>
      </w:pPr>
      <w:r w:rsidRPr="00D7327A">
        <w:rPr>
          <w:rFonts w:cs="Times New Roman"/>
          <w:szCs w:val="24"/>
        </w:rPr>
        <w:lastRenderedPageBreak/>
        <w:t xml:space="preserve">Taylor, S., </w:t>
      </w:r>
      <w:proofErr w:type="spellStart"/>
      <w:r w:rsidRPr="00D7327A">
        <w:rPr>
          <w:rFonts w:cs="Times New Roman"/>
          <w:szCs w:val="24"/>
        </w:rPr>
        <w:t>Ganeshan</w:t>
      </w:r>
      <w:proofErr w:type="spellEnd"/>
      <w:r w:rsidRPr="00D7327A">
        <w:rPr>
          <w:rFonts w:cs="Times New Roman"/>
          <w:szCs w:val="24"/>
        </w:rPr>
        <w:t xml:space="preserve">, R. and Magazine, M. eds., 2012. </w:t>
      </w:r>
      <w:r w:rsidRPr="008D6075">
        <w:rPr>
          <w:rFonts w:cs="Times New Roman"/>
          <w:i/>
          <w:iCs/>
          <w:szCs w:val="24"/>
        </w:rPr>
        <w:t>Quantitative models for supply chain management</w:t>
      </w:r>
      <w:r w:rsidRPr="00D7327A">
        <w:rPr>
          <w:rFonts w:cs="Times New Roman"/>
          <w:szCs w:val="24"/>
        </w:rPr>
        <w:t xml:space="preserve"> (Vol. 17). Springer Science &amp; Business Media.</w:t>
      </w:r>
    </w:p>
    <w:p w:rsidR="00D7327A" w:rsidRDefault="00CD10E5" w:rsidP="001E5F2D">
      <w:pPr>
        <w:autoSpaceDE w:val="0"/>
        <w:autoSpaceDN w:val="0"/>
        <w:adjustRightInd w:val="0"/>
        <w:ind w:left="720" w:hanging="720"/>
        <w:rPr>
          <w:rFonts w:cs="Times New Roman"/>
          <w:szCs w:val="24"/>
        </w:rPr>
      </w:pPr>
      <w:r w:rsidRPr="00D7327A">
        <w:rPr>
          <w:rFonts w:cs="Times New Roman"/>
          <w:szCs w:val="24"/>
        </w:rPr>
        <w:t>Turnbull, P., Oliver, N. and Wilkinson, B., 1992. Buyer‐supplier relations in the UK‐automotive industry: Strategic implications of the Japanese manufacturing model. </w:t>
      </w:r>
      <w:r w:rsidRPr="008D6075">
        <w:rPr>
          <w:rFonts w:cs="Times New Roman"/>
          <w:i/>
          <w:iCs/>
          <w:szCs w:val="24"/>
        </w:rPr>
        <w:t>Strategic Management Journal</w:t>
      </w:r>
      <w:r w:rsidRPr="00D7327A">
        <w:rPr>
          <w:rFonts w:cs="Times New Roman"/>
          <w:szCs w:val="24"/>
        </w:rPr>
        <w:t>, </w:t>
      </w:r>
      <w:r w:rsidRPr="001E5F2D">
        <w:rPr>
          <w:rFonts w:cs="Times New Roman"/>
          <w:szCs w:val="24"/>
        </w:rPr>
        <w:t>13</w:t>
      </w:r>
      <w:r w:rsidRPr="00D7327A">
        <w:rPr>
          <w:rFonts w:cs="Times New Roman"/>
          <w:szCs w:val="24"/>
        </w:rPr>
        <w:t>(</w:t>
      </w:r>
      <w:r w:rsidRPr="008D6075">
        <w:rPr>
          <w:rFonts w:cs="Times New Roman"/>
          <w:b/>
          <w:bCs/>
          <w:szCs w:val="24"/>
        </w:rPr>
        <w:t>2</w:t>
      </w:r>
      <w:r w:rsidRPr="00D7327A">
        <w:rPr>
          <w:rFonts w:cs="Times New Roman"/>
          <w:szCs w:val="24"/>
        </w:rPr>
        <w:t>), pp.159-168.</w:t>
      </w:r>
    </w:p>
    <w:p w:rsidR="00D7327A" w:rsidRPr="00D7327A" w:rsidRDefault="00D7327A" w:rsidP="00D7327A">
      <w:pPr>
        <w:autoSpaceDE w:val="0"/>
        <w:autoSpaceDN w:val="0"/>
        <w:adjustRightInd w:val="0"/>
        <w:ind w:firstLine="0"/>
        <w:rPr>
          <w:rFonts w:cs="Times New Roman"/>
          <w:szCs w:val="24"/>
        </w:rPr>
      </w:pPr>
    </w:p>
    <w:p w:rsidR="00D7327A" w:rsidRPr="003F4D75" w:rsidRDefault="00D7327A" w:rsidP="00D7327A">
      <w:pPr>
        <w:autoSpaceDE w:val="0"/>
        <w:autoSpaceDN w:val="0"/>
        <w:adjustRightInd w:val="0"/>
        <w:ind w:firstLine="0"/>
        <w:rPr>
          <w:rFonts w:cs="Times New Roman"/>
          <w:szCs w:val="24"/>
        </w:rPr>
      </w:pPr>
    </w:p>
    <w:sectPr w:rsidR="00D7327A" w:rsidRPr="003F4D75">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8C9" w:rsidRDefault="00F058C9">
      <w:pPr>
        <w:spacing w:line="240" w:lineRule="auto"/>
      </w:pPr>
      <w:r>
        <w:separator/>
      </w:r>
    </w:p>
  </w:endnote>
  <w:endnote w:type="continuationSeparator" w:id="0">
    <w:p w:rsidR="00F058C9" w:rsidRDefault="00F058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51692324"/>
      <w:docPartObj>
        <w:docPartGallery w:val="Page Numbers (Bottom of Page)"/>
        <w:docPartUnique/>
      </w:docPartObj>
    </w:sdtPr>
    <w:sdtEndPr>
      <w:rPr>
        <w:rStyle w:val="PageNumber"/>
      </w:rPr>
    </w:sdtEndPr>
    <w:sdtContent>
      <w:p w:rsidR="008D6075" w:rsidRDefault="008D6075" w:rsidP="005317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D6075" w:rsidRDefault="008D6075" w:rsidP="008D60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56484943"/>
      <w:docPartObj>
        <w:docPartGallery w:val="Page Numbers (Bottom of Page)"/>
        <w:docPartUnique/>
      </w:docPartObj>
    </w:sdtPr>
    <w:sdtEndPr>
      <w:rPr>
        <w:rStyle w:val="PageNumber"/>
      </w:rPr>
    </w:sdtEndPr>
    <w:sdtContent>
      <w:p w:rsidR="008D6075" w:rsidRDefault="008D6075" w:rsidP="005317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52709">
          <w:rPr>
            <w:rStyle w:val="PageNumber"/>
            <w:noProof/>
          </w:rPr>
          <w:t>11</w:t>
        </w:r>
        <w:r>
          <w:rPr>
            <w:rStyle w:val="PageNumber"/>
          </w:rPr>
          <w:fldChar w:fldCharType="end"/>
        </w:r>
      </w:p>
    </w:sdtContent>
  </w:sdt>
  <w:p w:rsidR="008D6075" w:rsidRDefault="008D6075" w:rsidP="008D60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8C9" w:rsidRDefault="00F058C9">
      <w:pPr>
        <w:spacing w:line="240" w:lineRule="auto"/>
      </w:pPr>
      <w:r>
        <w:separator/>
      </w:r>
    </w:p>
  </w:footnote>
  <w:footnote w:type="continuationSeparator" w:id="0">
    <w:p w:rsidR="00F058C9" w:rsidRDefault="00F058C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31E"/>
    <w:rsid w:val="00057E13"/>
    <w:rsid w:val="00064E28"/>
    <w:rsid w:val="00066E30"/>
    <w:rsid w:val="000674BE"/>
    <w:rsid w:val="00074612"/>
    <w:rsid w:val="00085C85"/>
    <w:rsid w:val="0009497D"/>
    <w:rsid w:val="000A408B"/>
    <w:rsid w:val="000D73CB"/>
    <w:rsid w:val="000E0681"/>
    <w:rsid w:val="000E36DA"/>
    <w:rsid w:val="000E63F5"/>
    <w:rsid w:val="000F2C40"/>
    <w:rsid w:val="0012545C"/>
    <w:rsid w:val="0014463D"/>
    <w:rsid w:val="0017597E"/>
    <w:rsid w:val="001932E7"/>
    <w:rsid w:val="001B3BFC"/>
    <w:rsid w:val="001C2E57"/>
    <w:rsid w:val="001E1F90"/>
    <w:rsid w:val="001E44BE"/>
    <w:rsid w:val="001E5F2D"/>
    <w:rsid w:val="002053B5"/>
    <w:rsid w:val="00206F05"/>
    <w:rsid w:val="0027161F"/>
    <w:rsid w:val="00283E40"/>
    <w:rsid w:val="002B1196"/>
    <w:rsid w:val="002C4F8A"/>
    <w:rsid w:val="002E735F"/>
    <w:rsid w:val="002F710B"/>
    <w:rsid w:val="00340268"/>
    <w:rsid w:val="003804C5"/>
    <w:rsid w:val="0038673A"/>
    <w:rsid w:val="003C0BC4"/>
    <w:rsid w:val="003D31B4"/>
    <w:rsid w:val="003E7086"/>
    <w:rsid w:val="003F0B30"/>
    <w:rsid w:val="003F4D75"/>
    <w:rsid w:val="00420360"/>
    <w:rsid w:val="00431014"/>
    <w:rsid w:val="004315DF"/>
    <w:rsid w:val="00443485"/>
    <w:rsid w:val="00447BD7"/>
    <w:rsid w:val="00452AF2"/>
    <w:rsid w:val="004622F3"/>
    <w:rsid w:val="0046465D"/>
    <w:rsid w:val="00490DCD"/>
    <w:rsid w:val="0049472B"/>
    <w:rsid w:val="004C4309"/>
    <w:rsid w:val="004D5FBF"/>
    <w:rsid w:val="004D7221"/>
    <w:rsid w:val="005156AB"/>
    <w:rsid w:val="0052754F"/>
    <w:rsid w:val="00541E65"/>
    <w:rsid w:val="00556F93"/>
    <w:rsid w:val="005571AC"/>
    <w:rsid w:val="0056479B"/>
    <w:rsid w:val="00564A87"/>
    <w:rsid w:val="00580F12"/>
    <w:rsid w:val="00580FAA"/>
    <w:rsid w:val="00593613"/>
    <w:rsid w:val="005A27FD"/>
    <w:rsid w:val="00613DEA"/>
    <w:rsid w:val="0062367D"/>
    <w:rsid w:val="006738EA"/>
    <w:rsid w:val="006941C0"/>
    <w:rsid w:val="00694BEB"/>
    <w:rsid w:val="00696EBE"/>
    <w:rsid w:val="006D58D8"/>
    <w:rsid w:val="006D6888"/>
    <w:rsid w:val="00705589"/>
    <w:rsid w:val="0071110C"/>
    <w:rsid w:val="007337F5"/>
    <w:rsid w:val="007359A4"/>
    <w:rsid w:val="00781AB5"/>
    <w:rsid w:val="00793378"/>
    <w:rsid w:val="007959DB"/>
    <w:rsid w:val="007D355B"/>
    <w:rsid w:val="007D4CF0"/>
    <w:rsid w:val="00832E2D"/>
    <w:rsid w:val="00832F5F"/>
    <w:rsid w:val="00852709"/>
    <w:rsid w:val="0087680E"/>
    <w:rsid w:val="008822C8"/>
    <w:rsid w:val="00885A40"/>
    <w:rsid w:val="00897203"/>
    <w:rsid w:val="008B6FA8"/>
    <w:rsid w:val="008D6075"/>
    <w:rsid w:val="00916AE9"/>
    <w:rsid w:val="0092109D"/>
    <w:rsid w:val="00953464"/>
    <w:rsid w:val="009737F4"/>
    <w:rsid w:val="00981430"/>
    <w:rsid w:val="009F1650"/>
    <w:rsid w:val="00A02F2F"/>
    <w:rsid w:val="00A05211"/>
    <w:rsid w:val="00A338A8"/>
    <w:rsid w:val="00A6114E"/>
    <w:rsid w:val="00A7468A"/>
    <w:rsid w:val="00B036E3"/>
    <w:rsid w:val="00B11763"/>
    <w:rsid w:val="00B5129D"/>
    <w:rsid w:val="00B627AB"/>
    <w:rsid w:val="00B71F2B"/>
    <w:rsid w:val="00B81BCE"/>
    <w:rsid w:val="00BB25D3"/>
    <w:rsid w:val="00BB46E6"/>
    <w:rsid w:val="00BD39EF"/>
    <w:rsid w:val="00BE4278"/>
    <w:rsid w:val="00C23A59"/>
    <w:rsid w:val="00C90C53"/>
    <w:rsid w:val="00CA7827"/>
    <w:rsid w:val="00CC4A9B"/>
    <w:rsid w:val="00CD10E5"/>
    <w:rsid w:val="00CD631E"/>
    <w:rsid w:val="00CF4F35"/>
    <w:rsid w:val="00D1277E"/>
    <w:rsid w:val="00D130CF"/>
    <w:rsid w:val="00D416E5"/>
    <w:rsid w:val="00D4293C"/>
    <w:rsid w:val="00D43609"/>
    <w:rsid w:val="00D4723D"/>
    <w:rsid w:val="00D7327A"/>
    <w:rsid w:val="00D87161"/>
    <w:rsid w:val="00D95BEE"/>
    <w:rsid w:val="00DA3D9C"/>
    <w:rsid w:val="00E05C8D"/>
    <w:rsid w:val="00E46F0B"/>
    <w:rsid w:val="00EA5D29"/>
    <w:rsid w:val="00EC48D3"/>
    <w:rsid w:val="00EF3F82"/>
    <w:rsid w:val="00F058C9"/>
    <w:rsid w:val="00F40327"/>
    <w:rsid w:val="00F61632"/>
    <w:rsid w:val="00FA5916"/>
    <w:rsid w:val="00FE6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BE4B1"/>
  <w15:chartTrackingRefBased/>
  <w15:docId w15:val="{F13C6E07-B951-4C44-9482-4F16265D2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31E"/>
    <w:pPr>
      <w:spacing w:after="0"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490DCD"/>
    <w:pPr>
      <w:keepNext/>
      <w:keepLines/>
      <w:spacing w:before="240" w:line="276" w:lineRule="auto"/>
      <w:ind w:firstLine="0"/>
      <w:outlineLvl w:val="0"/>
    </w:pPr>
    <w:rPr>
      <w:rFonts w:eastAsiaTheme="majorEastAsia" w:cstheme="majorBid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DCD"/>
    <w:rPr>
      <w:rFonts w:ascii="Times New Roman" w:eastAsiaTheme="majorEastAsia" w:hAnsi="Times New Roman" w:cstheme="majorBidi"/>
      <w:sz w:val="24"/>
      <w:szCs w:val="32"/>
    </w:rPr>
  </w:style>
  <w:style w:type="paragraph" w:styleId="Header">
    <w:name w:val="header"/>
    <w:basedOn w:val="Normal"/>
    <w:link w:val="HeaderChar"/>
    <w:uiPriority w:val="99"/>
    <w:unhideWhenUsed/>
    <w:rsid w:val="00CD631E"/>
    <w:pPr>
      <w:tabs>
        <w:tab w:val="center" w:pos="4680"/>
        <w:tab w:val="right" w:pos="9360"/>
      </w:tabs>
      <w:spacing w:line="240" w:lineRule="auto"/>
    </w:pPr>
  </w:style>
  <w:style w:type="character" w:customStyle="1" w:styleId="HeaderChar">
    <w:name w:val="Header Char"/>
    <w:basedOn w:val="DefaultParagraphFont"/>
    <w:link w:val="Header"/>
    <w:uiPriority w:val="99"/>
    <w:rsid w:val="00CD631E"/>
    <w:rPr>
      <w:rFonts w:ascii="Times New Roman" w:hAnsi="Times New Roman"/>
      <w:sz w:val="24"/>
    </w:rPr>
  </w:style>
  <w:style w:type="paragraph" w:styleId="BalloonText">
    <w:name w:val="Balloon Text"/>
    <w:basedOn w:val="Normal"/>
    <w:link w:val="BalloonTextChar"/>
    <w:uiPriority w:val="99"/>
    <w:semiHidden/>
    <w:unhideWhenUsed/>
    <w:rsid w:val="00E46F0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F0B"/>
    <w:rPr>
      <w:rFonts w:ascii="Segoe UI" w:hAnsi="Segoe UI" w:cs="Segoe UI"/>
      <w:sz w:val="18"/>
      <w:szCs w:val="18"/>
    </w:rPr>
  </w:style>
  <w:style w:type="paragraph" w:styleId="FootnoteText">
    <w:name w:val="footnote text"/>
    <w:basedOn w:val="Normal"/>
    <w:link w:val="FootnoteTextChar"/>
    <w:uiPriority w:val="99"/>
    <w:semiHidden/>
    <w:unhideWhenUsed/>
    <w:rsid w:val="003C0BC4"/>
    <w:pPr>
      <w:spacing w:line="240" w:lineRule="auto"/>
    </w:pPr>
    <w:rPr>
      <w:sz w:val="20"/>
      <w:szCs w:val="20"/>
    </w:rPr>
  </w:style>
  <w:style w:type="character" w:customStyle="1" w:styleId="FootnoteTextChar">
    <w:name w:val="Footnote Text Char"/>
    <w:basedOn w:val="DefaultParagraphFont"/>
    <w:link w:val="FootnoteText"/>
    <w:uiPriority w:val="99"/>
    <w:semiHidden/>
    <w:rsid w:val="003C0BC4"/>
    <w:rPr>
      <w:rFonts w:ascii="Times New Roman" w:hAnsi="Times New Roman"/>
      <w:sz w:val="20"/>
      <w:szCs w:val="20"/>
    </w:rPr>
  </w:style>
  <w:style w:type="character" w:styleId="FootnoteReference">
    <w:name w:val="footnote reference"/>
    <w:basedOn w:val="DefaultParagraphFont"/>
    <w:uiPriority w:val="99"/>
    <w:semiHidden/>
    <w:unhideWhenUsed/>
    <w:rsid w:val="003C0BC4"/>
    <w:rPr>
      <w:vertAlign w:val="superscript"/>
    </w:rPr>
  </w:style>
  <w:style w:type="paragraph" w:styleId="Footer">
    <w:name w:val="footer"/>
    <w:basedOn w:val="Normal"/>
    <w:link w:val="FooterChar"/>
    <w:uiPriority w:val="99"/>
    <w:unhideWhenUsed/>
    <w:rsid w:val="00593613"/>
    <w:pPr>
      <w:tabs>
        <w:tab w:val="center" w:pos="4513"/>
        <w:tab w:val="right" w:pos="9026"/>
      </w:tabs>
      <w:spacing w:line="240" w:lineRule="auto"/>
    </w:pPr>
  </w:style>
  <w:style w:type="character" w:customStyle="1" w:styleId="FooterChar">
    <w:name w:val="Footer Char"/>
    <w:basedOn w:val="DefaultParagraphFont"/>
    <w:link w:val="Footer"/>
    <w:uiPriority w:val="99"/>
    <w:rsid w:val="00593613"/>
    <w:rPr>
      <w:rFonts w:ascii="Times New Roman" w:hAnsi="Times New Roman"/>
      <w:sz w:val="24"/>
    </w:rPr>
  </w:style>
  <w:style w:type="character" w:styleId="PageNumber">
    <w:name w:val="page number"/>
    <w:basedOn w:val="DefaultParagraphFont"/>
    <w:uiPriority w:val="99"/>
    <w:semiHidden/>
    <w:unhideWhenUsed/>
    <w:rsid w:val="008D6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5A5E3-EC74-4498-8678-C3E41BEE6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2540</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AngeL AngeL</cp:lastModifiedBy>
  <cp:revision>3</cp:revision>
  <dcterms:created xsi:type="dcterms:W3CDTF">2020-09-03T17:08:00Z</dcterms:created>
  <dcterms:modified xsi:type="dcterms:W3CDTF">2020-09-03T17:08:00Z</dcterms:modified>
</cp:coreProperties>
</file>