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05AA5FC" w:rsidR="007D1947" w:rsidRDefault="00775630" w:rsidP="00775630">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IR35, Past, present and future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F215F4C" w:rsidR="007D1947" w:rsidRDefault="00775630">
              <w:pPr>
                <w:pStyle w:val="NoSpacing"/>
                <w:jc w:val="center"/>
                <w:rPr>
                  <w:color w:val="5B9BD5" w:themeColor="accent1"/>
                  <w:sz w:val="28"/>
                  <w:szCs w:val="28"/>
                </w:rPr>
              </w:pPr>
              <w:r>
                <w:rPr>
                  <w:color w:val="5B9BD5" w:themeColor="accent1"/>
                  <w:sz w:val="28"/>
                  <w:szCs w:val="28"/>
                </w:rPr>
                <w:t>Corey-Jay Valente McCreadie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52BAF8D9" w14:textId="7A0A6826" w:rsidR="007D1947" w:rsidRDefault="00775630">
                                    <w:pPr>
                                      <w:pStyle w:val="NoSpacing"/>
                                      <w:spacing w:after="40"/>
                                      <w:jc w:val="center"/>
                                      <w:rPr>
                                        <w:caps/>
                                        <w:color w:val="5B9BD5" w:themeColor="accent1"/>
                                        <w:sz w:val="28"/>
                                        <w:szCs w:val="28"/>
                                      </w:rPr>
                                    </w:pPr>
                                    <w:r>
                                      <w:rPr>
                                        <w:caps/>
                                        <w:color w:val="5B9BD5" w:themeColor="accent1"/>
                                        <w:sz w:val="28"/>
                                        <w:szCs w:val="28"/>
                                      </w:rPr>
                                      <w:t>March 27,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52BAF8D9" w14:textId="7A0A6826" w:rsidR="007D1947" w:rsidRDefault="00775630">
                              <w:pPr>
                                <w:pStyle w:val="NoSpacing"/>
                                <w:spacing w:after="40"/>
                                <w:jc w:val="center"/>
                                <w:rPr>
                                  <w:caps/>
                                  <w:color w:val="5B9BD5" w:themeColor="accent1"/>
                                  <w:sz w:val="28"/>
                                  <w:szCs w:val="28"/>
                                </w:rPr>
                              </w:pPr>
                              <w:r>
                                <w:rPr>
                                  <w:caps/>
                                  <w:color w:val="5B9BD5" w:themeColor="accent1"/>
                                  <w:sz w:val="28"/>
                                  <w:szCs w:val="28"/>
                                </w:rPr>
                                <w:t>March 27,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78766392"/>
          <w:r>
            <w:lastRenderedPageBreak/>
            <w:t>Executive Summary</w:t>
          </w:r>
          <w:bookmarkEnd w:id="0"/>
        </w:p>
        <w:p w14:paraId="60A372D9" w14:textId="77777777" w:rsidR="007D1947" w:rsidRDefault="007D1947">
          <w:r>
            <w:t>The purpose of this report is to analyse…</w:t>
          </w:r>
          <w:proofErr w:type="gramStart"/>
          <w:r>
            <w:t>…..</w:t>
          </w:r>
          <w:proofErr w:type="gramEnd"/>
        </w:p>
        <w:p w14:paraId="7979DD93" w14:textId="77777777" w:rsidR="007D1947" w:rsidRDefault="00D854A5">
          <w:r>
            <w:t>DO THIS SECTION LAST!!!!!!</w:t>
          </w:r>
        </w:p>
        <w:p w14:paraId="53363C13" w14:textId="098BDC42" w:rsidR="00D854A5" w:rsidRDefault="00D854A5">
          <w:r>
            <w:t>NOT INCLUDED IN WORD COUNT</w:t>
          </w:r>
          <w:r w:rsidR="00931CAA">
            <w:t xml:space="preserve"> – this section should be around </w:t>
          </w:r>
          <w:proofErr w:type="gramStart"/>
          <w:r w:rsidR="007D7CC4">
            <w:t xml:space="preserve">½ </w:t>
          </w:r>
          <w:r w:rsidR="00931CAA">
            <w:t xml:space="preserve"> of</w:t>
          </w:r>
          <w:proofErr w:type="gramEnd"/>
          <w:r w:rsidR="00931CAA">
            <w:t xml:space="preserve"> a page in length </w:t>
          </w:r>
          <w:r w:rsidR="007D7CC4">
            <w:t xml:space="preserve">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EEE8BC" w14:textId="7FAFD739" w:rsidR="00CF0E48" w:rsidRDefault="007D1947">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78766392" w:history="1">
                <w:r w:rsidR="00CF0E48" w:rsidRPr="0042521A">
                  <w:rPr>
                    <w:rStyle w:val="Hyperlink"/>
                    <w:noProof/>
                  </w:rPr>
                  <w:t>Executive Summary</w:t>
                </w:r>
                <w:r w:rsidR="00CF0E48">
                  <w:rPr>
                    <w:noProof/>
                    <w:webHidden/>
                  </w:rPr>
                  <w:tab/>
                </w:r>
                <w:r w:rsidR="00CF0E48">
                  <w:rPr>
                    <w:noProof/>
                    <w:webHidden/>
                  </w:rPr>
                  <w:fldChar w:fldCharType="begin"/>
                </w:r>
                <w:r w:rsidR="00CF0E48">
                  <w:rPr>
                    <w:noProof/>
                    <w:webHidden/>
                  </w:rPr>
                  <w:instrText xml:space="preserve"> PAGEREF _Toc178766392 \h </w:instrText>
                </w:r>
                <w:r w:rsidR="00CF0E48">
                  <w:rPr>
                    <w:noProof/>
                    <w:webHidden/>
                  </w:rPr>
                </w:r>
                <w:r w:rsidR="00CF0E48">
                  <w:rPr>
                    <w:noProof/>
                    <w:webHidden/>
                  </w:rPr>
                  <w:fldChar w:fldCharType="separate"/>
                </w:r>
                <w:r w:rsidR="00CF0E48">
                  <w:rPr>
                    <w:noProof/>
                    <w:webHidden/>
                  </w:rPr>
                  <w:t>1</w:t>
                </w:r>
                <w:r w:rsidR="00CF0E48">
                  <w:rPr>
                    <w:noProof/>
                    <w:webHidden/>
                  </w:rPr>
                  <w:fldChar w:fldCharType="end"/>
                </w:r>
              </w:hyperlink>
            </w:p>
            <w:p w14:paraId="7C633003" w14:textId="1F82F7F8"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3" w:history="1">
                <w:r w:rsidRPr="0042521A">
                  <w:rPr>
                    <w:rStyle w:val="Hyperlink"/>
                    <w:noProof/>
                  </w:rPr>
                  <w:t>Introduction</w:t>
                </w:r>
                <w:r>
                  <w:rPr>
                    <w:noProof/>
                    <w:webHidden/>
                  </w:rPr>
                  <w:tab/>
                </w:r>
                <w:r>
                  <w:rPr>
                    <w:noProof/>
                    <w:webHidden/>
                  </w:rPr>
                  <w:fldChar w:fldCharType="begin"/>
                </w:r>
                <w:r>
                  <w:rPr>
                    <w:noProof/>
                    <w:webHidden/>
                  </w:rPr>
                  <w:instrText xml:space="preserve"> PAGEREF _Toc178766393 \h </w:instrText>
                </w:r>
                <w:r>
                  <w:rPr>
                    <w:noProof/>
                    <w:webHidden/>
                  </w:rPr>
                </w:r>
                <w:r>
                  <w:rPr>
                    <w:noProof/>
                    <w:webHidden/>
                  </w:rPr>
                  <w:fldChar w:fldCharType="separate"/>
                </w:r>
                <w:r>
                  <w:rPr>
                    <w:noProof/>
                    <w:webHidden/>
                  </w:rPr>
                  <w:t>3</w:t>
                </w:r>
                <w:r>
                  <w:rPr>
                    <w:noProof/>
                    <w:webHidden/>
                  </w:rPr>
                  <w:fldChar w:fldCharType="end"/>
                </w:r>
              </w:hyperlink>
            </w:p>
            <w:p w14:paraId="0435DA61" w14:textId="7AF1163D" w:rsidR="00CF0E48" w:rsidRDefault="00CF0E48">
              <w:pPr>
                <w:pStyle w:val="TOC1"/>
                <w:tabs>
                  <w:tab w:val="right" w:leader="dot" w:pos="9016"/>
                </w:tabs>
                <w:rPr>
                  <w:rFonts w:eastAsiaTheme="minorEastAsia"/>
                  <w:noProof/>
                  <w:kern w:val="2"/>
                  <w:sz w:val="24"/>
                  <w:szCs w:val="24"/>
                  <w:lang w:eastAsia="zh-CN"/>
                  <w14:ligatures w14:val="standardContextual"/>
                </w:rPr>
              </w:pPr>
              <w:hyperlink w:anchor="_Toc178766394" w:history="1">
                <w:r w:rsidRPr="0042521A">
                  <w:rPr>
                    <w:rStyle w:val="Hyperlink"/>
                    <w:noProof/>
                  </w:rPr>
                  <w:t>Main Findings</w:t>
                </w:r>
                <w:r>
                  <w:rPr>
                    <w:noProof/>
                    <w:webHidden/>
                  </w:rPr>
                  <w:tab/>
                </w:r>
                <w:r>
                  <w:rPr>
                    <w:noProof/>
                    <w:webHidden/>
                  </w:rPr>
                  <w:fldChar w:fldCharType="begin"/>
                </w:r>
                <w:r>
                  <w:rPr>
                    <w:noProof/>
                    <w:webHidden/>
                  </w:rPr>
                  <w:instrText xml:space="preserve"> PAGEREF _Toc178766394 \h </w:instrText>
                </w:r>
                <w:r>
                  <w:rPr>
                    <w:noProof/>
                    <w:webHidden/>
                  </w:rPr>
                </w:r>
                <w:r>
                  <w:rPr>
                    <w:noProof/>
                    <w:webHidden/>
                  </w:rPr>
                  <w:fldChar w:fldCharType="separate"/>
                </w:r>
                <w:r>
                  <w:rPr>
                    <w:noProof/>
                    <w:webHidden/>
                  </w:rPr>
                  <w:t>4</w:t>
                </w:r>
                <w:r>
                  <w:rPr>
                    <w:noProof/>
                    <w:webHidden/>
                  </w:rPr>
                  <w:fldChar w:fldCharType="end"/>
                </w:r>
              </w:hyperlink>
            </w:p>
            <w:p w14:paraId="2107754F" w14:textId="0A3B385F" w:rsidR="00CF0E48" w:rsidRDefault="00CF0E48">
              <w:pPr>
                <w:pStyle w:val="TOC2"/>
                <w:tabs>
                  <w:tab w:val="right" w:leader="dot" w:pos="9016"/>
                </w:tabs>
                <w:rPr>
                  <w:rFonts w:eastAsiaTheme="minorEastAsia"/>
                  <w:noProof/>
                  <w:kern w:val="2"/>
                  <w:sz w:val="24"/>
                  <w:szCs w:val="24"/>
                  <w:lang w:eastAsia="zh-CN"/>
                  <w14:ligatures w14:val="standardContextual"/>
                </w:rPr>
              </w:pPr>
              <w:hyperlink w:anchor="_Toc178766395" w:history="1">
                <w:r w:rsidRPr="0042521A">
                  <w:rPr>
                    <w:rStyle w:val="Hyperlink"/>
                    <w:noProof/>
                  </w:rPr>
                  <w:t>Task 1</w:t>
                </w:r>
                <w:r>
                  <w:rPr>
                    <w:noProof/>
                    <w:webHidden/>
                  </w:rPr>
                  <w:tab/>
                </w:r>
                <w:r>
                  <w:rPr>
                    <w:noProof/>
                    <w:webHidden/>
                  </w:rPr>
                  <w:fldChar w:fldCharType="begin"/>
                </w:r>
                <w:r>
                  <w:rPr>
                    <w:noProof/>
                    <w:webHidden/>
                  </w:rPr>
                  <w:instrText xml:space="preserve"> PAGEREF _Toc178766395 \h </w:instrText>
                </w:r>
                <w:r>
                  <w:rPr>
                    <w:noProof/>
                    <w:webHidden/>
                  </w:rPr>
                </w:r>
                <w:r>
                  <w:rPr>
                    <w:noProof/>
                    <w:webHidden/>
                  </w:rPr>
                  <w:fldChar w:fldCharType="separate"/>
                </w:r>
                <w:r>
                  <w:rPr>
                    <w:noProof/>
                    <w:webHidden/>
                  </w:rPr>
                  <w:t>4</w:t>
                </w:r>
                <w:r>
                  <w:rPr>
                    <w:noProof/>
                    <w:webHidden/>
                  </w:rPr>
                  <w:fldChar w:fldCharType="end"/>
                </w:r>
              </w:hyperlink>
              <w:r w:rsidR="00775630">
                <w:t>,5,6</w:t>
              </w:r>
            </w:p>
            <w:p w14:paraId="5724FBEF" w14:textId="65B29242" w:rsidR="00CF0E48" w:rsidRDefault="00775630">
              <w:pPr>
                <w:pStyle w:val="TOC1"/>
                <w:tabs>
                  <w:tab w:val="right" w:leader="dot" w:pos="9016"/>
                </w:tabs>
                <w:rPr>
                  <w:rFonts w:eastAsiaTheme="minorEastAsia"/>
                  <w:noProof/>
                  <w:kern w:val="2"/>
                  <w:sz w:val="24"/>
                  <w:szCs w:val="24"/>
                  <w:lang w:eastAsia="zh-CN"/>
                  <w14:ligatures w14:val="standardContextual"/>
                </w:rPr>
              </w:pPr>
              <w:r>
                <w:t>Conclusion…………………………………………………………………………………………………………………………………………7</w:t>
              </w:r>
            </w:p>
            <w:p w14:paraId="40E1EF05" w14:textId="176D6A37" w:rsidR="00CF0E48" w:rsidRDefault="00775630">
              <w:pPr>
                <w:pStyle w:val="TOC1"/>
                <w:tabs>
                  <w:tab w:val="right" w:leader="dot" w:pos="9016"/>
                </w:tabs>
                <w:rPr>
                  <w:rFonts w:eastAsiaTheme="minorEastAsia"/>
                  <w:noProof/>
                  <w:kern w:val="2"/>
                  <w:sz w:val="24"/>
                  <w:szCs w:val="24"/>
                  <w:lang w:eastAsia="zh-CN"/>
                  <w14:ligatures w14:val="standardContextual"/>
                </w:rPr>
              </w:pPr>
              <w:r>
                <w:rPr>
                  <w:rFonts w:eastAsiaTheme="minorEastAsia"/>
                  <w:noProof/>
                  <w:kern w:val="2"/>
                  <w:sz w:val="24"/>
                  <w:szCs w:val="24"/>
                  <w:lang w:eastAsia="zh-CN"/>
                  <w14:ligatures w14:val="standardContextual"/>
                </w:rPr>
                <w:t>Reference List……………………………………………………………………………………………………………………….8</w:t>
              </w:r>
            </w:p>
            <w:p w14:paraId="369B5B93" w14:textId="704D4527" w:rsidR="00CF0E48" w:rsidRDefault="00CF0E48">
              <w:pPr>
                <w:pStyle w:val="TOC1"/>
                <w:tabs>
                  <w:tab w:val="right" w:leader="dot" w:pos="9016"/>
                </w:tabs>
                <w:rPr>
                  <w:rFonts w:eastAsiaTheme="minorEastAsia"/>
                  <w:noProof/>
                  <w:kern w:val="2"/>
                  <w:sz w:val="24"/>
                  <w:szCs w:val="24"/>
                  <w:lang w:eastAsia="zh-CN"/>
                  <w14:ligatures w14:val="standardContextual"/>
                </w:rPr>
              </w:pPr>
            </w:p>
            <w:p w14:paraId="05194699" w14:textId="0114D832"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655F29CA" w14:textId="77777777" w:rsidR="007D1947" w:rsidRDefault="007D1947"/>
        <w:p w14:paraId="0ED321E6" w14:textId="7C4A829F" w:rsidR="007D1947" w:rsidRDefault="007D1947" w:rsidP="00A12B58">
          <w:pPr>
            <w:pStyle w:val="Heading1"/>
          </w:pPr>
          <w:bookmarkStart w:id="1" w:name="_Toc178766393"/>
          <w:r>
            <w:lastRenderedPageBreak/>
            <w:t>Introduction</w:t>
          </w:r>
          <w:r w:rsidR="00480872">
            <w:t xml:space="preserve"> </w:t>
          </w:r>
          <w:bookmarkEnd w:id="1"/>
        </w:p>
        <w:p w14:paraId="255F38AD" w14:textId="382639ED" w:rsidR="00775630" w:rsidRPr="00775630" w:rsidRDefault="00775630" w:rsidP="00775630">
          <w:r w:rsidRPr="00775630">
            <w:t>IR35 is commonly referred to as the UKs off payroll working rules, it was introduced to address the issue of “disguised employment" which occurs when workers are classified as independent contractors, however they work as if they are regular employees. This allows companies to avoid paying certain benefits</w:t>
          </w:r>
          <w:r>
            <w:t xml:space="preserve"> such as </w:t>
          </w:r>
          <w:r w:rsidRPr="00775630">
            <w:t>sick pay and especially tax. “The off-payroll working rules make sure that a worker (sometimes known as a contractor) pays broadly the same Income Tax and National Insurance as an employee would”. </w:t>
          </w:r>
          <w:hyperlink r:id="rId10" w:tgtFrame="_blank" w:history="1">
            <w:r w:rsidRPr="00775630">
              <w:rPr>
                <w:rStyle w:val="Hyperlink"/>
              </w:rPr>
              <w:t>Understanding off-payroll working (IR35) - GOV.UK</w:t>
            </w:r>
          </w:hyperlink>
          <w:r w:rsidRPr="00775630">
            <w:t> While the legislation aims to promote fairness in the tax system that certain companies that have these roles can follow and pay the correct amount of tax, its practical application has proven highly complex and often inconsistent (Freedman, 2017) This report aims to examine the foundation of IR35, when it was first introduced, where IR35 is now, where it aims to be in the future and also key issues surrounding the legislation. The report argues that although IR35 has been successful in increasing companies tax compliance, it still has issues which need to be heard surrounding its failure to align taxation with employment rights. </w:t>
          </w:r>
        </w:p>
        <w:p w14:paraId="510DFB8B" w14:textId="77777777" w:rsidR="00775630" w:rsidRPr="00775630" w:rsidRDefault="00775630" w:rsidP="00775630">
          <w:r w:rsidRPr="00775630">
            <w:t>The operation of IR35 is fully dependant on whether a worker is considered an employee in all aspects of the company. The case of Ready Mixed Concrete Ltd v Minister of Pensions (1968) shows how there are three key conditions for employment, mutuality and agreement of obligation, control of the company (such as time taken for tasks) and the contractual provisions are consistent with ordinary contracts of service. This issue of IR35 of whether a person is employed or independent is further backed up in </w:t>
          </w:r>
          <w:proofErr w:type="spellStart"/>
          <w:r w:rsidRPr="00775630">
            <w:t>Autoclenz</w:t>
          </w:r>
          <w:proofErr w:type="spellEnd"/>
          <w:r w:rsidRPr="00775630">
            <w:t> Ltd v Belcher (2011) where the Supreme Court held that courts should consider the reality of the working relationship rather than the written contract. This case shows that the contractual terms of the job alone are insufficient in determining employment status. This issue of IR35 impacts how effective the legislation is as there are no clear rules of what defines employment status. In 2024, the Upper Tribunal decision in the Professional Game Match Officials Ltd (PGMOL) case provided further clarification on how mutuality of obligation and control should be considered when assessing employment status under IR35. </w:t>
          </w:r>
        </w:p>
        <w:p w14:paraId="038723B1" w14:textId="77777777" w:rsidR="00775630" w:rsidRPr="00775630" w:rsidRDefault="00775630" w:rsidP="00775630"/>
        <w:p w14:paraId="54C81D2A" w14:textId="77777777" w:rsidR="007D1947" w:rsidRDefault="007D1947" w:rsidP="007D1947"/>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7DE1FBC8" w14:textId="618510DB" w:rsidR="00775630" w:rsidRPr="00775630" w:rsidRDefault="00480872" w:rsidP="00775630">
          <w:pPr>
            <w:pStyle w:val="Heading1"/>
          </w:pPr>
          <w:bookmarkStart w:id="2" w:name="_Toc178766394"/>
          <w:r>
            <w:lastRenderedPageBreak/>
            <w:t>Main Findings</w:t>
          </w:r>
          <w:bookmarkEnd w:id="2"/>
        </w:p>
        <w:p w14:paraId="73508E9D" w14:textId="30F47969" w:rsidR="00775630" w:rsidRPr="00775630" w:rsidRDefault="00775630" w:rsidP="00775630">
          <w:r w:rsidRPr="00775630">
            <w:t>IR35 was introduced in 2000 under the Finance Act following concerns about tax avoidance through personal service companies. </w:t>
          </w:r>
          <w:hyperlink r:id="rId11" w:tgtFrame="_blank" w:history="1">
            <w:r w:rsidRPr="00775630">
              <w:rPr>
                <w:rStyle w:val="Hyperlink"/>
              </w:rPr>
              <w:t>Cart | CPD Online College</w:t>
            </w:r>
          </w:hyperlink>
          <w:r w:rsidRPr="00775630">
            <w:t xml:space="preserve"> . The government introduced this to address situations arising of peoples working as employees but paying lower tax due to them supposedly being self-employed. When first introduced IR35 targeted the ‘Friday-to-Monday' scenario where Busby (2002) states “it is possible for someone to leave work as an employee on a Friday, only to return the following Monday to do exactly the same job as an indirectly engaged 'consultant.’” The main issue when IR35 was first introduced was the lack of rules and guidance into what was considered an employee in comparison to a different job role. This led to inconsistencies in enforcement of the legislation as the consideration of employment status was based off case law Mehboob (2020). HMRC struggled to enforce the rules effectively in the early years of the legislation which resulted in low compliance rates all around the UK Menon (2020). When IR35 first launched in 2000, it had a main ‘opponent’ which was called PCG at the time (now known as IPSE) The PCG was a representative group for contractors and freelancers. The group sought permission for a judicial review of IR35 in early 2001. However, in December of the same year the High Court ruled in favour of the Inland Revenue and the PCG lost its appeal. Business organisations and other interested parties have continued to lobby against IR35, claiming that the rules are unfairly targeted. In May 2010 the Coalition Government came into office and one of the first things they done was create OTS (Office of Tax Simplification). The OTS was tasked with finding ways to improve IR35, </w:t>
          </w:r>
          <w:proofErr w:type="gramStart"/>
          <w:r w:rsidRPr="00775630">
            <w:t>On</w:t>
          </w:r>
          <w:proofErr w:type="gramEnd"/>
          <w:r w:rsidRPr="00775630">
            <w:t xml:space="preserve"> 10th March 2011, the OTS provided the Government with three potential solutions to IR35: suspension followed by abolition, the creation of a series of new business tests and keeping IR35 in place but overhauling the way it is administered. Given that the removal of IR35 would make the government suffer from a direct and indirect loss of funding, the Chancellor decided to keep it in place, but overhaul the way HMRC has been dealing with the legislation. The Chancellor made 4 changes to way the IR35 was run, he first made a dedicated helpline run by specialists, to ensure contractors would not be confused by the legislation's rules, along with this he published new and improved guidelines and scenarios to help individuals determine their IR35 status more efficiently. He then changed the way IR35 reviews were and made sure businesses and contractors would only get a review if it was a high-risk case. </w:t>
          </w:r>
          <w:proofErr w:type="gramStart"/>
          <w:r w:rsidRPr="00775630">
            <w:t>Finally</w:t>
          </w:r>
          <w:proofErr w:type="gramEnd"/>
          <w:r w:rsidRPr="00775630">
            <w:t> there was a new IR35 Forum introduced to monitor HMRC’s enforcement of the legislation. The forum itself has many different specialists and representatives monitoring and providing information to businesses, such</w:t>
          </w:r>
          <w:r>
            <w:t xml:space="preserve"> </w:t>
          </w:r>
          <w:r w:rsidRPr="00775630">
            <w:t>as The Association of Professional Staffing Companies, Freelancer &amp; Contractor Services Association and Recruitment and Employment Confederation. In 2011 HMRC announced it would be publishing new Business entity tests together with a set of scenarios on its website to educate the public about the legislation. The tests were designed to give participants an idea of the risk they face of being selected for an IR35 investigation. However, the way the test results were scored was widely criticised, as most contractors would be at a ‘medium’ or ‘high’ risk of investigation, according to the results. As a result, to the backlash and controversy the HRMC received on the Business Entity Tests they announced in late 2014 the tests would be abolished in April of 2015 </w:t>
          </w:r>
        </w:p>
        <w:p w14:paraId="747C07F4" w14:textId="77777777" w:rsidR="00775630" w:rsidRPr="00775630" w:rsidRDefault="00775630" w:rsidP="00775630">
          <w:r w:rsidRPr="00775630">
            <w:t> </w:t>
          </w:r>
        </w:p>
        <w:p w14:paraId="63741FD3" w14:textId="77777777" w:rsidR="00775630" w:rsidRDefault="00775630" w:rsidP="00775630"/>
        <w:p w14:paraId="0A4872DB" w14:textId="77777777" w:rsidR="00775630" w:rsidRDefault="00775630" w:rsidP="00775630"/>
        <w:p w14:paraId="5C075F6B" w14:textId="77777777" w:rsidR="00775630" w:rsidRDefault="00775630" w:rsidP="00775630"/>
        <w:p w14:paraId="554A23A2" w14:textId="62F829D0" w:rsidR="00775630" w:rsidRPr="00775630" w:rsidRDefault="00775630" w:rsidP="00775630">
          <w:r w:rsidRPr="00775630">
            <w:lastRenderedPageBreak/>
            <w:t>In 2017 different reforms were introduced for the public sector and then further extended to the private sector in 2021. These new rules directly affected how to determine the difference between a regular employee to a contractor HMRC (2021). Under the current system, organisations must issue a Status Determination Statement and take considerable action in determining if a contractor is affected by IR35. Along with this the HMRC released A new IR35 Employment Status Test (ESS) was launched in early March 2017 to help workers, clients, and agents determine whether someone is caught by IR35. If IR35 applies, whether it's a boss or CEO, whoever pays the fees within the company is responsible for deducting income tax and any national insurance. At first this improved tax compliance by a significant margin, however it also introduced certain issues, such as many organisations avoiding contractors all together. This leads to questions being asked about IR35 as this was not the intended purpose of the legislation and clearly shows that its effectiveness in achieving fair outcomes is not present. A key issue within IR35 is its reliance on case law to determine employment status, which leads to inconsistent outcomes Freedman (2017). Different companies may reach different conclusions when comparing similar facts and case law. This creates a sense of worry and uncertainty within businesses as the lack of consistency within the legislation can results in people avoiding tax, but on the other hand paying too much.  One of the biggest and concerning issues with IR35 is that businesses that have considered the contractors to be inside the IR35 are taxed as employees, however in some cases will not rec</w:t>
          </w:r>
          <w:r w:rsidR="008A0CC5">
            <w:t>ei</w:t>
          </w:r>
          <w:r w:rsidRPr="00775630">
            <w:t>ve sick pay, holiday pay or pension contributions Green (2016), Taylor (2017). This has been widely criticized as it creates a sense of unfairness within the workplace in comparison to others, as employees getting taxed should receive the other benefits to working. IR35 has also had a major economic impact, it has created a £4.2billion boost in tax revenue, however more than 120,000 workers and businesses have been affected. </w:t>
          </w:r>
          <w:hyperlink r:id="rId12" w:tgtFrame="_blank" w:history="1">
            <w:r w:rsidRPr="00775630">
              <w:rPr>
                <w:rStyle w:val="Hyperlink"/>
              </w:rPr>
              <w:t>IR35 Reform impact: the true cost behind HMRC’s £4.2bn windfall | Bauer &amp; Cottrell</w:t>
            </w:r>
          </w:hyperlink>
          <w:r w:rsidRPr="00775630">
            <w:t> . Over 50% of contractors have turned down roles inside the legislation of IR35 as it proves to be a ‘barrier’ blocking entrepreneurship. 83% of contractors believe that IR35 is detrimental to their business. </w:t>
          </w:r>
          <w:hyperlink r:id="rId13" w:tgtFrame="_blank" w:history="1">
            <w:r w:rsidRPr="00775630">
              <w:rPr>
                <w:rStyle w:val="Hyperlink"/>
              </w:rPr>
              <w:t>IR35 is a barrier to growth that Britain and Rachel Reeves can’t afford | Contractor UK</w:t>
            </w:r>
          </w:hyperlink>
          <w:r w:rsidRPr="00775630">
            <w:t xml:space="preserve"> An umbrella company is a business often used by recruitment agencies to pay temporary workers. In most cases, the umbrella company employs you and pays your wages through PAYE. It does not find temporary work for you. The recruitment agency (also known as an employment business) does </w:t>
          </w:r>
          <w:proofErr w:type="spellStart"/>
          <w:r w:rsidRPr="00775630">
            <w:t>this.</w:t>
          </w:r>
          <w:hyperlink r:id="rId14" w:tgtFrame="_blank" w:history="1">
            <w:r w:rsidRPr="00775630">
              <w:rPr>
                <w:rStyle w:val="Hyperlink"/>
              </w:rPr>
              <w:t>Working</w:t>
            </w:r>
            <w:proofErr w:type="spellEnd"/>
            <w:r w:rsidRPr="00775630">
              <w:rPr>
                <w:rStyle w:val="Hyperlink"/>
              </w:rPr>
              <w:t xml:space="preserve"> through an umbrella company - GOV.UK</w:t>
            </w:r>
          </w:hyperlink>
          <w:r w:rsidRPr="00775630">
            <w:t xml:space="preserve"> This information is relevant as since the April 2021 change of IR35, there has been a significant rise of the use of umbrella companies. Between April 2021 and March 2022 alone, nearly 45,000 fewer personal service companies (PSCs) were incorporated, and more than 280,000 contractors have since moved into employment or umbrella models HM Revenue and Customs (2021). This can be seen in 2 ways as using these umbrella companies can make it easier to comply with IR35, however it also increases risks of noncompliance and workers using these umbrella companies to exploit the legislation. This if further backed up when Pluck (2021) said that if you were to move today from PSC status or limited company status to umbrella employment, “there is a fair chance that if you went with a compliant umbrella company it would tax you in the way an employee should be taxed in the UK. HMRC data from 2021 tells us that 1.3 billion pounds of tax revenue was raised in the last tax year alone and over 120,000 contractors have been reclassified under IR35. The change of the system of making the business responsible for checking if IR35 is liable in the company also received backlash, as having to individually assess each contractor and keep any documentation as proof would make an impact on rising administrative expenses, this resulted in companies making “blanket” decisions. Chamberlain (2021) said that as well as the blanket bans, there is the problem of blanket decisions, which is where they say that everyone is inside IR35. “That is against the rules. According to the legislation, they are supposed to take reasonable care in making determinations, and 21% of freelancers in our survey reported that their clients had determined all engagement as inside IR35 without considering </w:t>
          </w:r>
          <w:r w:rsidRPr="00775630">
            <w:lastRenderedPageBreak/>
            <w:t>them individually.” (Chartered Institute of Taxation, 2021) In 2024, legislation was introduced to be able to make an IR35 offset mechanism, this mechanism allows for certain taxes such as dividend tax and corporation tax to be offset against PAYE liabilities arising from an IR35 assessment. This was once again made due to rising concerns of potential double taxation in certain cases that HMRC had a successful challenge of a company's status determination. In March of 2025, HMRC revealed IR35 reforms have generated an addition 4.2 billion pounds in tax revenue since 2021. The government has signalled a second phase of reform, this time targeting the regulatory gaps around umbrella companies, agency labour, and intermediaries. </w:t>
          </w:r>
        </w:p>
        <w:p w14:paraId="1845F1C5" w14:textId="77777777" w:rsidR="00775630" w:rsidRPr="00775630" w:rsidRDefault="00775630" w:rsidP="00775630">
          <w:r w:rsidRPr="00775630">
            <w:t xml:space="preserve">It is highly unlikely that IR35 will be abolished due it its massive contribution to the yearly tax revenue. Instead, future reforms will focus on improving clarity and hoping to reduce potential backlash. Over the next 18–24 months major changes are anticipated such as new legislation being made for zero-hour agency workers to a right to a guaranteed set number of hours and shift cancellation notice. IR35 has survived multiple governments, public sector backlash and private sector reform delays. Each time, IR35 has remained, sometimes altered, but never removed. </w:t>
          </w:r>
          <w:proofErr w:type="gramStart"/>
          <w:r w:rsidRPr="00775630">
            <w:t>This further backs</w:t>
          </w:r>
          <w:proofErr w:type="gramEnd"/>
          <w:r w:rsidRPr="00775630">
            <w:t xml:space="preserve"> the point that IR35 is here to stay. A better solution considering tax revenue and preventing public backlash would be to align the legislation with employment rights, however changes like this would require significant government backing and could be politically challenging. </w:t>
          </w:r>
        </w:p>
        <w:p w14:paraId="46965C6B" w14:textId="77777777" w:rsidR="00CF0E48" w:rsidRDefault="00CF0E48" w:rsidP="00CF0E48"/>
        <w:p w14:paraId="51C49B6D" w14:textId="77777777" w:rsidR="00CF0E48" w:rsidRDefault="00CF0E48" w:rsidP="00CF0E48"/>
        <w:p w14:paraId="46F771F3" w14:textId="77777777" w:rsidR="00CF0E48" w:rsidRDefault="00CF0E48" w:rsidP="00CF0E48"/>
        <w:p w14:paraId="7F7957F3" w14:textId="77777777" w:rsidR="00CF0E48" w:rsidRDefault="00CF0E48" w:rsidP="00CF0E48"/>
        <w:p w14:paraId="65BF57E5" w14:textId="77777777" w:rsidR="00CF0E48" w:rsidRDefault="00CF0E48" w:rsidP="00CF0E48"/>
        <w:p w14:paraId="0E280EA1" w14:textId="77777777" w:rsidR="00CF0E48" w:rsidRDefault="00CF0E48" w:rsidP="00CF0E48"/>
        <w:p w14:paraId="32D1D8DE" w14:textId="77777777" w:rsidR="00775630" w:rsidRDefault="00775630" w:rsidP="00AA2A91">
          <w:pPr>
            <w:pStyle w:val="Heading1"/>
          </w:pPr>
          <w:bookmarkStart w:id="3" w:name="_Toc178766397"/>
        </w:p>
        <w:p w14:paraId="30FBBD37" w14:textId="77777777" w:rsidR="00775630" w:rsidRDefault="00775630" w:rsidP="00AA2A91">
          <w:pPr>
            <w:pStyle w:val="Heading1"/>
          </w:pPr>
        </w:p>
        <w:p w14:paraId="637EEBD8" w14:textId="77777777" w:rsidR="00775630" w:rsidRDefault="00775630" w:rsidP="00AA2A91">
          <w:pPr>
            <w:pStyle w:val="Heading1"/>
          </w:pPr>
        </w:p>
        <w:p w14:paraId="58BEFA93" w14:textId="77777777" w:rsidR="00775630" w:rsidRDefault="00775630" w:rsidP="00AA2A91">
          <w:pPr>
            <w:pStyle w:val="Heading1"/>
          </w:pPr>
        </w:p>
        <w:p w14:paraId="5A9A35EE" w14:textId="77777777" w:rsidR="00775630" w:rsidRDefault="00775630" w:rsidP="00AA2A91">
          <w:pPr>
            <w:pStyle w:val="Heading1"/>
          </w:pPr>
        </w:p>
        <w:p w14:paraId="38C3D2C8" w14:textId="77777777" w:rsidR="00775630" w:rsidRDefault="00775630" w:rsidP="00AA2A91">
          <w:pPr>
            <w:pStyle w:val="Heading1"/>
          </w:pPr>
        </w:p>
        <w:p w14:paraId="23C9E6A9" w14:textId="77777777" w:rsidR="00775630" w:rsidRDefault="00775630" w:rsidP="00AA2A91">
          <w:pPr>
            <w:pStyle w:val="Heading1"/>
          </w:pPr>
        </w:p>
        <w:p w14:paraId="55C7DEA1" w14:textId="4B7A0977" w:rsidR="00775630" w:rsidRDefault="00775630" w:rsidP="00AA2A91">
          <w:pPr>
            <w:pStyle w:val="Heading1"/>
          </w:pPr>
          <w:r>
            <w:t>Conclusion</w:t>
          </w:r>
        </w:p>
        <w:p w14:paraId="7F498A41" w14:textId="77777777" w:rsidR="00775630" w:rsidRDefault="00775630" w:rsidP="00AA2A91">
          <w:pPr>
            <w:pStyle w:val="Heading1"/>
          </w:pPr>
        </w:p>
        <w:p w14:paraId="0272B9D1" w14:textId="498411BF" w:rsidR="00775630" w:rsidRDefault="00775630" w:rsidP="00775630">
          <w:r w:rsidRPr="00775630">
            <w:t>To conclude, IR35 represents a significant attempt by the UK government to subtly address tax avoidance and promote fairness within the taxation system. Its main objective is to ensure that individuals performing similar work pay similar amounts of tax, however as this report as shown the legislation has received a considerable amount of backlash since its formation in the year 2000. The reliance on case law such as the Ready Mixed Concrete Ltd case to determine the status of a contractor's employment creates a sense of uncertainty within the legislation which makes consistent application of the legislation unreliable. Moving on to the mention of employment rights this problem highlights a significant issue within the legislation if contractors are getting double taxed as this can raise attention about the legislation's fairness between one company to another. However, within the recent reforms IR35 has improved drastically from what it was 26 years ago, with the new introduction of the Forum and the new sets of rules to define employment, it makes self-assessment much easier for contractors. The reforms have also increased tax revenue for the country drastically, however with doing so, the reforms have also increased administrative charges for companies all around the UK. As a result of all this IR35 can be seen as an unpopular and controversial legislation in the public eye, however with proper reform from the government such as aligning with employment rights and a definite clarification of employment status, IR35 can become a suitable and easy way for contractors around the UK to check if they are being taxed correctly, as well as the legislation dealing with the problem of disguised employment. </w:t>
          </w:r>
        </w:p>
        <w:p w14:paraId="28E4EE91" w14:textId="473A0755" w:rsidR="00775630" w:rsidRDefault="008A0CC5" w:rsidP="00AA2A91">
          <w:pPr>
            <w:pStyle w:val="Heading1"/>
          </w:pPr>
          <w:r>
            <w:lastRenderedPageBreak/>
            <w:t>Reference List</w:t>
          </w:r>
        </w:p>
        <w:p w14:paraId="667D309D" w14:textId="77777777" w:rsidR="008D465E" w:rsidRPr="008D465E" w:rsidRDefault="008D465E" w:rsidP="008D465E">
          <w:pPr>
            <w:pStyle w:val="Heading1"/>
          </w:pPr>
          <w:hyperlink r:id="rId15" w:tgtFrame="_blank" w:history="1">
            <w:proofErr w:type="spellStart"/>
            <w:r w:rsidRPr="008D465E">
              <w:rPr>
                <w:rStyle w:val="Hyperlink"/>
                <w:i/>
                <w:iCs/>
              </w:rPr>
              <w:t>Autoclenz</w:t>
            </w:r>
            <w:proofErr w:type="spellEnd"/>
            <w:r w:rsidRPr="008D465E">
              <w:rPr>
                <w:rStyle w:val="Hyperlink"/>
                <w:i/>
                <w:iCs/>
              </w:rPr>
              <w:t xml:space="preserve"> Ltd v Belcher</w:t>
            </w:r>
            <w:r w:rsidRPr="008D465E">
              <w:rPr>
                <w:rStyle w:val="Hyperlink"/>
              </w:rPr>
              <w:t xml:space="preserve"> [2011] UKSC 41, [2011] 4 All ER 745, [2011] IRLR 820, [2011] ICR 1157, [2011] NLJR 1099, (2011) Times, 05 August, [2011] All ER (D) 251 (Jul), CSRC vol 35 </w:t>
            </w:r>
            <w:proofErr w:type="spellStart"/>
            <w:r w:rsidRPr="008D465E">
              <w:rPr>
                <w:rStyle w:val="Hyperlink"/>
              </w:rPr>
              <w:t>iss</w:t>
            </w:r>
            <w:proofErr w:type="spellEnd"/>
            <w:r w:rsidRPr="008D465E">
              <w:rPr>
                <w:rStyle w:val="Hyperlink"/>
              </w:rPr>
              <w:t xml:space="preserve"> 10/1</w:t>
            </w:r>
          </w:hyperlink>
          <w:r w:rsidRPr="008D465E">
            <w:t> </w:t>
          </w:r>
        </w:p>
        <w:p w14:paraId="6BBEEB06" w14:textId="77777777" w:rsidR="008D465E" w:rsidRPr="008D465E" w:rsidRDefault="008D465E" w:rsidP="008D465E">
          <w:pPr>
            <w:pStyle w:val="Heading1"/>
          </w:pPr>
          <w:r w:rsidRPr="008D465E">
            <w:t>Busby, N., 2002. IR35: Resolution of a taxing problem. </w:t>
          </w:r>
          <w:r w:rsidRPr="008D465E">
            <w:rPr>
              <w:i/>
              <w:iCs/>
            </w:rPr>
            <w:t>Indus. LJ</w:t>
          </w:r>
          <w:r w:rsidRPr="008D465E">
            <w:t>, </w:t>
          </w:r>
          <w:r w:rsidRPr="008D465E">
            <w:rPr>
              <w:i/>
              <w:iCs/>
            </w:rPr>
            <w:t>31</w:t>
          </w:r>
          <w:r w:rsidRPr="008D465E">
            <w:t>, p.172. </w:t>
          </w:r>
        </w:p>
        <w:p w14:paraId="164B25EA" w14:textId="77777777" w:rsidR="008D465E" w:rsidRPr="008D465E" w:rsidRDefault="008D465E" w:rsidP="008D465E">
          <w:pPr>
            <w:pStyle w:val="Heading1"/>
          </w:pPr>
          <w:r w:rsidRPr="008D465E">
            <w:t>Freedman, J., 2017. Tax and Brexit. </w:t>
          </w:r>
          <w:r w:rsidRPr="008D465E">
            <w:rPr>
              <w:i/>
              <w:iCs/>
            </w:rPr>
            <w:t>Oxford Review of Economic Policy</w:t>
          </w:r>
          <w:r w:rsidRPr="008D465E">
            <w:t>, </w:t>
          </w:r>
          <w:r w:rsidRPr="008D465E">
            <w:rPr>
              <w:i/>
              <w:iCs/>
            </w:rPr>
            <w:t>33</w:t>
          </w:r>
          <w:r w:rsidRPr="008D465E">
            <w:t>(suppl_1), </w:t>
          </w:r>
          <w:proofErr w:type="gramStart"/>
          <w:r w:rsidRPr="008D465E">
            <w:t>pp.S</w:t>
          </w:r>
          <w:proofErr w:type="gramEnd"/>
          <w:r w:rsidRPr="008D465E">
            <w:t>79-S90. </w:t>
          </w:r>
        </w:p>
        <w:p w14:paraId="5BFA48AA" w14:textId="77777777" w:rsidR="008D465E" w:rsidRPr="008D465E" w:rsidRDefault="008D465E" w:rsidP="008D465E">
          <w:pPr>
            <w:pStyle w:val="Heading1"/>
          </w:pPr>
          <w:proofErr w:type="gramStart"/>
          <w:r w:rsidRPr="008D465E">
            <w:t>.Green</w:t>
          </w:r>
          <w:proofErr w:type="gramEnd"/>
          <w:r w:rsidRPr="008D465E">
            <w:t>, R., 2016. IT35: A Sticking Plaster for the Gaping Wound. </w:t>
          </w:r>
          <w:r w:rsidRPr="008D465E">
            <w:rPr>
              <w:i/>
              <w:iCs/>
            </w:rPr>
            <w:t>Edinburgh Student L. Rev.</w:t>
          </w:r>
          <w:r w:rsidRPr="008D465E">
            <w:t>, </w:t>
          </w:r>
          <w:r w:rsidRPr="008D465E">
            <w:rPr>
              <w:i/>
              <w:iCs/>
            </w:rPr>
            <w:t>3</w:t>
          </w:r>
          <w:r w:rsidRPr="008D465E">
            <w:t>, p.75 </w:t>
          </w:r>
        </w:p>
        <w:p w14:paraId="2BC2869D" w14:textId="77777777" w:rsidR="008D465E" w:rsidRPr="008D465E" w:rsidRDefault="008D465E" w:rsidP="008D465E">
          <w:pPr>
            <w:pStyle w:val="Heading1"/>
          </w:pPr>
          <w:r w:rsidRPr="008D465E">
            <w:t>Mehboob, D., 2020. Taxpayers see long-term challenges under UK’s IR35 regime. </w:t>
          </w:r>
          <w:r w:rsidRPr="008D465E">
            <w:rPr>
              <w:i/>
              <w:iCs/>
            </w:rPr>
            <w:t>International Tax Review</w:t>
          </w:r>
          <w:r w:rsidRPr="008D465E">
            <w:t>. </w:t>
          </w:r>
        </w:p>
        <w:p w14:paraId="60B2FB3E" w14:textId="77777777" w:rsidR="008D465E" w:rsidRPr="008D465E" w:rsidRDefault="008D465E" w:rsidP="008D465E">
          <w:pPr>
            <w:pStyle w:val="Heading1"/>
          </w:pPr>
          <w:r w:rsidRPr="008D465E">
            <w:t>Menon, S.H. and Barclay, A.</w:t>
          </w:r>
          <w:proofErr w:type="gramStart"/>
          <w:r w:rsidRPr="008D465E">
            <w:t>,  2020</w:t>
          </w:r>
          <w:proofErr w:type="gramEnd"/>
          <w:r w:rsidRPr="008D465E">
            <w:t>. The British Entrepreneur. </w:t>
          </w:r>
        </w:p>
        <w:p w14:paraId="4D5D5AEE" w14:textId="77777777" w:rsidR="008D465E" w:rsidRPr="008D465E" w:rsidRDefault="008D465E" w:rsidP="008D465E">
          <w:pPr>
            <w:pStyle w:val="Heading1"/>
          </w:pPr>
          <w:hyperlink r:id="rId16" w:tgtFrame="_blank" w:history="1">
            <w:r w:rsidRPr="008D465E">
              <w:rPr>
                <w:rStyle w:val="Hyperlink"/>
                <w:i/>
                <w:iCs/>
              </w:rPr>
              <w:t>Ready Mixed Concrete (South East) Ltd v Minister of Pensions and National Insurance</w:t>
            </w:r>
            <w:r w:rsidRPr="008D465E">
              <w:rPr>
                <w:rStyle w:val="Hyperlink"/>
              </w:rPr>
              <w:t> [1968] 2 QB 497, [1968] 1 All ER 433, [1968] 2 WLR 775, 4 KIR 132, 112 Sol Jo 14</w:t>
            </w:r>
          </w:hyperlink>
          <w:r w:rsidRPr="008D465E">
            <w:t> </w:t>
          </w:r>
        </w:p>
        <w:p w14:paraId="11763B66" w14:textId="77777777" w:rsidR="008D465E" w:rsidRPr="008D465E" w:rsidRDefault="008D465E" w:rsidP="008D465E">
          <w:pPr>
            <w:pStyle w:val="Heading1"/>
          </w:pPr>
          <w:hyperlink r:id="rId17" w:tgtFrame="_blank" w:history="1">
            <w:r w:rsidRPr="008D465E">
              <w:rPr>
                <w:rStyle w:val="Hyperlink"/>
              </w:rPr>
              <w:t>IR35 Reform impact: the true cost behind HMRC’s £4.2bn windfall | Bauer &amp; Cottrell</w:t>
            </w:r>
          </w:hyperlink>
          <w:r w:rsidRPr="008D465E">
            <w:t> </w:t>
          </w:r>
        </w:p>
        <w:p w14:paraId="7FD170D9" w14:textId="77777777" w:rsidR="008D465E" w:rsidRPr="008D465E" w:rsidRDefault="008D465E" w:rsidP="008D465E">
          <w:pPr>
            <w:pStyle w:val="Heading1"/>
          </w:pPr>
          <w:hyperlink r:id="rId18" w:tgtFrame="_blank" w:history="1">
            <w:r w:rsidRPr="008D465E">
              <w:rPr>
                <w:rStyle w:val="Hyperlink"/>
              </w:rPr>
              <w:t>IR35 is a barrier to growth that Britain and Rachel Reeves can’t afford | Contractor UK</w:t>
            </w:r>
          </w:hyperlink>
          <w:r w:rsidRPr="008D465E">
            <w:t> </w:t>
          </w:r>
        </w:p>
        <w:p w14:paraId="20E328E6" w14:textId="77777777" w:rsidR="008D465E" w:rsidRPr="008D465E" w:rsidRDefault="008D465E" w:rsidP="008D465E">
          <w:pPr>
            <w:pStyle w:val="Heading1"/>
          </w:pPr>
          <w:hyperlink r:id="rId19" w:tgtFrame="_blank" w:history="1">
            <w:r w:rsidRPr="008D465E">
              <w:rPr>
                <w:rStyle w:val="Hyperlink"/>
              </w:rPr>
              <w:t>IR35 history - a concise timeline from 1999 to date - IT Contracting</w:t>
            </w:r>
          </w:hyperlink>
          <w:r w:rsidRPr="008D465E">
            <w:t> </w:t>
          </w:r>
        </w:p>
        <w:p w14:paraId="45A4C0F8" w14:textId="77777777" w:rsidR="008D465E" w:rsidRPr="008D465E" w:rsidRDefault="008D465E" w:rsidP="008D465E">
          <w:pPr>
            <w:pStyle w:val="Heading1"/>
          </w:pPr>
          <w:hyperlink r:id="rId20" w:tgtFrame="_blank" w:history="1">
            <w:r w:rsidRPr="008D465E">
              <w:rPr>
                <w:rStyle w:val="Hyperlink"/>
              </w:rPr>
              <w:t>What is IR35? • FCSA</w:t>
            </w:r>
          </w:hyperlink>
          <w:r w:rsidRPr="008D465E">
            <w:t> </w:t>
          </w:r>
        </w:p>
        <w:p w14:paraId="5C8BB386" w14:textId="77777777" w:rsidR="008D465E" w:rsidRPr="008D465E" w:rsidRDefault="008D465E" w:rsidP="008D465E">
          <w:pPr>
            <w:pStyle w:val="Heading1"/>
          </w:pPr>
          <w:hyperlink r:id="rId21" w:tgtFrame="_blank" w:history="1">
            <w:r w:rsidRPr="008D465E">
              <w:rPr>
                <w:rStyle w:val="Hyperlink"/>
              </w:rPr>
              <w:t xml:space="preserve">IR35, Umbrella Reform &amp; the £4.2bn Wake-Up Call: A New Era for Contractor Payroll and Compliance – </w:t>
            </w:r>
            <w:proofErr w:type="spellStart"/>
            <w:r w:rsidRPr="008D465E">
              <w:rPr>
                <w:rStyle w:val="Hyperlink"/>
              </w:rPr>
              <w:t>OPRaaS</w:t>
            </w:r>
            <w:proofErr w:type="spellEnd"/>
            <w:r w:rsidRPr="008D465E">
              <w:rPr>
                <w:rStyle w:val="Hyperlink"/>
              </w:rPr>
              <w:t xml:space="preserve"> Labour Supply Chain Assurance Compliance and Audit Platform</w:t>
            </w:r>
          </w:hyperlink>
          <w:r w:rsidRPr="008D465E">
            <w:t> </w:t>
          </w:r>
        </w:p>
        <w:p w14:paraId="491FEB08" w14:textId="77777777" w:rsidR="00775630" w:rsidRDefault="00775630" w:rsidP="00AA2A91">
          <w:pPr>
            <w:pStyle w:val="Heading1"/>
          </w:pPr>
        </w:p>
        <w:p w14:paraId="547D915A" w14:textId="77777777" w:rsidR="00775630" w:rsidRDefault="00775630" w:rsidP="00AA2A91">
          <w:pPr>
            <w:pStyle w:val="Heading1"/>
          </w:pPr>
        </w:p>
        <w:p w14:paraId="16766C4E" w14:textId="77777777" w:rsidR="00775630" w:rsidRDefault="00775630" w:rsidP="00AA2A91">
          <w:pPr>
            <w:pStyle w:val="Heading1"/>
          </w:pPr>
        </w:p>
        <w:p w14:paraId="5A5FE1FF" w14:textId="77777777" w:rsidR="00775630" w:rsidRDefault="00775630" w:rsidP="00AA2A91">
          <w:pPr>
            <w:pStyle w:val="Heading1"/>
          </w:pPr>
        </w:p>
        <w:bookmarkEnd w:id="3"/>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7D69E6F" w14:textId="77777777" w:rsidR="004A11F6" w:rsidRPr="007D1947" w:rsidRDefault="004A11F6" w:rsidP="007D1947"/>
        <w:p w14:paraId="7F890C1F" w14:textId="77777777" w:rsidR="00CA09F3" w:rsidRDefault="00000000"/>
      </w:sdtContent>
    </w:sdt>
    <w:p w14:paraId="1E418EE2" w14:textId="77777777" w:rsidR="00CF0E48" w:rsidRDefault="00CF0E48"/>
    <w:p w14:paraId="493C784B" w14:textId="77777777" w:rsidR="00CF0E48" w:rsidRDefault="00CF0E48"/>
    <w:p w14:paraId="35C7F415" w14:textId="77777777" w:rsidR="00CF0E48" w:rsidRDefault="00CF0E48"/>
    <w:p w14:paraId="365813D8" w14:textId="77777777" w:rsidR="00CF0E48" w:rsidRDefault="00CF0E48"/>
    <w:p w14:paraId="0B40F6B3" w14:textId="77777777" w:rsidR="00CF0E48" w:rsidRDefault="00CF0E48"/>
    <w:p w14:paraId="2BDC7C17" w14:textId="77777777" w:rsidR="00CF0E48" w:rsidRDefault="00CF0E48"/>
    <w:p w14:paraId="12C9B7B1" w14:textId="77777777" w:rsidR="00CF0E48" w:rsidRDefault="00CF0E48"/>
    <w:p w14:paraId="7ED5198D" w14:textId="77777777" w:rsidR="00CF0E48" w:rsidRDefault="00CF0E48"/>
    <w:p w14:paraId="14DE9FFD" w14:textId="77777777" w:rsidR="00CF0E48" w:rsidRDefault="00CF0E48"/>
    <w:p w14:paraId="60B253D9" w14:textId="77777777" w:rsidR="00CF0E48" w:rsidRDefault="00CF0E48"/>
    <w:p w14:paraId="3A0D648F" w14:textId="77777777" w:rsidR="00CF0E48" w:rsidRDefault="00CF0E48"/>
    <w:p w14:paraId="1E21E158" w14:textId="77777777" w:rsidR="00CF0E48" w:rsidRDefault="00CF0E48"/>
    <w:p w14:paraId="59B0FBC3" w14:textId="77777777" w:rsidR="00CF0E48" w:rsidRDefault="00CF0E48"/>
    <w:p w14:paraId="126261C2" w14:textId="77777777" w:rsidR="00CF0E48" w:rsidRDefault="00CF0E48"/>
    <w:p w14:paraId="1BCAA413" w14:textId="77777777" w:rsidR="00CF0E48" w:rsidRDefault="00CF0E48"/>
    <w:p w14:paraId="0A361E34" w14:textId="77777777" w:rsidR="00CF0E48" w:rsidRDefault="00CF0E48"/>
    <w:p w14:paraId="57B33282" w14:textId="77777777" w:rsidR="00CF0E48" w:rsidRDefault="00CF0E48"/>
    <w:p w14:paraId="397E3009" w14:textId="77777777" w:rsidR="00CF0E48" w:rsidRDefault="00CF0E48"/>
    <w:p w14:paraId="2871B94B" w14:textId="77777777" w:rsidR="00CF0E48" w:rsidRDefault="00CF0E48"/>
    <w:p w14:paraId="425F0D95" w14:textId="77777777" w:rsidR="00CF0E48" w:rsidRDefault="00CF0E48"/>
    <w:p w14:paraId="292FA8CE" w14:textId="77777777" w:rsidR="00CF0E48" w:rsidRDefault="00CF0E48"/>
    <w:p w14:paraId="53784DC7" w14:textId="77777777" w:rsidR="00CF0E48" w:rsidRDefault="00CF0E48"/>
    <w:p w14:paraId="20392F0E" w14:textId="77777777" w:rsidR="00CF0E48" w:rsidRDefault="00CF0E48"/>
    <w:p w14:paraId="3A0F8A35" w14:textId="77777777" w:rsidR="00CF0E48" w:rsidRDefault="00CF0E48"/>
    <w:p w14:paraId="0982A9AD" w14:textId="77777777" w:rsidR="00CF0E48" w:rsidRDefault="00CF0E48"/>
    <w:p w14:paraId="3800EC8D" w14:textId="77777777" w:rsidR="00CF0E48" w:rsidRDefault="00CF0E48"/>
    <w:p w14:paraId="3DB2A612" w14:textId="77777777" w:rsidR="00CF0E48" w:rsidRDefault="00CF0E48"/>
    <w:p w14:paraId="6C7E6260" w14:textId="77777777" w:rsidR="00CF0E48" w:rsidRDefault="00CF0E48"/>
    <w:p w14:paraId="1F4145EA" w14:textId="2113AEA8" w:rsidR="00CF0E48" w:rsidRDefault="00CF0E48" w:rsidP="008A0CC5">
      <w:pPr>
        <w:pStyle w:val="Heading1"/>
        <w:tabs>
          <w:tab w:val="left" w:pos="2100"/>
        </w:tabs>
      </w:pPr>
    </w:p>
    <w:sectPr w:rsidR="00CF0E48"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B8EE7" w14:textId="77777777" w:rsidR="00A95F0E" w:rsidRDefault="00A95F0E" w:rsidP="00F33B24">
      <w:pPr>
        <w:spacing w:after="0" w:line="240" w:lineRule="auto"/>
      </w:pPr>
      <w:r>
        <w:separator/>
      </w:r>
    </w:p>
  </w:endnote>
  <w:endnote w:type="continuationSeparator" w:id="0">
    <w:p w14:paraId="515D6210" w14:textId="77777777" w:rsidR="00A95F0E" w:rsidRDefault="00A95F0E"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2C26E" w14:textId="77777777" w:rsidR="00A95F0E" w:rsidRDefault="00A95F0E" w:rsidP="00F33B24">
      <w:pPr>
        <w:spacing w:after="0" w:line="240" w:lineRule="auto"/>
      </w:pPr>
      <w:r>
        <w:separator/>
      </w:r>
    </w:p>
  </w:footnote>
  <w:footnote w:type="continuationSeparator" w:id="0">
    <w:p w14:paraId="03E41059" w14:textId="77777777" w:rsidR="00A95F0E" w:rsidRDefault="00A95F0E"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0D6B11"/>
    <w:rsid w:val="00107936"/>
    <w:rsid w:val="00115B96"/>
    <w:rsid w:val="00324CCD"/>
    <w:rsid w:val="003C11E7"/>
    <w:rsid w:val="00480872"/>
    <w:rsid w:val="004A11F6"/>
    <w:rsid w:val="004D519C"/>
    <w:rsid w:val="00775630"/>
    <w:rsid w:val="007D1947"/>
    <w:rsid w:val="007D7CC4"/>
    <w:rsid w:val="008A0CC5"/>
    <w:rsid w:val="008D465E"/>
    <w:rsid w:val="00931CAA"/>
    <w:rsid w:val="00A11633"/>
    <w:rsid w:val="00A12B58"/>
    <w:rsid w:val="00A95F0E"/>
    <w:rsid w:val="00AA2A91"/>
    <w:rsid w:val="00C06376"/>
    <w:rsid w:val="00CA09F3"/>
    <w:rsid w:val="00CF0E48"/>
    <w:rsid w:val="00D854A5"/>
    <w:rsid w:val="00DF682E"/>
    <w:rsid w:val="00F33B24"/>
    <w:rsid w:val="00F567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styleId="UnresolvedMention">
    <w:name w:val="Unresolved Mention"/>
    <w:basedOn w:val="DefaultParagraphFont"/>
    <w:uiPriority w:val="99"/>
    <w:semiHidden/>
    <w:unhideWhenUsed/>
    <w:rsid w:val="00775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tractoruk.com/news/0016673ir35_barrier_growth_britain_and_rachel_reeves_cant_afford.html" TargetMode="External"/><Relationship Id="rId18" Type="http://schemas.openxmlformats.org/officeDocument/2006/relationships/hyperlink" Target="https://www.contractoruk.com/news/0016673ir35_barrier_growth_britain_and_rachel_reeves_cant_afford.html" TargetMode="External"/><Relationship Id="rId3" Type="http://schemas.openxmlformats.org/officeDocument/2006/relationships/styles" Target="styles.xml"/><Relationship Id="rId21" Type="http://schemas.openxmlformats.org/officeDocument/2006/relationships/hyperlink" Target="https://opraas.co.uk/ir35-umbrella-reform-the-4-2bn-wake-up-call-a-new-era-for-contractor-payroll-and-compliance/" TargetMode="External"/><Relationship Id="rId7" Type="http://schemas.openxmlformats.org/officeDocument/2006/relationships/endnotes" Target="endnotes.xml"/><Relationship Id="rId12" Type="http://schemas.openxmlformats.org/officeDocument/2006/relationships/hyperlink" Target="https://www.bauerandcottrell.co.uk/2025/03/ir35-reform-the-true-cost-behind-hmrcs-4-2bn-windfall/" TargetMode="External"/><Relationship Id="rId17" Type="http://schemas.openxmlformats.org/officeDocument/2006/relationships/hyperlink" Target="https://www.bauerandcottrell.co.uk/2025/03/ir35-reform-the-true-cost-behind-hmrcs-4-2bn-windfal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lus-lexis-com.uwtsd.idm.oclc.org/api/document/collection/cases-uk/id/4FXR-PW40-TWW4-213W-00000-00?cite=Ready%20Mixed%20Concrete%20(South%20East)%20Ltd%20v%20Minister%20of%20Pensions%20and%20National%20Insurance%2C%20%5B1968%5D%202%20QB%20497%2C%20%5B1968%5D%201%20All%20ER%20433%2C%20%5B1968%5D%202%20WLR%20775%2C%204%20KIR%20132%2C%20112%20Sol%20Jo%2014&amp;context=1001073&amp;identityprofileid=R6VFST67341" TargetMode="External"/><Relationship Id="rId20" Type="http://schemas.openxmlformats.org/officeDocument/2006/relationships/hyperlink" Target="https://www.fcsa.org.uk/what-is-ir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donline.co.uk/cart/"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plus-lexis-com.uwtsd.idm.oclc.org/api/document/collection/cases-uk/id/53DS-41R1-DYHT-G076-00000-00?cite=Autoclenz%20Ltd%20v%20Belcher%2C%20%5B2011%5D%20UKSC%2041%2C%20%5B2011%5D%204%20All%20ER%20745%2C%20%5B2011%5D%20IRLR%20820%2C%20%5B2011%5D%20ICR%201157%2C%20%5B2011%5D%20NLJR%201099%2C%20(2011)%20Times%2C%2005%20August%2C%20%5B2011%5D%20All%20ER%20(D)%20251%20(Jul)%2C%20CSRC%20vol%2035%20iss%2010%2F1&amp;context=1001073&amp;identityprofileid=R6VFST67341" TargetMode="External"/><Relationship Id="rId23" Type="http://schemas.openxmlformats.org/officeDocument/2006/relationships/fontTable" Target="fontTable.xml"/><Relationship Id="rId10" Type="http://schemas.openxmlformats.org/officeDocument/2006/relationships/hyperlink" Target="https://www.gov.uk/guidance/understanding-off-payroll-working-ir35" TargetMode="External"/><Relationship Id="rId19" Type="http://schemas.openxmlformats.org/officeDocument/2006/relationships/hyperlink" Target="https://www.itcontracting.com/history-of-ir3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working-through-an-umbrella-company"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6B11"/>
    <w:rsid w:val="00145AD8"/>
    <w:rsid w:val="00242260"/>
    <w:rsid w:val="002450A7"/>
    <w:rsid w:val="003203C2"/>
    <w:rsid w:val="003C11E7"/>
    <w:rsid w:val="004578E6"/>
    <w:rsid w:val="004D25D2"/>
    <w:rsid w:val="00A11633"/>
    <w:rsid w:val="00A34C42"/>
    <w:rsid w:val="00B910DE"/>
    <w:rsid w:val="00BC1251"/>
    <w:rsid w:val="00C67429"/>
    <w:rsid w:val="00CD31DA"/>
    <w:rsid w:val="00DF682E"/>
    <w:rsid w:val="00E00C6B"/>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2709</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IR35, Past, present and future</dc:title>
  <dc:subject>Corey-Jay Valente McCreadie</dc:subject>
  <dc:creator>Marie Pitson</dc:creator>
  <cp:keywords/>
  <dc:description/>
  <cp:lastModifiedBy>corey valente</cp:lastModifiedBy>
  <cp:revision>2</cp:revision>
  <dcterms:created xsi:type="dcterms:W3CDTF">2026-03-27T18:36:00Z</dcterms:created>
  <dcterms:modified xsi:type="dcterms:W3CDTF">2026-03-27T18:36:00Z</dcterms:modified>
</cp:coreProperties>
</file>