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900442576"/>
        <w:docPartObj>
          <w:docPartGallery w:val="Cover Pages"/>
          <w:docPartUnique/>
        </w:docPartObj>
      </w:sdtPr>
      <w:sdtEndPr>
        <w:rPr>
          <w:rFonts w:ascii="Times New Roman" w:eastAsiaTheme="minorHAnsi" w:hAnsi="Times New Roman" w:cs="Times New Roman"/>
          <w:color w:val="auto"/>
          <w:sz w:val="24"/>
          <w:lang w:val="en-CA"/>
        </w:rPr>
      </w:sdtEndPr>
      <w:sdtContent>
        <w:p w:rsidR="00874D8B" w:rsidRDefault="00874D8B" w:rsidP="00874D8B">
          <w:pPr>
            <w:pStyle w:val="NoSpacing"/>
            <w:spacing w:before="1540" w:after="240"/>
            <w:jc w:val="center"/>
            <w:rPr>
              <w:color w:val="4472C4" w:themeColor="accent1"/>
            </w:rPr>
          </w:pPr>
        </w:p>
        <w:p w:rsidR="00874D8B" w:rsidRDefault="00A1582C">
          <w:pPr>
            <w:rPr>
              <w:rFonts w:ascii="Times New Roman" w:hAnsi="Times New Roman" w:cs="Times New Roman"/>
              <w:sz w:val="24"/>
            </w:rPr>
          </w:pPr>
          <w:r>
            <w:rPr>
              <w:noProof/>
            </w:rPr>
            <mc:AlternateContent>
              <mc:Choice Requires="wps">
                <w:drawing>
                  <wp:anchor distT="45720" distB="45720" distL="114300" distR="114300" simplePos="0" relativeHeight="251659264" behindDoc="0" locked="0" layoutInCell="1" allowOverlap="1" wp14:anchorId="66DDAE17" wp14:editId="616C96A6">
                    <wp:simplePos x="0" y="0"/>
                    <wp:positionH relativeFrom="margin">
                      <wp:align>center</wp:align>
                    </wp:positionH>
                    <wp:positionV relativeFrom="margin">
                      <wp:posOffset>4514850</wp:posOffset>
                    </wp:positionV>
                    <wp:extent cx="4029075" cy="2038350"/>
                    <wp:effectExtent l="0" t="0" r="9525"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9075" cy="2038350"/>
                            </a:xfrm>
                            <a:prstGeom prst="rect">
                              <a:avLst/>
                            </a:prstGeom>
                            <a:solidFill>
                              <a:srgbClr val="FFFFFF"/>
                            </a:solidFill>
                            <a:ln w="9525">
                              <a:noFill/>
                              <a:miter lim="800000"/>
                              <a:headEnd/>
                              <a:tailEnd/>
                            </a:ln>
                          </wps:spPr>
                          <wps:txbx>
                            <w:txbxContent>
                              <w:p w:rsidR="00A1582C" w:rsidRPr="00381DA2" w:rsidRDefault="00A1582C" w:rsidP="00A1582C">
                                <w:pPr>
                                  <w:jc w:val="center"/>
                                  <w:rPr>
                                    <w:sz w:val="32"/>
                                  </w:rPr>
                                </w:pPr>
                                <w:r w:rsidRPr="00381DA2">
                                  <w:rPr>
                                    <w:sz w:val="32"/>
                                  </w:rPr>
                                  <w:t>AHA</w:t>
                                </w:r>
                                <w:r>
                                  <w:rPr>
                                    <w:sz w:val="32"/>
                                  </w:rPr>
                                  <w:t>R6003</w:t>
                                </w:r>
                                <w:r w:rsidRPr="00381DA2">
                                  <w:rPr>
                                    <w:sz w:val="32"/>
                                  </w:rPr>
                                  <w:t xml:space="preserve"> – </w:t>
                                </w:r>
                                <w:r>
                                  <w:rPr>
                                    <w:sz w:val="32"/>
                                  </w:rPr>
                                  <w:t>Towns, Tombs, and Temples: Household Practice and Ritual Performance in the Aegean and the East</w:t>
                                </w:r>
                              </w:p>
                              <w:p w:rsidR="00A1582C" w:rsidRDefault="00A1582C" w:rsidP="00A1582C">
                                <w:pPr>
                                  <w:jc w:val="center"/>
                                  <w:rPr>
                                    <w:sz w:val="32"/>
                                  </w:rPr>
                                </w:pPr>
                                <w:r>
                                  <w:rPr>
                                    <w:sz w:val="32"/>
                                  </w:rPr>
                                  <w:t>Doctor Louise Steel</w:t>
                                </w:r>
                              </w:p>
                              <w:p w:rsidR="00A1582C" w:rsidRDefault="00A1582C" w:rsidP="00A1582C">
                                <w:pPr>
                                  <w:rPr>
                                    <w:sz w:val="32"/>
                                  </w:rPr>
                                </w:pPr>
                                <w:r>
                                  <w:rPr>
                                    <w:sz w:val="32"/>
                                  </w:rPr>
                                  <w:t xml:space="preserve">      University of Wales Trinity Saint David</w:t>
                                </w:r>
                              </w:p>
                              <w:p w:rsidR="00A1582C" w:rsidRPr="00381DA2" w:rsidRDefault="00A1582C" w:rsidP="00A1582C">
                                <w:pPr>
                                  <w:rPr>
                                    <w:sz w:val="32"/>
                                  </w:rPr>
                                </w:pPr>
                                <w:r>
                                  <w:rPr>
                                    <w:sz w:val="32"/>
                                  </w:rPr>
                                  <w:t xml:space="preserve">                       </w:t>
                                </w:r>
                                <w:r>
                                  <w:rPr>
                                    <w:sz w:val="32"/>
                                  </w:rPr>
                                  <w:t>December 14</w:t>
                                </w:r>
                                <w:r>
                                  <w:rPr>
                                    <w:sz w:val="32"/>
                                  </w:rPr>
                                  <w:t>,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DDAE17" id="_x0000_t202" coordsize="21600,21600" o:spt="202" path="m,l,21600r21600,l21600,xe">
                    <v:stroke joinstyle="miter"/>
                    <v:path gradientshapeok="t" o:connecttype="rect"/>
                  </v:shapetype>
                  <v:shape id="Text Box 2" o:spid="_x0000_s1026" type="#_x0000_t202" style="position:absolute;margin-left:0;margin-top:355.5pt;width:317.25pt;height:160.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" stroked="f">
                    <v:textbox>
                      <w:txbxContent>
                        <w:p w:rsidR="00A1582C" w:rsidRPr="00381DA2" w:rsidRDefault="00A1582C" w:rsidP="00A1582C">
                          <w:pPr>
                            <w:jc w:val="center"/>
                            <w:rPr>
                              <w:sz w:val="32"/>
                            </w:rPr>
                          </w:pPr>
                          <w:r w:rsidRPr="00381DA2">
                            <w:rPr>
                              <w:sz w:val="32"/>
                            </w:rPr>
                            <w:t>AHA</w:t>
                          </w:r>
                          <w:r>
                            <w:rPr>
                              <w:sz w:val="32"/>
                            </w:rPr>
                            <w:t>R6003</w:t>
                          </w:r>
                          <w:r w:rsidRPr="00381DA2">
                            <w:rPr>
                              <w:sz w:val="32"/>
                            </w:rPr>
                            <w:t xml:space="preserve"> – </w:t>
                          </w:r>
                          <w:r>
                            <w:rPr>
                              <w:sz w:val="32"/>
                            </w:rPr>
                            <w:t>Towns, Tombs, and Temples: Household Practice and Ritual Performance in the Aegean and the East</w:t>
                          </w:r>
                        </w:p>
                        <w:p w:rsidR="00A1582C" w:rsidRDefault="00A1582C" w:rsidP="00A1582C">
                          <w:pPr>
                            <w:jc w:val="center"/>
                            <w:rPr>
                              <w:sz w:val="32"/>
                            </w:rPr>
                          </w:pPr>
                          <w:r>
                            <w:rPr>
                              <w:sz w:val="32"/>
                            </w:rPr>
                            <w:t>Doctor Louise Steel</w:t>
                          </w:r>
                        </w:p>
                        <w:p w:rsidR="00A1582C" w:rsidRDefault="00A1582C" w:rsidP="00A1582C">
                          <w:pPr>
                            <w:rPr>
                              <w:sz w:val="32"/>
                            </w:rPr>
                          </w:pPr>
                          <w:r>
                            <w:rPr>
                              <w:sz w:val="32"/>
                            </w:rPr>
                            <w:t xml:space="preserve">      University of Wales Trinity Saint David</w:t>
                          </w:r>
                        </w:p>
                        <w:p w:rsidR="00A1582C" w:rsidRPr="00381DA2" w:rsidRDefault="00A1582C" w:rsidP="00A1582C">
                          <w:pPr>
                            <w:rPr>
                              <w:sz w:val="32"/>
                            </w:rPr>
                          </w:pPr>
                          <w:r>
                            <w:rPr>
                              <w:sz w:val="32"/>
                            </w:rPr>
                            <w:t xml:space="preserve">                       </w:t>
                          </w:r>
                          <w:r>
                            <w:rPr>
                              <w:sz w:val="32"/>
                            </w:rPr>
                            <w:t>December 14</w:t>
                          </w:r>
                          <w:r>
                            <w:rPr>
                              <w:sz w:val="32"/>
                            </w:rPr>
                            <w:t>, 2017</w:t>
                          </w:r>
                        </w:p>
                      </w:txbxContent>
                    </v:textbox>
                    <w10:wrap type="square" anchorx="margin" anchory="margin"/>
                  </v:shape>
                </w:pict>
              </mc:Fallback>
            </mc:AlternateContent>
          </w:r>
          <w:r>
            <w:rPr>
              <w:noProof/>
            </w:rPr>
            <mc:AlternateContent>
              <mc:Choice Requires="wps">
                <w:drawing>
                  <wp:anchor distT="45720" distB="45720" distL="114300" distR="114300" simplePos="0" relativeHeight="251661312" behindDoc="0" locked="0" layoutInCell="1" allowOverlap="1" wp14:anchorId="2465F54B" wp14:editId="768007F9">
                    <wp:simplePos x="0" y="0"/>
                    <wp:positionH relativeFrom="margin">
                      <wp:align>center</wp:align>
                    </wp:positionH>
                    <wp:positionV relativeFrom="margin">
                      <wp:posOffset>2451100</wp:posOffset>
                    </wp:positionV>
                    <wp:extent cx="4562475" cy="15335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2475" cy="1533525"/>
                            </a:xfrm>
                            <a:prstGeom prst="rect">
                              <a:avLst/>
                            </a:prstGeom>
                            <a:solidFill>
                              <a:srgbClr val="FFFFFF"/>
                            </a:solidFill>
                            <a:ln w="9525">
                              <a:noFill/>
                              <a:miter lim="800000"/>
                              <a:headEnd/>
                              <a:tailEnd/>
                            </a:ln>
                          </wps:spPr>
                          <wps:txbx>
                            <w:txbxContent>
                              <w:p w:rsidR="00A1582C" w:rsidRPr="00381DA2" w:rsidRDefault="00A1582C" w:rsidP="00A1582C">
                                <w:pPr>
                                  <w:jc w:val="center"/>
                                  <w:rPr>
                                    <w:sz w:val="36"/>
                                  </w:rPr>
                                </w:pPr>
                                <w:r>
                                  <w:rPr>
                                    <w:sz w:val="36"/>
                                  </w:rPr>
                                  <w:t>THE REFLECTION OF GENDER IN CEREMONIAL DEPICTIONS AND ITEMS AT THE MALIAN PALACE</w:t>
                                </w:r>
                              </w:p>
                              <w:p w:rsidR="00A1582C" w:rsidRPr="00381DA2" w:rsidRDefault="00A1582C" w:rsidP="00A1582C">
                                <w:pPr>
                                  <w:rPr>
                                    <w:sz w:val="36"/>
                                  </w:rPr>
                                </w:pPr>
                                <w:r w:rsidRPr="00381DA2">
                                  <w:rPr>
                                    <w:sz w:val="36"/>
                                  </w:rPr>
                                  <w:tab/>
                                </w:r>
                                <w:r w:rsidRPr="00381DA2">
                                  <w:rPr>
                                    <w:sz w:val="36"/>
                                  </w:rPr>
                                  <w:tab/>
                                </w:r>
                                <w:r>
                                  <w:rPr>
                                    <w:sz w:val="36"/>
                                  </w:rPr>
                                  <w:t xml:space="preserve">      </w:t>
                                </w:r>
                                <w:r w:rsidRPr="00381DA2">
                                  <w:rPr>
                                    <w:sz w:val="36"/>
                                  </w:rPr>
                                  <w:t>By: Rebekah Mullins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465F54B" id="_x0000_s1027" type="#_x0000_t202" style="position:absolute;margin-left:0;margin-top:193pt;width:359.25pt;height:120.75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" stroked="f">
                    <v:textbox>
                      <w:txbxContent>
                        <w:p w:rsidR="00A1582C" w:rsidRPr="00381DA2" w:rsidRDefault="00A1582C" w:rsidP="00A1582C">
                          <w:pPr>
                            <w:jc w:val="center"/>
                            <w:rPr>
                              <w:sz w:val="36"/>
                            </w:rPr>
                          </w:pPr>
                          <w:r>
                            <w:rPr>
                              <w:sz w:val="36"/>
                            </w:rPr>
                            <w:t>THE REFLECTION OF GENDER IN CEREMONIAL DEPICTIONS AND ITEMS AT THE MALIAN PALACE</w:t>
                          </w:r>
                        </w:p>
                        <w:p w:rsidR="00A1582C" w:rsidRPr="00381DA2" w:rsidRDefault="00A1582C" w:rsidP="00A1582C">
                          <w:pPr>
                            <w:rPr>
                              <w:sz w:val="36"/>
                            </w:rPr>
                          </w:pPr>
                          <w:r w:rsidRPr="00381DA2">
                            <w:rPr>
                              <w:sz w:val="36"/>
                            </w:rPr>
                            <w:tab/>
                          </w:r>
                          <w:r w:rsidRPr="00381DA2">
                            <w:rPr>
                              <w:sz w:val="36"/>
                            </w:rPr>
                            <w:tab/>
                          </w:r>
                          <w:r>
                            <w:rPr>
                              <w:sz w:val="36"/>
                            </w:rPr>
                            <w:t xml:space="preserve">      </w:t>
                          </w:r>
                          <w:r w:rsidRPr="00381DA2">
                            <w:rPr>
                              <w:sz w:val="36"/>
                            </w:rPr>
                            <w:t>By: Rebekah Mullins</w:t>
                          </w:r>
                        </w:p>
                      </w:txbxContent>
                    </v:textbox>
                    <w10:wrap type="square" anchorx="margin" anchory="margin"/>
                  </v:shape>
                </w:pict>
              </mc:Fallback>
            </mc:AlternateContent>
          </w:r>
          <w:r w:rsidR="00874D8B">
            <w:rPr>
              <w:rFonts w:ascii="Times New Roman" w:hAnsi="Times New Roman" w:cs="Times New Roman"/>
              <w:sz w:val="24"/>
            </w:rPr>
            <w:br w:type="page"/>
          </w:r>
        </w:p>
      </w:sdtContent>
    </w:sdt>
    <w:p w:rsidR="007B4AEA" w:rsidRDefault="007B4AEA" w:rsidP="00C129E3">
      <w:pPr>
        <w:spacing w:line="360" w:lineRule="auto"/>
        <w:rPr>
          <w:rFonts w:ascii="Times New Roman" w:hAnsi="Times New Roman" w:cs="Times New Roman"/>
        </w:rPr>
      </w:pPr>
      <w:r>
        <w:lastRenderedPageBreak/>
        <w:tab/>
      </w:r>
      <w:r w:rsidRPr="00C129E3">
        <w:rPr>
          <w:rFonts w:ascii="Times New Roman" w:hAnsi="Times New Roman" w:cs="Times New Roman"/>
          <w:sz w:val="24"/>
        </w:rPr>
        <w:t>Gender is an aspect of society that has influence upon many parts of day to day life throughout the world today</w:t>
      </w:r>
      <w:r w:rsidR="00495C8C" w:rsidRPr="00C129E3">
        <w:rPr>
          <w:rFonts w:ascii="Times New Roman" w:hAnsi="Times New Roman" w:cs="Times New Roman"/>
          <w:sz w:val="24"/>
        </w:rPr>
        <w:t>; especially in the area of religion and ceremony</w:t>
      </w:r>
      <w:r w:rsidRPr="00C129E3">
        <w:rPr>
          <w:rFonts w:ascii="Times New Roman" w:hAnsi="Times New Roman" w:cs="Times New Roman"/>
          <w:sz w:val="24"/>
        </w:rPr>
        <w:t xml:space="preserve">. The same can be said for </w:t>
      </w:r>
      <w:r w:rsidR="00495C8C" w:rsidRPr="00C129E3">
        <w:rPr>
          <w:rFonts w:ascii="Times New Roman" w:hAnsi="Times New Roman" w:cs="Times New Roman"/>
          <w:sz w:val="24"/>
        </w:rPr>
        <w:t>Crete</w:t>
      </w:r>
      <w:r w:rsidR="000F53F8" w:rsidRPr="00C129E3">
        <w:rPr>
          <w:rFonts w:ascii="Times New Roman" w:hAnsi="Times New Roman" w:cs="Times New Roman"/>
          <w:sz w:val="24"/>
        </w:rPr>
        <w:t xml:space="preserve"> in the Middle Minoan phase and the Late Minoan phase during the neopalatial period. </w:t>
      </w:r>
      <w:r w:rsidR="00495C8C" w:rsidRPr="00C129E3">
        <w:rPr>
          <w:rFonts w:ascii="Times New Roman" w:hAnsi="Times New Roman" w:cs="Times New Roman"/>
          <w:sz w:val="24"/>
        </w:rPr>
        <w:t xml:space="preserve">Several depictions of </w:t>
      </w:r>
      <w:r w:rsidR="00121F11" w:rsidRPr="00C129E3">
        <w:rPr>
          <w:rFonts w:ascii="Times New Roman" w:hAnsi="Times New Roman" w:cs="Times New Roman"/>
          <w:sz w:val="24"/>
        </w:rPr>
        <w:t>ceremonies and religious life</w:t>
      </w:r>
      <w:r w:rsidR="00C129E3" w:rsidRPr="00C129E3">
        <w:rPr>
          <w:rFonts w:ascii="Times New Roman" w:hAnsi="Times New Roman" w:cs="Times New Roman"/>
          <w:sz w:val="24"/>
        </w:rPr>
        <w:t xml:space="preserve"> have been found on the walls and ruins of the palace</w:t>
      </w:r>
      <w:r w:rsidR="006145C4">
        <w:rPr>
          <w:rFonts w:ascii="Times New Roman" w:hAnsi="Times New Roman" w:cs="Times New Roman"/>
          <w:sz w:val="24"/>
        </w:rPr>
        <w:t xml:space="preserve"> at Malia</w:t>
      </w:r>
      <w:r w:rsidR="00C129E3" w:rsidRPr="00C129E3">
        <w:rPr>
          <w:rFonts w:ascii="Times New Roman" w:hAnsi="Times New Roman" w:cs="Times New Roman"/>
          <w:sz w:val="24"/>
        </w:rPr>
        <w:t xml:space="preserve"> that infer varying male and female roles.</w:t>
      </w:r>
      <w:r w:rsidR="00AE30D5">
        <w:rPr>
          <w:rFonts w:ascii="Times New Roman" w:hAnsi="Times New Roman" w:cs="Times New Roman"/>
          <w:sz w:val="24"/>
        </w:rPr>
        <w:t xml:space="preserve"> </w:t>
      </w:r>
      <w:r w:rsidR="00AE30D5" w:rsidRPr="00874D8B">
        <w:rPr>
          <w:rFonts w:ascii="Times New Roman" w:hAnsi="Times New Roman" w:cs="Times New Roman"/>
          <w:sz w:val="24"/>
        </w:rPr>
        <w:t>One of the most significant depictions of daily life is the practice of bull-leaping</w:t>
      </w:r>
      <w:r w:rsidR="00A1582C">
        <w:rPr>
          <w:rFonts w:ascii="Times New Roman" w:hAnsi="Times New Roman" w:cs="Times New Roman"/>
          <w:sz w:val="24"/>
        </w:rPr>
        <w:t xml:space="preserve"> (McInerney, 2011)</w:t>
      </w:r>
      <w:r w:rsidR="00AE30D5" w:rsidRPr="00874D8B">
        <w:rPr>
          <w:rFonts w:ascii="Times New Roman" w:hAnsi="Times New Roman" w:cs="Times New Roman"/>
          <w:sz w:val="24"/>
        </w:rPr>
        <w:t>.</w:t>
      </w:r>
      <w:r w:rsidR="00C129E3" w:rsidRPr="00C129E3">
        <w:rPr>
          <w:rFonts w:ascii="Times New Roman" w:hAnsi="Times New Roman" w:cs="Times New Roman"/>
          <w:sz w:val="24"/>
        </w:rPr>
        <w:t xml:space="preserve"> Many artefacts have also been found in either the palace or surrounding grave sites that may have had intended religious use, and when combined with what is already known of Minoan religious beliefs, may be able to support the </w:t>
      </w:r>
      <w:r w:rsidR="006145C4">
        <w:rPr>
          <w:rFonts w:ascii="Times New Roman" w:hAnsi="Times New Roman" w:cs="Times New Roman"/>
          <w:sz w:val="24"/>
        </w:rPr>
        <w:t xml:space="preserve">idea of varied gender roles in religion and ceremony. </w:t>
      </w:r>
      <w:r w:rsidR="006145C4" w:rsidRPr="00874D8B">
        <w:rPr>
          <w:rFonts w:ascii="Times New Roman" w:hAnsi="Times New Roman" w:cs="Times New Roman"/>
          <w:sz w:val="24"/>
        </w:rPr>
        <w:t xml:space="preserve">Included in these artefacts are items such as a great bronze sword with a </w:t>
      </w:r>
      <w:r w:rsidR="00D0746F" w:rsidRPr="00874D8B">
        <w:rPr>
          <w:rFonts w:ascii="Times New Roman" w:hAnsi="Times New Roman" w:cs="Times New Roman"/>
          <w:sz w:val="24"/>
        </w:rPr>
        <w:t xml:space="preserve">gold and </w:t>
      </w:r>
      <w:r w:rsidR="006145C4" w:rsidRPr="00874D8B">
        <w:rPr>
          <w:rFonts w:ascii="Times New Roman" w:hAnsi="Times New Roman" w:cs="Times New Roman"/>
          <w:sz w:val="24"/>
        </w:rPr>
        <w:t>crystal hilt, a battle-axe in brown schist with depictions of a running or hunting leopard or cheetah, and a bronze dagger</w:t>
      </w:r>
      <w:r w:rsidR="00106A6E">
        <w:rPr>
          <w:rFonts w:ascii="Times New Roman" w:hAnsi="Times New Roman" w:cs="Times New Roman"/>
          <w:sz w:val="24"/>
        </w:rPr>
        <w:t xml:space="preserve"> </w:t>
      </w:r>
      <w:r w:rsidR="00106A6E">
        <w:rPr>
          <w:rFonts w:ascii="Times New Roman" w:hAnsi="Times New Roman" w:cs="Times New Roman"/>
          <w:sz w:val="24"/>
        </w:rPr>
        <w:t>(</w:t>
      </w:r>
      <w:r w:rsidR="00106A6E">
        <w:rPr>
          <w:rFonts w:ascii="Times New Roman" w:hAnsi="Times New Roman" w:cs="Times New Roman"/>
          <w:sz w:val="24"/>
        </w:rPr>
        <w:t>Hutchinson</w:t>
      </w:r>
      <w:r w:rsidR="00106A6E">
        <w:rPr>
          <w:rFonts w:ascii="Times New Roman" w:hAnsi="Times New Roman" w:cs="Times New Roman"/>
          <w:sz w:val="24"/>
        </w:rPr>
        <w:t xml:space="preserve">, </w:t>
      </w:r>
      <w:r w:rsidR="00106A6E">
        <w:rPr>
          <w:rFonts w:ascii="Times New Roman" w:hAnsi="Times New Roman" w:cs="Times New Roman"/>
          <w:sz w:val="24"/>
        </w:rPr>
        <w:t>1962, 186</w:t>
      </w:r>
      <w:r w:rsidR="00106A6E">
        <w:rPr>
          <w:rFonts w:ascii="Times New Roman" w:hAnsi="Times New Roman" w:cs="Times New Roman"/>
          <w:sz w:val="24"/>
        </w:rPr>
        <w:t>)</w:t>
      </w:r>
      <w:r w:rsidR="006145C4" w:rsidRPr="00874D8B">
        <w:rPr>
          <w:rFonts w:ascii="Times New Roman" w:hAnsi="Times New Roman" w:cs="Times New Roman"/>
          <w:sz w:val="24"/>
        </w:rPr>
        <w:t>.</w:t>
      </w:r>
      <w:r w:rsidR="00DF6B9E" w:rsidRPr="00874D8B">
        <w:rPr>
          <w:rFonts w:ascii="Times New Roman" w:hAnsi="Times New Roman" w:cs="Times New Roman"/>
          <w:sz w:val="24"/>
        </w:rPr>
        <w:t xml:space="preserve"> Other artefacts found included a figurine or jug which seemed to have its hands holding its pierced breasts</w:t>
      </w:r>
      <w:r w:rsidR="00106A6E">
        <w:rPr>
          <w:rFonts w:ascii="Times New Roman" w:hAnsi="Times New Roman" w:cs="Times New Roman"/>
          <w:sz w:val="24"/>
        </w:rPr>
        <w:t xml:space="preserve"> </w:t>
      </w:r>
      <w:r w:rsidR="00106A6E" w:rsidRPr="00106A6E">
        <w:rPr>
          <w:rFonts w:ascii="Times New Roman" w:hAnsi="Times New Roman" w:cs="Times New Roman"/>
          <w:sz w:val="24"/>
          <w:highlight w:val="green"/>
        </w:rPr>
        <w:t>(</w:t>
      </w:r>
      <w:r w:rsidR="00106A6E" w:rsidRPr="00106A6E">
        <w:rPr>
          <w:rFonts w:ascii="Times New Roman" w:hAnsi="Times New Roman" w:cs="Times New Roman"/>
          <w:sz w:val="24"/>
          <w:highlight w:val="green"/>
        </w:rPr>
        <w:t>Gesell</w:t>
      </w:r>
      <w:r w:rsidR="00106A6E" w:rsidRPr="00106A6E">
        <w:rPr>
          <w:rFonts w:ascii="Times New Roman" w:hAnsi="Times New Roman" w:cs="Times New Roman"/>
          <w:sz w:val="24"/>
          <w:highlight w:val="green"/>
        </w:rPr>
        <w:t>, 19</w:t>
      </w:r>
      <w:r w:rsidR="00106A6E" w:rsidRPr="00106A6E">
        <w:rPr>
          <w:rFonts w:ascii="Times New Roman" w:hAnsi="Times New Roman" w:cs="Times New Roman"/>
          <w:sz w:val="24"/>
          <w:highlight w:val="green"/>
        </w:rPr>
        <w:t>83</w:t>
      </w:r>
      <w:r w:rsidR="00106A6E" w:rsidRPr="00106A6E">
        <w:rPr>
          <w:rFonts w:ascii="Times New Roman" w:hAnsi="Times New Roman" w:cs="Times New Roman"/>
          <w:sz w:val="24"/>
          <w:highlight w:val="green"/>
        </w:rPr>
        <w:t xml:space="preserve">, </w:t>
      </w:r>
      <w:r w:rsidR="00106A6E" w:rsidRPr="00106A6E">
        <w:rPr>
          <w:rFonts w:ascii="Times New Roman" w:hAnsi="Times New Roman" w:cs="Times New Roman"/>
          <w:sz w:val="24"/>
          <w:highlight w:val="green"/>
        </w:rPr>
        <w:t>2/Krzyszkowska, 1983, 94</w:t>
      </w:r>
      <w:r w:rsidR="00106A6E" w:rsidRPr="00106A6E">
        <w:rPr>
          <w:rFonts w:ascii="Times New Roman" w:hAnsi="Times New Roman" w:cs="Times New Roman"/>
          <w:sz w:val="24"/>
          <w:highlight w:val="green"/>
        </w:rPr>
        <w:t>)</w:t>
      </w:r>
      <w:r w:rsidR="00DF6B9E" w:rsidRPr="00874D8B">
        <w:rPr>
          <w:rFonts w:ascii="Times New Roman" w:hAnsi="Times New Roman" w:cs="Times New Roman"/>
          <w:sz w:val="24"/>
        </w:rPr>
        <w:t xml:space="preserve"> and a necklace with two </w:t>
      </w:r>
      <w:r w:rsidR="00AE30D5" w:rsidRPr="00874D8B">
        <w:rPr>
          <w:rFonts w:ascii="Times New Roman" w:hAnsi="Times New Roman" w:cs="Times New Roman"/>
          <w:sz w:val="24"/>
        </w:rPr>
        <w:t xml:space="preserve">golden </w:t>
      </w:r>
      <w:r w:rsidR="00DF6B9E" w:rsidRPr="00874D8B">
        <w:rPr>
          <w:rFonts w:ascii="Times New Roman" w:hAnsi="Times New Roman" w:cs="Times New Roman"/>
          <w:sz w:val="24"/>
        </w:rPr>
        <w:t>bees</w:t>
      </w:r>
      <w:r w:rsidR="00AE30D5" w:rsidRPr="00874D8B">
        <w:rPr>
          <w:rFonts w:ascii="Times New Roman" w:hAnsi="Times New Roman" w:cs="Times New Roman"/>
          <w:sz w:val="24"/>
        </w:rPr>
        <w:t xml:space="preserve"> found at the burial ground of Chrysolakkos</w:t>
      </w:r>
      <w:r w:rsidR="00106A6E">
        <w:rPr>
          <w:rFonts w:ascii="Times New Roman" w:hAnsi="Times New Roman" w:cs="Times New Roman"/>
          <w:sz w:val="24"/>
        </w:rPr>
        <w:t xml:space="preserve"> </w:t>
      </w:r>
      <w:r w:rsidR="00106A6E">
        <w:rPr>
          <w:rFonts w:ascii="Times New Roman" w:hAnsi="Times New Roman" w:cs="Times New Roman"/>
          <w:sz w:val="24"/>
        </w:rPr>
        <w:t>(Hutchinson, 1962, 18</w:t>
      </w:r>
      <w:r w:rsidR="00106A6E">
        <w:rPr>
          <w:rFonts w:ascii="Times New Roman" w:hAnsi="Times New Roman" w:cs="Times New Roman"/>
          <w:sz w:val="24"/>
        </w:rPr>
        <w:t>8</w:t>
      </w:r>
      <w:r w:rsidR="00106A6E">
        <w:rPr>
          <w:rFonts w:ascii="Times New Roman" w:hAnsi="Times New Roman" w:cs="Times New Roman"/>
          <w:sz w:val="24"/>
        </w:rPr>
        <w:t>)</w:t>
      </w:r>
      <w:r w:rsidR="00AE30D5" w:rsidRPr="00874D8B">
        <w:rPr>
          <w:rFonts w:ascii="Times New Roman" w:hAnsi="Times New Roman" w:cs="Times New Roman"/>
          <w:sz w:val="24"/>
        </w:rPr>
        <w:t>.</w:t>
      </w:r>
      <w:r w:rsidR="00AE30D5">
        <w:rPr>
          <w:rFonts w:ascii="Times New Roman" w:hAnsi="Times New Roman" w:cs="Times New Roman"/>
        </w:rPr>
        <w:t xml:space="preserve"> </w:t>
      </w:r>
    </w:p>
    <w:p w:rsidR="00AE30D5" w:rsidRDefault="00AE30D5" w:rsidP="00C129E3">
      <w:pPr>
        <w:spacing w:line="360" w:lineRule="auto"/>
        <w:rPr>
          <w:rFonts w:ascii="Times New Roman" w:hAnsi="Times New Roman" w:cs="Times New Roman"/>
          <w:szCs w:val="24"/>
        </w:rPr>
      </w:pPr>
      <w:r>
        <w:rPr>
          <w:rFonts w:ascii="Times New Roman" w:hAnsi="Times New Roman" w:cs="Times New Roman"/>
        </w:rPr>
        <w:tab/>
      </w:r>
      <w:r w:rsidR="00472AF2">
        <w:rPr>
          <w:rFonts w:ascii="Times New Roman" w:hAnsi="Times New Roman" w:cs="Times New Roman"/>
        </w:rPr>
        <w:t>Bull-leaping has become largely identified in ancient Minoan society with the palace at Knossos, but the palace at Malia also contains several telling features that make it impossible to believe that bull-leaping never took place there. Before looking at the gendered roles surrounding bull-leaping, I believe it appropriate to first explore the debate surrounding bull-leaping as to whether or not it ever actually occurred, or if it was simply just a religious story that carried heavy meaning in Minoan society</w:t>
      </w:r>
      <w:r w:rsidR="00472AF2" w:rsidRPr="00F92F3E">
        <w:rPr>
          <w:rFonts w:ascii="Times New Roman" w:hAnsi="Times New Roman" w:cs="Times New Roman"/>
          <w:sz w:val="24"/>
          <w:szCs w:val="24"/>
        </w:rPr>
        <w:t xml:space="preserve">. </w:t>
      </w:r>
      <w:r w:rsidR="00F92F3E" w:rsidRPr="00F92F3E">
        <w:rPr>
          <w:rFonts w:ascii="Times New Roman" w:hAnsi="Times New Roman" w:cs="Times New Roman"/>
          <w:szCs w:val="24"/>
        </w:rPr>
        <w:t>J. Alexander MacGillivray</w:t>
      </w:r>
      <w:r w:rsidR="00F92F3E" w:rsidRPr="00F92F3E">
        <w:rPr>
          <w:rFonts w:ascii="Times New Roman" w:hAnsi="Times New Roman" w:cs="Times New Roman"/>
          <w:szCs w:val="24"/>
        </w:rPr>
        <w:t xml:space="preserve"> is </w:t>
      </w:r>
      <w:r w:rsidR="00F92F3E">
        <w:rPr>
          <w:rFonts w:ascii="Times New Roman" w:hAnsi="Times New Roman" w:cs="Times New Roman"/>
          <w:szCs w:val="24"/>
        </w:rPr>
        <w:t>someone who strongly attests that bull-leaping has never actually occurred anywhere in the world as he claims that it is physically impossible</w:t>
      </w:r>
      <w:r w:rsidR="006E67E7">
        <w:rPr>
          <w:rFonts w:ascii="Times New Roman" w:hAnsi="Times New Roman" w:cs="Times New Roman"/>
          <w:szCs w:val="24"/>
        </w:rPr>
        <w:t xml:space="preserve"> </w:t>
      </w:r>
      <w:r w:rsidR="003D38E5">
        <w:rPr>
          <w:rFonts w:ascii="Times New Roman" w:hAnsi="Times New Roman" w:cs="Times New Roman"/>
          <w:szCs w:val="24"/>
        </w:rPr>
        <w:t>(MasGillivray, 2000, 53)</w:t>
      </w:r>
      <w:r w:rsidR="00F92F3E">
        <w:rPr>
          <w:rFonts w:ascii="Times New Roman" w:hAnsi="Times New Roman" w:cs="Times New Roman"/>
          <w:szCs w:val="24"/>
        </w:rPr>
        <w:t>.</w:t>
      </w:r>
      <w:r w:rsidR="003D38E5">
        <w:rPr>
          <w:rFonts w:ascii="Times New Roman" w:hAnsi="Times New Roman" w:cs="Times New Roman"/>
          <w:szCs w:val="24"/>
        </w:rPr>
        <w:t xml:space="preserve"> </w:t>
      </w:r>
      <w:r w:rsidR="00F92F3E">
        <w:rPr>
          <w:rFonts w:ascii="Times New Roman" w:hAnsi="Times New Roman" w:cs="Times New Roman"/>
          <w:szCs w:val="24"/>
        </w:rPr>
        <w:t xml:space="preserve"> MacGillivray explains in detail why he believes that bull-leaping could have never occurred in his article about the famed activity at Knossos. One of the points that he raises is that many “modern bull handlers…insist that bull-leaping is impossible because bulls twist their heads when attacking”</w:t>
      </w:r>
      <w:r w:rsidR="003D38E5">
        <w:rPr>
          <w:rFonts w:ascii="Times New Roman" w:hAnsi="Times New Roman" w:cs="Times New Roman"/>
          <w:szCs w:val="24"/>
        </w:rPr>
        <w:t xml:space="preserve"> </w:t>
      </w:r>
      <w:r w:rsidR="003D38E5">
        <w:rPr>
          <w:rFonts w:ascii="Times New Roman" w:hAnsi="Times New Roman" w:cs="Times New Roman"/>
          <w:szCs w:val="24"/>
        </w:rPr>
        <w:t>(MasGillivray, 2000, 53)</w:t>
      </w:r>
      <w:r w:rsidR="00F92F3E">
        <w:rPr>
          <w:rFonts w:ascii="Times New Roman" w:hAnsi="Times New Roman" w:cs="Times New Roman"/>
          <w:szCs w:val="24"/>
        </w:rPr>
        <w:t>.</w:t>
      </w:r>
      <w:r w:rsidR="00BE21E7">
        <w:rPr>
          <w:rFonts w:ascii="Times New Roman" w:hAnsi="Times New Roman" w:cs="Times New Roman"/>
          <w:szCs w:val="24"/>
        </w:rPr>
        <w:t xml:space="preserve"> I </w:t>
      </w:r>
      <w:r w:rsidR="004B22A3">
        <w:rPr>
          <w:rFonts w:ascii="Times New Roman" w:hAnsi="Times New Roman" w:cs="Times New Roman"/>
          <w:szCs w:val="24"/>
        </w:rPr>
        <w:t xml:space="preserve">do not wish to dispute this fact, but rather to elaborate upon it. The bulls used today in events such as bullfighting often have to be aggravated and antagonised into charging at the matador. When simply released into a ring they will often just sit down or roam around without becoming aggressive at all if they are not provoked in any way. If the bulls used in Minoan bull-leaping are believed to have had a similar disposition, then it could be hypothesized that the bulls depicted in bull-leaping were not fully enraged as we see in modern bull fighting events. There are many other contexts that could have the bull in a similar position. The bull could have been </w:t>
      </w:r>
      <w:r w:rsidR="00EC54E5">
        <w:rPr>
          <w:rFonts w:ascii="Times New Roman" w:hAnsi="Times New Roman" w:cs="Times New Roman"/>
          <w:szCs w:val="24"/>
        </w:rPr>
        <w:t xml:space="preserve">moving at a slower pace than the full charge it is regularly assumed to be at; it could have been a blinded bull simply lead or goaded into charging in a </w:t>
      </w:r>
      <w:r w:rsidR="00EC54E5">
        <w:rPr>
          <w:rFonts w:ascii="Times New Roman" w:hAnsi="Times New Roman" w:cs="Times New Roman"/>
          <w:szCs w:val="24"/>
        </w:rPr>
        <w:lastRenderedPageBreak/>
        <w:t>certain direction, and so having no visual indication as to when it should twist its horns in order to gore its opponent;</w:t>
      </w:r>
      <w:r w:rsidR="005C2054">
        <w:rPr>
          <w:rFonts w:ascii="Times New Roman" w:hAnsi="Times New Roman" w:cs="Times New Roman"/>
          <w:szCs w:val="24"/>
        </w:rPr>
        <w:t xml:space="preserve"> it may have been otherwise physically weakened</w:t>
      </w:r>
      <w:r w:rsidR="00106A6E">
        <w:rPr>
          <w:rFonts w:ascii="Times New Roman" w:hAnsi="Times New Roman" w:cs="Times New Roman"/>
          <w:szCs w:val="24"/>
        </w:rPr>
        <w:t xml:space="preserve"> </w:t>
      </w:r>
      <w:r w:rsidR="00106A6E">
        <w:rPr>
          <w:rFonts w:ascii="Times New Roman" w:hAnsi="Times New Roman" w:cs="Times New Roman"/>
          <w:sz w:val="24"/>
        </w:rPr>
        <w:t>(</w:t>
      </w:r>
      <w:r w:rsidR="00106A6E">
        <w:rPr>
          <w:rFonts w:ascii="Times New Roman" w:hAnsi="Times New Roman" w:cs="Times New Roman"/>
          <w:sz w:val="24"/>
        </w:rPr>
        <w:t>Pinsent</w:t>
      </w:r>
      <w:r w:rsidR="00106A6E">
        <w:rPr>
          <w:rFonts w:ascii="Times New Roman" w:hAnsi="Times New Roman" w:cs="Times New Roman"/>
          <w:sz w:val="24"/>
        </w:rPr>
        <w:t xml:space="preserve">, 1983, 2/Krzyszkowska, 1983, </w:t>
      </w:r>
      <w:r w:rsidR="00106A6E">
        <w:rPr>
          <w:rFonts w:ascii="Times New Roman" w:hAnsi="Times New Roman" w:cs="Times New Roman"/>
          <w:sz w:val="24"/>
        </w:rPr>
        <w:t>260</w:t>
      </w:r>
      <w:r w:rsidR="00106A6E">
        <w:rPr>
          <w:rFonts w:ascii="Times New Roman" w:hAnsi="Times New Roman" w:cs="Times New Roman"/>
          <w:sz w:val="24"/>
        </w:rPr>
        <w:t>)</w:t>
      </w:r>
      <w:r w:rsidR="005C2054">
        <w:rPr>
          <w:rFonts w:ascii="Times New Roman" w:hAnsi="Times New Roman" w:cs="Times New Roman"/>
          <w:szCs w:val="24"/>
        </w:rPr>
        <w:t>;</w:t>
      </w:r>
      <w:r w:rsidR="00EC54E5">
        <w:rPr>
          <w:rFonts w:ascii="Times New Roman" w:hAnsi="Times New Roman" w:cs="Times New Roman"/>
          <w:szCs w:val="24"/>
        </w:rPr>
        <w:t xml:space="preserve"> it may have been a younger bull and thus easier to handle and leap over; or it may have simply been a ceremonial statue of sorts instead of an actual living bull. If there is one thing that can be relied upon in depictions of events of high importance from the past, it’s that there will almost always be some embellishment thrown in to make the event look more impressive than it may have originally been. But even if the depiction is in fact completely accurate, I still believe that with appropriate training and dedication then the </w:t>
      </w:r>
      <w:r w:rsidR="00DE1EED">
        <w:rPr>
          <w:rFonts w:ascii="Times New Roman" w:hAnsi="Times New Roman" w:cs="Times New Roman"/>
          <w:szCs w:val="24"/>
        </w:rPr>
        <w:t>act</w:t>
      </w:r>
      <w:r w:rsidR="00EC54E5">
        <w:rPr>
          <w:rFonts w:ascii="Times New Roman" w:hAnsi="Times New Roman" w:cs="Times New Roman"/>
          <w:szCs w:val="24"/>
        </w:rPr>
        <w:t xml:space="preserve"> would be very possible to perform.</w:t>
      </w:r>
      <w:r w:rsidR="00DE1EED">
        <w:rPr>
          <w:rFonts w:ascii="Times New Roman" w:hAnsi="Times New Roman" w:cs="Times New Roman"/>
          <w:szCs w:val="24"/>
        </w:rPr>
        <w:t xml:space="preserve"> In almost all of the depictions of bull-leaping found at Malia and the other surrounding palaces on Crete, it seems to be a ceremony or sport primarily performed by men, perhaps as either a form of coming of age ceremony, or a</w:t>
      </w:r>
      <w:r w:rsidR="005F03A9">
        <w:rPr>
          <w:rFonts w:ascii="Times New Roman" w:hAnsi="Times New Roman" w:cs="Times New Roman"/>
          <w:szCs w:val="24"/>
        </w:rPr>
        <w:t>n event meant to impress the eligible young women of the surrounding area</w:t>
      </w:r>
      <w:r w:rsidR="00DE1EED">
        <w:rPr>
          <w:rFonts w:ascii="Times New Roman" w:hAnsi="Times New Roman" w:cs="Times New Roman"/>
          <w:szCs w:val="24"/>
        </w:rPr>
        <w:t>.</w:t>
      </w:r>
      <w:r w:rsidR="000E7B7A">
        <w:rPr>
          <w:rFonts w:ascii="Times New Roman" w:hAnsi="Times New Roman" w:cs="Times New Roman"/>
          <w:szCs w:val="24"/>
        </w:rPr>
        <w:t xml:space="preserve"> Another interpretation is that the bulls in bull-leaping were meant to depict Poteidan, the most powerful god in the </w:t>
      </w:r>
      <w:r w:rsidR="00166371">
        <w:rPr>
          <w:rFonts w:ascii="Times New Roman" w:hAnsi="Times New Roman" w:cs="Times New Roman"/>
          <w:szCs w:val="24"/>
        </w:rPr>
        <w:t>Minoan</w:t>
      </w:r>
      <w:r w:rsidR="000E7B7A">
        <w:rPr>
          <w:rFonts w:ascii="Times New Roman" w:hAnsi="Times New Roman" w:cs="Times New Roman"/>
          <w:szCs w:val="24"/>
        </w:rPr>
        <w:t xml:space="preserve"> pantheon</w:t>
      </w:r>
      <w:r w:rsidR="003D38E5">
        <w:rPr>
          <w:rFonts w:ascii="Times New Roman" w:hAnsi="Times New Roman" w:cs="Times New Roman"/>
          <w:szCs w:val="24"/>
        </w:rPr>
        <w:t xml:space="preserve"> </w:t>
      </w:r>
      <w:r w:rsidR="003D38E5">
        <w:rPr>
          <w:rFonts w:ascii="Times New Roman" w:hAnsi="Times New Roman" w:cs="Times New Roman"/>
          <w:szCs w:val="24"/>
        </w:rPr>
        <w:t>(</w:t>
      </w:r>
      <w:r w:rsidR="003D38E5">
        <w:rPr>
          <w:rFonts w:ascii="Times New Roman" w:hAnsi="Times New Roman" w:cs="Times New Roman"/>
          <w:szCs w:val="24"/>
        </w:rPr>
        <w:t>Castleden</w:t>
      </w:r>
      <w:r w:rsidR="003D38E5">
        <w:rPr>
          <w:rFonts w:ascii="Times New Roman" w:hAnsi="Times New Roman" w:cs="Times New Roman"/>
          <w:szCs w:val="24"/>
        </w:rPr>
        <w:t xml:space="preserve">, </w:t>
      </w:r>
      <w:r w:rsidR="003D38E5">
        <w:rPr>
          <w:rFonts w:ascii="Times New Roman" w:hAnsi="Times New Roman" w:cs="Times New Roman"/>
          <w:szCs w:val="24"/>
        </w:rPr>
        <w:t>199</w:t>
      </w:r>
      <w:r w:rsidR="003D38E5">
        <w:rPr>
          <w:rFonts w:ascii="Times New Roman" w:hAnsi="Times New Roman" w:cs="Times New Roman"/>
          <w:szCs w:val="24"/>
        </w:rPr>
        <w:t xml:space="preserve">0, </w:t>
      </w:r>
      <w:r w:rsidR="003D38E5">
        <w:rPr>
          <w:rFonts w:ascii="Times New Roman" w:hAnsi="Times New Roman" w:cs="Times New Roman"/>
          <w:szCs w:val="24"/>
        </w:rPr>
        <w:t>148</w:t>
      </w:r>
      <w:r w:rsidR="003D38E5">
        <w:rPr>
          <w:rFonts w:ascii="Times New Roman" w:hAnsi="Times New Roman" w:cs="Times New Roman"/>
          <w:szCs w:val="24"/>
        </w:rPr>
        <w:t>)</w:t>
      </w:r>
      <w:r w:rsidR="0060217E">
        <w:rPr>
          <w:rFonts w:ascii="Times New Roman" w:hAnsi="Times New Roman" w:cs="Times New Roman"/>
          <w:szCs w:val="24"/>
        </w:rPr>
        <w:t>. The act then of a man or boy leaping over the bull would bring the gods down to the level of man</w:t>
      </w:r>
      <w:r w:rsidR="002353D4">
        <w:rPr>
          <w:rFonts w:ascii="Times New Roman" w:hAnsi="Times New Roman" w:cs="Times New Roman"/>
          <w:szCs w:val="24"/>
        </w:rPr>
        <w:t xml:space="preserve">, perhaps not as a sign of dominance, but as a symbol of the intertwining lives between the gods and man. </w:t>
      </w:r>
      <w:r w:rsidR="00DE1EED">
        <w:rPr>
          <w:rFonts w:ascii="Times New Roman" w:hAnsi="Times New Roman" w:cs="Times New Roman"/>
          <w:szCs w:val="24"/>
        </w:rPr>
        <w:t xml:space="preserve"> The central court would have been the most likely place for the ceremony to be performed</w:t>
      </w:r>
      <w:r w:rsidR="005F03A9">
        <w:rPr>
          <w:rFonts w:ascii="Times New Roman" w:hAnsi="Times New Roman" w:cs="Times New Roman"/>
          <w:szCs w:val="24"/>
        </w:rPr>
        <w:t xml:space="preserve"> as there were two wide corridors that led into it that could have accommodated several people walking abreast</w:t>
      </w:r>
      <w:r w:rsidR="003D38E5">
        <w:rPr>
          <w:rFonts w:ascii="Times New Roman" w:hAnsi="Times New Roman" w:cs="Times New Roman"/>
          <w:szCs w:val="24"/>
        </w:rPr>
        <w:t xml:space="preserve"> </w:t>
      </w:r>
      <w:r w:rsidR="003D38E5">
        <w:rPr>
          <w:rFonts w:ascii="Times New Roman" w:hAnsi="Times New Roman" w:cs="Times New Roman"/>
          <w:szCs w:val="24"/>
        </w:rPr>
        <w:t>(</w:t>
      </w:r>
      <w:r w:rsidR="003D38E5">
        <w:rPr>
          <w:rFonts w:ascii="Times New Roman" w:hAnsi="Times New Roman" w:cs="Times New Roman"/>
          <w:szCs w:val="24"/>
        </w:rPr>
        <w:t>Adams</w:t>
      </w:r>
      <w:r w:rsidR="003D38E5">
        <w:rPr>
          <w:rFonts w:ascii="Times New Roman" w:hAnsi="Times New Roman" w:cs="Times New Roman"/>
          <w:szCs w:val="24"/>
        </w:rPr>
        <w:t xml:space="preserve">, </w:t>
      </w:r>
      <w:r w:rsidR="003D38E5">
        <w:rPr>
          <w:rFonts w:ascii="Times New Roman" w:hAnsi="Times New Roman" w:cs="Times New Roman"/>
          <w:szCs w:val="24"/>
        </w:rPr>
        <w:t>2007</w:t>
      </w:r>
      <w:r w:rsidR="003D38E5">
        <w:rPr>
          <w:rFonts w:ascii="Times New Roman" w:hAnsi="Times New Roman" w:cs="Times New Roman"/>
          <w:szCs w:val="24"/>
        </w:rPr>
        <w:t xml:space="preserve">, </w:t>
      </w:r>
      <w:r w:rsidR="003D38E5">
        <w:rPr>
          <w:rFonts w:ascii="Times New Roman" w:hAnsi="Times New Roman" w:cs="Times New Roman"/>
          <w:szCs w:val="24"/>
        </w:rPr>
        <w:t>369</w:t>
      </w:r>
      <w:r w:rsidR="003D38E5">
        <w:rPr>
          <w:rFonts w:ascii="Times New Roman" w:hAnsi="Times New Roman" w:cs="Times New Roman"/>
          <w:szCs w:val="24"/>
        </w:rPr>
        <w:t>)</w:t>
      </w:r>
      <w:r w:rsidR="005F03A9">
        <w:rPr>
          <w:rFonts w:ascii="Times New Roman" w:hAnsi="Times New Roman" w:cs="Times New Roman"/>
          <w:szCs w:val="24"/>
        </w:rPr>
        <w:t>. This would have been plenty of room to lead the bulls in and out of the central court, as well as accommodating the many people that would have come to watch or participate in the ceremony.</w:t>
      </w:r>
      <w:r w:rsidR="000E7B7A">
        <w:rPr>
          <w:rFonts w:ascii="Times New Roman" w:hAnsi="Times New Roman" w:cs="Times New Roman"/>
          <w:szCs w:val="24"/>
        </w:rPr>
        <w:t xml:space="preserve"> </w:t>
      </w:r>
      <w:r w:rsidR="00166371">
        <w:rPr>
          <w:rFonts w:ascii="Times New Roman" w:hAnsi="Times New Roman" w:cs="Times New Roman"/>
          <w:szCs w:val="24"/>
        </w:rPr>
        <w:t xml:space="preserve"> On the east side of the bull court in the palace at Malia there is evidence that eludes to the existence of rails supported by strong wooden posts that would have served to protect bystanders as the men performed this ceremony. </w:t>
      </w:r>
      <w:r w:rsidR="000E7B7A">
        <w:rPr>
          <w:rFonts w:ascii="Times New Roman" w:hAnsi="Times New Roman" w:cs="Times New Roman"/>
          <w:szCs w:val="24"/>
        </w:rPr>
        <w:t xml:space="preserve">The proposition that this ceremony was heavily male centred is one that will likely never receive much opposition, but I believe that it also held roles for women. </w:t>
      </w:r>
      <w:r w:rsidR="00166371">
        <w:rPr>
          <w:rFonts w:ascii="Times New Roman" w:hAnsi="Times New Roman" w:cs="Times New Roman"/>
          <w:szCs w:val="24"/>
        </w:rPr>
        <w:t>O</w:t>
      </w:r>
      <w:r w:rsidR="000E7B7A">
        <w:rPr>
          <w:rFonts w:ascii="Times New Roman" w:hAnsi="Times New Roman" w:cs="Times New Roman"/>
          <w:szCs w:val="24"/>
        </w:rPr>
        <w:t>ne of the most famous depictions of bull-leaping found at Knossos depicts what could be interpreted as two women, due to the white skin they are drawn with, standing on either end of the bull</w:t>
      </w:r>
      <w:r w:rsidR="005C2054">
        <w:rPr>
          <w:rFonts w:ascii="Times New Roman" w:hAnsi="Times New Roman" w:cs="Times New Roman"/>
          <w:szCs w:val="24"/>
        </w:rPr>
        <w:t xml:space="preserve"> with a man, drawn with brown skin, on the back of the bull. If all three figures were depicted with the same brown skin </w:t>
      </w:r>
      <w:r w:rsidR="00A268B9">
        <w:rPr>
          <w:rFonts w:ascii="Times New Roman" w:hAnsi="Times New Roman" w:cs="Times New Roman"/>
          <w:szCs w:val="24"/>
        </w:rPr>
        <w:t>colouring,</w:t>
      </w:r>
      <w:r w:rsidR="005C2054">
        <w:rPr>
          <w:rFonts w:ascii="Times New Roman" w:hAnsi="Times New Roman" w:cs="Times New Roman"/>
          <w:szCs w:val="24"/>
        </w:rPr>
        <w:t xml:space="preserve"> then the fresco could instead be viewed as a diagram on how to leap over the bull. But the two outer figures are drawn with white skin, which, following the trend of other Minoan art, would represent them as being female and thus separate from the male in the centre. This then leaves two other possibilities </w:t>
      </w:r>
      <w:r w:rsidR="00A268B9">
        <w:rPr>
          <w:rFonts w:ascii="Times New Roman" w:hAnsi="Times New Roman" w:cs="Times New Roman"/>
          <w:szCs w:val="24"/>
        </w:rPr>
        <w:t>in regard to</w:t>
      </w:r>
      <w:r w:rsidR="005C2054">
        <w:rPr>
          <w:rFonts w:ascii="Times New Roman" w:hAnsi="Times New Roman" w:cs="Times New Roman"/>
          <w:szCs w:val="24"/>
        </w:rPr>
        <w:t xml:space="preserve"> the women in the fresco. Either they are also participating in the ceremony, or they are the bull’s ‘handlers’.</w:t>
      </w:r>
      <w:r w:rsidR="00CF66B6">
        <w:rPr>
          <w:rFonts w:ascii="Times New Roman" w:hAnsi="Times New Roman" w:cs="Times New Roman"/>
          <w:szCs w:val="24"/>
        </w:rPr>
        <w:t xml:space="preserve"> The way in which</w:t>
      </w:r>
      <w:r w:rsidR="004727FF">
        <w:rPr>
          <w:rFonts w:ascii="Times New Roman" w:hAnsi="Times New Roman" w:cs="Times New Roman"/>
          <w:szCs w:val="24"/>
        </w:rPr>
        <w:t xml:space="preserve"> they are dressed and positioned lean more towards them also participating in the ceremony. This then would mean that bull-leaping was both a male and female event, and that it did not hold any specific male coming of age purpose. (Although it is still a possibility that it could have been both a male and female coming of age ceremony.)</w:t>
      </w:r>
    </w:p>
    <w:p w:rsidR="004727FF" w:rsidRDefault="004727FF" w:rsidP="00C129E3">
      <w:pPr>
        <w:spacing w:line="360" w:lineRule="auto"/>
        <w:rPr>
          <w:rFonts w:ascii="Times New Roman" w:hAnsi="Times New Roman" w:cs="Times New Roman"/>
        </w:rPr>
      </w:pPr>
      <w:r>
        <w:rPr>
          <w:rFonts w:ascii="Times New Roman" w:hAnsi="Times New Roman" w:cs="Times New Roman"/>
        </w:rPr>
        <w:lastRenderedPageBreak/>
        <w:tab/>
      </w:r>
      <w:r w:rsidR="00886FD5">
        <w:rPr>
          <w:rFonts w:ascii="Times New Roman" w:hAnsi="Times New Roman" w:cs="Times New Roman"/>
        </w:rPr>
        <w:t xml:space="preserve">The many ceremonial weapons recovered from Malia all have something to say </w:t>
      </w:r>
      <w:r w:rsidR="00A268B9">
        <w:rPr>
          <w:rFonts w:ascii="Times New Roman" w:hAnsi="Times New Roman" w:cs="Times New Roman"/>
        </w:rPr>
        <w:t>in regard to</w:t>
      </w:r>
      <w:r w:rsidR="00886FD5">
        <w:rPr>
          <w:rFonts w:ascii="Times New Roman" w:hAnsi="Times New Roman" w:cs="Times New Roman"/>
        </w:rPr>
        <w:t xml:space="preserve"> the way in which they were used </w:t>
      </w:r>
      <w:r w:rsidR="00986420">
        <w:rPr>
          <w:rFonts w:ascii="Times New Roman" w:hAnsi="Times New Roman" w:cs="Times New Roman"/>
        </w:rPr>
        <w:t xml:space="preserve">and who used them </w:t>
      </w:r>
      <w:r w:rsidR="00886FD5">
        <w:rPr>
          <w:rFonts w:ascii="Times New Roman" w:hAnsi="Times New Roman" w:cs="Times New Roman"/>
        </w:rPr>
        <w:t>in various religious rituals</w:t>
      </w:r>
      <w:r w:rsidR="00986420">
        <w:rPr>
          <w:rFonts w:ascii="Times New Roman" w:hAnsi="Times New Roman" w:cs="Times New Roman"/>
        </w:rPr>
        <w:t>. The large brown battle axe in schist would have obviously never have been used in the way in which one would expect a battle axe to be used</w:t>
      </w:r>
      <w:r w:rsidR="00AE75F9">
        <w:rPr>
          <w:rFonts w:ascii="Times New Roman" w:hAnsi="Times New Roman" w:cs="Times New Roman"/>
        </w:rPr>
        <w:t xml:space="preserve"> because of the schist it was made from. Schist is very fragile and would have broken after it made contact with anything with any means of force behind it</w:t>
      </w:r>
      <w:r w:rsidR="00106A6E">
        <w:rPr>
          <w:rFonts w:ascii="Times New Roman" w:hAnsi="Times New Roman" w:cs="Times New Roman"/>
        </w:rPr>
        <w:t xml:space="preserve"> </w:t>
      </w:r>
      <w:r w:rsidR="00106A6E">
        <w:rPr>
          <w:rFonts w:ascii="Times New Roman" w:hAnsi="Times New Roman" w:cs="Times New Roman"/>
          <w:sz w:val="24"/>
        </w:rPr>
        <w:t>(Hutchinson, 1962, 18</w:t>
      </w:r>
      <w:r w:rsidR="00106A6E">
        <w:rPr>
          <w:rFonts w:ascii="Times New Roman" w:hAnsi="Times New Roman" w:cs="Times New Roman"/>
          <w:sz w:val="24"/>
        </w:rPr>
        <w:t>7</w:t>
      </w:r>
      <w:r w:rsidR="00106A6E">
        <w:rPr>
          <w:rFonts w:ascii="Times New Roman" w:hAnsi="Times New Roman" w:cs="Times New Roman"/>
          <w:sz w:val="24"/>
        </w:rPr>
        <w:t>)</w:t>
      </w:r>
      <w:r w:rsidR="00AE75F9">
        <w:rPr>
          <w:rFonts w:ascii="Times New Roman" w:hAnsi="Times New Roman" w:cs="Times New Roman"/>
        </w:rPr>
        <w:t>. This makes the axe largely useless in performing as any other axe would be expected to perform</w:t>
      </w:r>
      <w:r w:rsidR="00D0746F">
        <w:rPr>
          <w:rFonts w:ascii="Times New Roman" w:hAnsi="Times New Roman" w:cs="Times New Roman"/>
        </w:rPr>
        <w:t>, s</w:t>
      </w:r>
      <w:r w:rsidR="00AE75F9">
        <w:rPr>
          <w:rFonts w:ascii="Times New Roman" w:hAnsi="Times New Roman" w:cs="Times New Roman"/>
        </w:rPr>
        <w:t xml:space="preserve">o then the only use for a weapon that cannot be used as a weapon is as a ritualistic item. Throughout Minoan depictions of </w:t>
      </w:r>
      <w:r w:rsidR="00A268B9">
        <w:rPr>
          <w:rFonts w:ascii="Times New Roman" w:hAnsi="Times New Roman" w:cs="Times New Roman"/>
        </w:rPr>
        <w:t>weapons,</w:t>
      </w:r>
      <w:r w:rsidR="00AE75F9">
        <w:rPr>
          <w:rFonts w:ascii="Times New Roman" w:hAnsi="Times New Roman" w:cs="Times New Roman"/>
        </w:rPr>
        <w:t xml:space="preserve"> they are almost always being held by </w:t>
      </w:r>
      <w:r w:rsidR="00D0746F">
        <w:rPr>
          <w:rFonts w:ascii="Times New Roman" w:hAnsi="Times New Roman" w:cs="Times New Roman"/>
        </w:rPr>
        <w:t>me</w:t>
      </w:r>
      <w:r w:rsidR="00AE75F9">
        <w:rPr>
          <w:rFonts w:ascii="Times New Roman" w:hAnsi="Times New Roman" w:cs="Times New Roman"/>
        </w:rPr>
        <w:t>n, if they are not simply depicted alone in an image. This could then point to a male role within the religious ceremonies that took place at the palace of Malia</w:t>
      </w:r>
      <w:r w:rsidR="002947E3">
        <w:rPr>
          <w:rFonts w:ascii="Times New Roman" w:hAnsi="Times New Roman" w:cs="Times New Roman"/>
        </w:rPr>
        <w:t xml:space="preserve"> as it </w:t>
      </w:r>
      <w:r w:rsidR="001B10CC">
        <w:rPr>
          <w:rFonts w:ascii="Times New Roman" w:hAnsi="Times New Roman" w:cs="Times New Roman"/>
        </w:rPr>
        <w:t>c</w:t>
      </w:r>
      <w:r w:rsidR="002947E3">
        <w:rPr>
          <w:rFonts w:ascii="Times New Roman" w:hAnsi="Times New Roman" w:cs="Times New Roman"/>
        </w:rPr>
        <w:t xml:space="preserve">ould be </w:t>
      </w:r>
      <w:r w:rsidR="001B10CC">
        <w:rPr>
          <w:rFonts w:ascii="Times New Roman" w:hAnsi="Times New Roman" w:cs="Times New Roman"/>
        </w:rPr>
        <w:t>presumed to be un</w:t>
      </w:r>
      <w:r w:rsidR="00D0746F">
        <w:rPr>
          <w:rFonts w:ascii="Times New Roman" w:hAnsi="Times New Roman" w:cs="Times New Roman"/>
        </w:rPr>
        <w:t>likely</w:t>
      </w:r>
      <w:r w:rsidR="001B10CC">
        <w:rPr>
          <w:rFonts w:ascii="Times New Roman" w:hAnsi="Times New Roman" w:cs="Times New Roman"/>
        </w:rPr>
        <w:t xml:space="preserve"> for a woman to handle a weapon even outside of battle</w:t>
      </w:r>
      <w:r w:rsidR="00AE75F9">
        <w:rPr>
          <w:rFonts w:ascii="Times New Roman" w:hAnsi="Times New Roman" w:cs="Times New Roman"/>
        </w:rPr>
        <w:t>.</w:t>
      </w:r>
      <w:r w:rsidR="005C0190">
        <w:rPr>
          <w:rFonts w:ascii="Times New Roman" w:hAnsi="Times New Roman" w:cs="Times New Roman"/>
        </w:rPr>
        <w:t xml:space="preserve"> Many other ceremonial weapons were also found in or around the palace including a </w:t>
      </w:r>
      <w:r w:rsidR="005C0190" w:rsidRPr="005C0190">
        <w:rPr>
          <w:rFonts w:ascii="Times New Roman" w:hAnsi="Times New Roman" w:cs="Times New Roman"/>
        </w:rPr>
        <w:t>great bronze sword with a crystal hilt</w:t>
      </w:r>
      <w:r w:rsidR="005C0190">
        <w:rPr>
          <w:rFonts w:ascii="Times New Roman" w:hAnsi="Times New Roman" w:cs="Times New Roman"/>
        </w:rPr>
        <w:t xml:space="preserve"> and a bronze dagger.</w:t>
      </w:r>
      <w:r w:rsidR="00642366">
        <w:rPr>
          <w:rFonts w:ascii="Times New Roman" w:hAnsi="Times New Roman" w:cs="Times New Roman"/>
        </w:rPr>
        <w:t xml:space="preserve"> There is evidence to suggest that both the great sword and the dagger had their hilts</w:t>
      </w:r>
      <w:r w:rsidR="00D0746F">
        <w:rPr>
          <w:rFonts w:ascii="Times New Roman" w:hAnsi="Times New Roman" w:cs="Times New Roman"/>
        </w:rPr>
        <w:t xml:space="preserve"> originally plated in gold</w:t>
      </w:r>
      <w:r w:rsidR="003D38E5">
        <w:rPr>
          <w:rFonts w:ascii="Times New Roman" w:hAnsi="Times New Roman" w:cs="Times New Roman"/>
        </w:rPr>
        <w:t xml:space="preserve"> </w:t>
      </w:r>
      <w:r w:rsidR="003D38E5">
        <w:rPr>
          <w:rFonts w:ascii="Times New Roman" w:hAnsi="Times New Roman" w:cs="Times New Roman"/>
          <w:szCs w:val="24"/>
        </w:rPr>
        <w:t xml:space="preserve">(Adams, 2007, </w:t>
      </w:r>
      <w:r w:rsidR="003D38E5">
        <w:rPr>
          <w:rFonts w:ascii="Times New Roman" w:hAnsi="Times New Roman" w:cs="Times New Roman"/>
          <w:szCs w:val="24"/>
        </w:rPr>
        <w:t>118</w:t>
      </w:r>
      <w:r w:rsidR="003D38E5">
        <w:rPr>
          <w:rFonts w:ascii="Times New Roman" w:hAnsi="Times New Roman" w:cs="Times New Roman"/>
          <w:szCs w:val="24"/>
        </w:rPr>
        <w:t>)</w:t>
      </w:r>
      <w:r w:rsidR="00D0746F">
        <w:rPr>
          <w:rFonts w:ascii="Times New Roman" w:hAnsi="Times New Roman" w:cs="Times New Roman"/>
        </w:rPr>
        <w:t>.</w:t>
      </w:r>
      <w:r w:rsidR="003D38E5">
        <w:rPr>
          <w:rFonts w:ascii="Times New Roman" w:hAnsi="Times New Roman" w:cs="Times New Roman"/>
        </w:rPr>
        <w:t xml:space="preserve"> </w:t>
      </w:r>
      <w:r w:rsidR="005C0190">
        <w:rPr>
          <w:rFonts w:ascii="Times New Roman" w:hAnsi="Times New Roman" w:cs="Times New Roman"/>
        </w:rPr>
        <w:t>Both of these were most likely used purely in ceremony</w:t>
      </w:r>
      <w:r w:rsidR="00D0746F">
        <w:rPr>
          <w:rFonts w:ascii="Times New Roman" w:hAnsi="Times New Roman" w:cs="Times New Roman"/>
        </w:rPr>
        <w:t xml:space="preserve"> like the battle axe</w:t>
      </w:r>
      <w:r w:rsidR="005C0190">
        <w:rPr>
          <w:rFonts w:ascii="Times New Roman" w:hAnsi="Times New Roman" w:cs="Times New Roman"/>
        </w:rPr>
        <w:t>, but unlike the battle axe, they would have been capable of letting blood from sacrifices</w:t>
      </w:r>
      <w:r w:rsidR="00D0746F">
        <w:rPr>
          <w:rFonts w:ascii="Times New Roman" w:hAnsi="Times New Roman" w:cs="Times New Roman"/>
        </w:rPr>
        <w:t xml:space="preserve"> to later be used as a libation</w:t>
      </w:r>
      <w:r w:rsidR="00106A6E">
        <w:rPr>
          <w:rFonts w:ascii="Times New Roman" w:hAnsi="Times New Roman" w:cs="Times New Roman"/>
        </w:rPr>
        <w:t xml:space="preserve"> </w:t>
      </w:r>
      <w:r w:rsidR="00106A6E">
        <w:rPr>
          <w:rFonts w:ascii="Times New Roman" w:hAnsi="Times New Roman" w:cs="Times New Roman"/>
          <w:sz w:val="24"/>
        </w:rPr>
        <w:t>(McInerney, 2011</w:t>
      </w:r>
      <w:r w:rsidR="00106A6E">
        <w:rPr>
          <w:rFonts w:ascii="Times New Roman" w:hAnsi="Times New Roman" w:cs="Times New Roman"/>
          <w:sz w:val="24"/>
        </w:rPr>
        <w:t>, 3</w:t>
      </w:r>
      <w:r w:rsidR="00106A6E">
        <w:rPr>
          <w:rFonts w:ascii="Times New Roman" w:hAnsi="Times New Roman" w:cs="Times New Roman"/>
          <w:sz w:val="24"/>
        </w:rPr>
        <w:t>)</w:t>
      </w:r>
      <w:r w:rsidR="005C0190">
        <w:rPr>
          <w:rFonts w:ascii="Times New Roman" w:hAnsi="Times New Roman" w:cs="Times New Roman"/>
        </w:rPr>
        <w:t>.</w:t>
      </w:r>
      <w:r w:rsidR="001B10CC">
        <w:rPr>
          <w:rFonts w:ascii="Times New Roman" w:hAnsi="Times New Roman" w:cs="Times New Roman"/>
        </w:rPr>
        <w:t xml:space="preserve"> A pair of rapier styled swords with rounded hilts were also discovered in the temple at the Malian palace</w:t>
      </w:r>
      <w:r w:rsidR="003D38E5">
        <w:rPr>
          <w:rFonts w:ascii="Times New Roman" w:hAnsi="Times New Roman" w:cs="Times New Roman"/>
        </w:rPr>
        <w:t xml:space="preserve"> </w:t>
      </w:r>
      <w:r w:rsidR="003D38E5">
        <w:rPr>
          <w:rFonts w:ascii="Times New Roman" w:hAnsi="Times New Roman" w:cs="Times New Roman"/>
          <w:szCs w:val="24"/>
        </w:rPr>
        <w:t>(Castleden, 1990, 1</w:t>
      </w:r>
      <w:r w:rsidR="003D38E5">
        <w:rPr>
          <w:rFonts w:ascii="Times New Roman" w:hAnsi="Times New Roman" w:cs="Times New Roman"/>
          <w:szCs w:val="24"/>
        </w:rPr>
        <w:t>9</w:t>
      </w:r>
      <w:r w:rsidR="003D38E5">
        <w:rPr>
          <w:rFonts w:ascii="Times New Roman" w:hAnsi="Times New Roman" w:cs="Times New Roman"/>
          <w:szCs w:val="24"/>
        </w:rPr>
        <w:t>)</w:t>
      </w:r>
      <w:r w:rsidR="001B10CC">
        <w:rPr>
          <w:rFonts w:ascii="Times New Roman" w:hAnsi="Times New Roman" w:cs="Times New Roman"/>
        </w:rPr>
        <w:t>, except these swords were buried, unlike the battle axe, great sword, and dagger mentioned previously.</w:t>
      </w:r>
      <w:r w:rsidR="005C5FB3">
        <w:rPr>
          <w:rFonts w:ascii="Times New Roman" w:hAnsi="Times New Roman" w:cs="Times New Roman"/>
        </w:rPr>
        <w:t xml:space="preserve"> These </w:t>
      </w:r>
      <w:r w:rsidR="00A268B9">
        <w:rPr>
          <w:rFonts w:ascii="Times New Roman" w:hAnsi="Times New Roman" w:cs="Times New Roman"/>
        </w:rPr>
        <w:t>rapier-like</w:t>
      </w:r>
      <w:r w:rsidR="005C5FB3">
        <w:rPr>
          <w:rFonts w:ascii="Times New Roman" w:hAnsi="Times New Roman" w:cs="Times New Roman"/>
        </w:rPr>
        <w:t xml:space="preserve"> swords may have been buried as part of a religious ceremony, or as Rodney Castleden hypothesises, as “a deliberate foundational offering”</w:t>
      </w:r>
      <w:r w:rsidR="003D38E5">
        <w:rPr>
          <w:rFonts w:ascii="Times New Roman" w:hAnsi="Times New Roman" w:cs="Times New Roman"/>
        </w:rPr>
        <w:t xml:space="preserve"> </w:t>
      </w:r>
      <w:r w:rsidR="003D38E5">
        <w:rPr>
          <w:rFonts w:ascii="Times New Roman" w:hAnsi="Times New Roman" w:cs="Times New Roman"/>
          <w:szCs w:val="24"/>
        </w:rPr>
        <w:t>(Castleden, 1990, 1</w:t>
      </w:r>
      <w:r w:rsidR="003D38E5">
        <w:rPr>
          <w:rFonts w:ascii="Times New Roman" w:hAnsi="Times New Roman" w:cs="Times New Roman"/>
          <w:szCs w:val="24"/>
        </w:rPr>
        <w:t>9</w:t>
      </w:r>
      <w:r w:rsidR="003D38E5">
        <w:rPr>
          <w:rFonts w:ascii="Times New Roman" w:hAnsi="Times New Roman" w:cs="Times New Roman"/>
          <w:szCs w:val="24"/>
        </w:rPr>
        <w:t>)</w:t>
      </w:r>
      <w:r w:rsidR="003D38E5">
        <w:rPr>
          <w:rFonts w:ascii="Times New Roman" w:hAnsi="Times New Roman" w:cs="Times New Roman"/>
          <w:szCs w:val="24"/>
        </w:rPr>
        <w:t>.</w:t>
      </w:r>
      <w:r w:rsidR="005C5FB3">
        <w:rPr>
          <w:rFonts w:ascii="Times New Roman" w:hAnsi="Times New Roman" w:cs="Times New Roman"/>
        </w:rPr>
        <w:t xml:space="preserve"> These swords would have most likely been used primarily by males as the acrobat depicted on one of the sword hilts</w:t>
      </w:r>
      <w:r w:rsidR="00642366">
        <w:rPr>
          <w:rFonts w:ascii="Times New Roman" w:hAnsi="Times New Roman" w:cs="Times New Roman"/>
        </w:rPr>
        <w:t xml:space="preserve"> seems to be distinctively male, but whether or not these acrobatics were part of religious ceremonies or lifestyles cannot be deduced with any form of certainty.</w:t>
      </w:r>
      <w:r w:rsidR="00A20614">
        <w:rPr>
          <w:rFonts w:ascii="Times New Roman" w:hAnsi="Times New Roman" w:cs="Times New Roman"/>
        </w:rPr>
        <w:t xml:space="preserve"> With so many different ceremonial weapons, it is very hard to not attribute a large religious role to men, especially at ceremonies which would require sacrifice. I do not believe that it is impossible though that a woman could have performed these ceremonies with the weapons, but I think that it is highly unlikely.</w:t>
      </w:r>
    </w:p>
    <w:p w:rsidR="00E00C24" w:rsidRDefault="00A20614" w:rsidP="00C129E3">
      <w:pPr>
        <w:spacing w:line="360" w:lineRule="auto"/>
        <w:rPr>
          <w:rFonts w:ascii="Times New Roman" w:hAnsi="Times New Roman" w:cs="Times New Roman"/>
        </w:rPr>
      </w:pPr>
      <w:r>
        <w:rPr>
          <w:rFonts w:ascii="Times New Roman" w:hAnsi="Times New Roman" w:cs="Times New Roman"/>
        </w:rPr>
        <w:tab/>
        <w:t>The apparent dominance of men over the sacrificial aspects of the religious ceremonies performed in the temples and the surrounding area of the palace at Malia does not rule out any form of female roles though, we just have to look elsewhere for them.</w:t>
      </w:r>
      <w:r w:rsidR="00455ABF">
        <w:rPr>
          <w:rFonts w:ascii="Times New Roman" w:hAnsi="Times New Roman" w:cs="Times New Roman"/>
        </w:rPr>
        <w:t xml:space="preserve"> </w:t>
      </w:r>
      <w:r w:rsidR="00CC1A03">
        <w:rPr>
          <w:rFonts w:ascii="Times New Roman" w:hAnsi="Times New Roman" w:cs="Times New Roman"/>
        </w:rPr>
        <w:t xml:space="preserve">It is known from other palaces near to Malia such as Knossos, Phaistos, and Zakros that female priestesses were very common in service to the various goddesses of the Minoan pantheon. Several gold jewellery items have been found at Malia that would have likely been worn by the priestesses during their various religious ceremonies. Two of these items are a necklace depicting two bees and a gold pin with its head in the shape of a flower. </w:t>
      </w:r>
      <w:r w:rsidR="00D94D45">
        <w:rPr>
          <w:rFonts w:ascii="Times New Roman" w:hAnsi="Times New Roman" w:cs="Times New Roman"/>
        </w:rPr>
        <w:t xml:space="preserve">J. D. S. Pendlebury describes these two items and other various gold items discovered to be “finer even than the </w:t>
      </w:r>
      <w:r w:rsidR="00D94D45">
        <w:rPr>
          <w:rFonts w:ascii="Times New Roman" w:hAnsi="Times New Roman" w:cs="Times New Roman"/>
        </w:rPr>
        <w:lastRenderedPageBreak/>
        <w:t>best in Egypt”</w:t>
      </w:r>
      <w:r w:rsidR="00553B40">
        <w:rPr>
          <w:rFonts w:ascii="Times New Roman" w:hAnsi="Times New Roman" w:cs="Times New Roman"/>
        </w:rPr>
        <w:t xml:space="preserve"> </w:t>
      </w:r>
      <w:r w:rsidR="00553B40">
        <w:rPr>
          <w:rFonts w:ascii="Times New Roman" w:hAnsi="Times New Roman" w:cs="Times New Roman"/>
          <w:szCs w:val="24"/>
        </w:rPr>
        <w:t>(</w:t>
      </w:r>
      <w:r w:rsidR="00553B40">
        <w:rPr>
          <w:rFonts w:ascii="Times New Roman" w:hAnsi="Times New Roman" w:cs="Times New Roman"/>
          <w:szCs w:val="24"/>
        </w:rPr>
        <w:t>Pendlebury</w:t>
      </w:r>
      <w:r w:rsidR="00553B40">
        <w:rPr>
          <w:rFonts w:ascii="Times New Roman" w:hAnsi="Times New Roman" w:cs="Times New Roman"/>
          <w:szCs w:val="24"/>
        </w:rPr>
        <w:t xml:space="preserve">, </w:t>
      </w:r>
      <w:r w:rsidR="00553B40">
        <w:rPr>
          <w:rFonts w:ascii="Times New Roman" w:hAnsi="Times New Roman" w:cs="Times New Roman"/>
          <w:szCs w:val="24"/>
        </w:rPr>
        <w:t>1979</w:t>
      </w:r>
      <w:r w:rsidR="00553B40">
        <w:rPr>
          <w:rFonts w:ascii="Times New Roman" w:hAnsi="Times New Roman" w:cs="Times New Roman"/>
          <w:szCs w:val="24"/>
        </w:rPr>
        <w:t xml:space="preserve">, </w:t>
      </w:r>
      <w:r w:rsidR="00553B40">
        <w:rPr>
          <w:rFonts w:ascii="Times New Roman" w:hAnsi="Times New Roman" w:cs="Times New Roman"/>
          <w:szCs w:val="24"/>
        </w:rPr>
        <w:t>120</w:t>
      </w:r>
      <w:r w:rsidR="00553B40">
        <w:rPr>
          <w:rFonts w:ascii="Times New Roman" w:hAnsi="Times New Roman" w:cs="Times New Roman"/>
          <w:szCs w:val="24"/>
        </w:rPr>
        <w:t>)</w:t>
      </w:r>
      <w:r w:rsidR="00553B40">
        <w:rPr>
          <w:rFonts w:ascii="Times New Roman" w:hAnsi="Times New Roman" w:cs="Times New Roman"/>
          <w:szCs w:val="24"/>
        </w:rPr>
        <w:t>.</w:t>
      </w:r>
      <w:r w:rsidR="00D94D45">
        <w:rPr>
          <w:rFonts w:ascii="Times New Roman" w:hAnsi="Times New Roman" w:cs="Times New Roman"/>
        </w:rPr>
        <w:t xml:space="preserve"> It is likely that the temple and goddesses would have been adorned with other quality goods as the palace contained two workshops for the luxury goods of ivory and stone vases</w:t>
      </w:r>
      <w:r w:rsidR="00553B40">
        <w:rPr>
          <w:rFonts w:ascii="Times New Roman" w:hAnsi="Times New Roman" w:cs="Times New Roman"/>
        </w:rPr>
        <w:t xml:space="preserve"> </w:t>
      </w:r>
      <w:r w:rsidR="00553B40">
        <w:rPr>
          <w:rFonts w:ascii="Times New Roman" w:hAnsi="Times New Roman" w:cs="Times New Roman"/>
          <w:szCs w:val="24"/>
        </w:rPr>
        <w:t>(</w:t>
      </w:r>
      <w:r w:rsidR="00553B40">
        <w:rPr>
          <w:rFonts w:ascii="Times New Roman" w:hAnsi="Times New Roman" w:cs="Times New Roman"/>
          <w:szCs w:val="24"/>
        </w:rPr>
        <w:t>Adams</w:t>
      </w:r>
      <w:r w:rsidR="00553B40">
        <w:rPr>
          <w:rFonts w:ascii="Times New Roman" w:hAnsi="Times New Roman" w:cs="Times New Roman"/>
          <w:szCs w:val="24"/>
        </w:rPr>
        <w:t xml:space="preserve">, </w:t>
      </w:r>
      <w:r w:rsidR="00553B40">
        <w:rPr>
          <w:rFonts w:ascii="Times New Roman" w:hAnsi="Times New Roman" w:cs="Times New Roman"/>
          <w:szCs w:val="24"/>
        </w:rPr>
        <w:t>2004</w:t>
      </w:r>
      <w:r w:rsidR="00553B40">
        <w:rPr>
          <w:rFonts w:ascii="Times New Roman" w:hAnsi="Times New Roman" w:cs="Times New Roman"/>
          <w:szCs w:val="24"/>
        </w:rPr>
        <w:t xml:space="preserve">, </w:t>
      </w:r>
      <w:r w:rsidR="00553B40">
        <w:rPr>
          <w:rFonts w:ascii="Times New Roman" w:hAnsi="Times New Roman" w:cs="Times New Roman"/>
          <w:szCs w:val="24"/>
        </w:rPr>
        <w:t>206</w:t>
      </w:r>
      <w:r w:rsidR="00553B40">
        <w:rPr>
          <w:rFonts w:ascii="Times New Roman" w:hAnsi="Times New Roman" w:cs="Times New Roman"/>
          <w:szCs w:val="24"/>
        </w:rPr>
        <w:t>)</w:t>
      </w:r>
      <w:r w:rsidR="00D94D45">
        <w:rPr>
          <w:rFonts w:ascii="Times New Roman" w:hAnsi="Times New Roman" w:cs="Times New Roman"/>
        </w:rPr>
        <w:t>. With such magnificent jewellery and other items filling the temples and adorning the priestesses of the goddesses of Malia, visitors would have been appropriately impressed with the splendor that the goddess was associated with</w:t>
      </w:r>
      <w:r w:rsidR="003D38E5">
        <w:rPr>
          <w:rFonts w:ascii="Times New Roman" w:hAnsi="Times New Roman" w:cs="Times New Roman"/>
        </w:rPr>
        <w:t xml:space="preserve"> </w:t>
      </w:r>
      <w:r w:rsidR="003D38E5">
        <w:rPr>
          <w:rFonts w:ascii="Times New Roman" w:hAnsi="Times New Roman" w:cs="Times New Roman"/>
          <w:szCs w:val="24"/>
        </w:rPr>
        <w:t xml:space="preserve">(Castleden, 1990, </w:t>
      </w:r>
      <w:r w:rsidR="003D38E5">
        <w:rPr>
          <w:rFonts w:ascii="Times New Roman" w:hAnsi="Times New Roman" w:cs="Times New Roman"/>
          <w:szCs w:val="24"/>
        </w:rPr>
        <w:t>92</w:t>
      </w:r>
      <w:r w:rsidR="003D38E5">
        <w:rPr>
          <w:rFonts w:ascii="Times New Roman" w:hAnsi="Times New Roman" w:cs="Times New Roman"/>
          <w:szCs w:val="24"/>
        </w:rPr>
        <w:t>)</w:t>
      </w:r>
      <w:r w:rsidR="00D94D45">
        <w:rPr>
          <w:rFonts w:ascii="Times New Roman" w:hAnsi="Times New Roman" w:cs="Times New Roman"/>
        </w:rPr>
        <w:t>.</w:t>
      </w:r>
      <w:r w:rsidR="00CC1A03">
        <w:rPr>
          <w:rFonts w:ascii="Times New Roman" w:hAnsi="Times New Roman" w:cs="Times New Roman"/>
        </w:rPr>
        <w:t xml:space="preserve"> The pin could have been used to hold either clothing or hair in place. The necklace depicting</w:t>
      </w:r>
      <w:r w:rsidR="00D94D45">
        <w:rPr>
          <w:rFonts w:ascii="Times New Roman" w:hAnsi="Times New Roman" w:cs="Times New Roman"/>
        </w:rPr>
        <w:t xml:space="preserve"> the two bees would have similarly adorned the neck of one of the priestesses of the temple, but there is some minor debate as to what the necklace actually depicts.</w:t>
      </w:r>
      <w:r w:rsidR="00F22BC6">
        <w:rPr>
          <w:rFonts w:ascii="Times New Roman" w:hAnsi="Times New Roman" w:cs="Times New Roman"/>
        </w:rPr>
        <w:t xml:space="preserve"> R. W. Hutchinson describes the necklace as “glorious”</w:t>
      </w:r>
      <w:r w:rsidR="00106A6E">
        <w:rPr>
          <w:rFonts w:ascii="Times New Roman" w:hAnsi="Times New Roman" w:cs="Times New Roman"/>
        </w:rPr>
        <w:t xml:space="preserve"> </w:t>
      </w:r>
      <w:r w:rsidR="00106A6E">
        <w:rPr>
          <w:rFonts w:ascii="Times New Roman" w:hAnsi="Times New Roman" w:cs="Times New Roman"/>
          <w:sz w:val="24"/>
        </w:rPr>
        <w:t>(Hutchinson, 1962, 18</w:t>
      </w:r>
      <w:r w:rsidR="00106A6E">
        <w:rPr>
          <w:rFonts w:ascii="Times New Roman" w:hAnsi="Times New Roman" w:cs="Times New Roman"/>
          <w:sz w:val="24"/>
        </w:rPr>
        <w:t>8</w:t>
      </w:r>
      <w:r w:rsidR="00106A6E">
        <w:rPr>
          <w:rFonts w:ascii="Times New Roman" w:hAnsi="Times New Roman" w:cs="Times New Roman"/>
          <w:sz w:val="24"/>
        </w:rPr>
        <w:t>)</w:t>
      </w:r>
      <w:r w:rsidR="00F22BC6">
        <w:rPr>
          <w:rFonts w:ascii="Times New Roman" w:hAnsi="Times New Roman" w:cs="Times New Roman"/>
        </w:rPr>
        <w:t xml:space="preserve"> and says that they appear to be sampling a berry. Hutchinson also questions whether or not the bees were actually meant to be wasps</w:t>
      </w:r>
      <w:r w:rsidR="00DE529E">
        <w:rPr>
          <w:rFonts w:ascii="Times New Roman" w:hAnsi="Times New Roman" w:cs="Times New Roman"/>
        </w:rPr>
        <w:t>, an idea which is supported by Castleden</w:t>
      </w:r>
      <w:r w:rsidR="00B446E4">
        <w:rPr>
          <w:rFonts w:ascii="Times New Roman" w:hAnsi="Times New Roman" w:cs="Times New Roman"/>
        </w:rPr>
        <w:t xml:space="preserve"> at one point in his book about Minoans</w:t>
      </w:r>
      <w:r w:rsidR="003D38E5">
        <w:rPr>
          <w:rFonts w:ascii="Times New Roman" w:hAnsi="Times New Roman" w:cs="Times New Roman"/>
        </w:rPr>
        <w:t xml:space="preserve"> </w:t>
      </w:r>
      <w:r w:rsidR="003D38E5">
        <w:rPr>
          <w:rFonts w:ascii="Times New Roman" w:hAnsi="Times New Roman" w:cs="Times New Roman"/>
          <w:szCs w:val="24"/>
        </w:rPr>
        <w:t xml:space="preserve">(Castleden, 1990, </w:t>
      </w:r>
      <w:r w:rsidR="003D38E5">
        <w:rPr>
          <w:rFonts w:ascii="Times New Roman" w:hAnsi="Times New Roman" w:cs="Times New Roman"/>
          <w:szCs w:val="24"/>
        </w:rPr>
        <w:t>92</w:t>
      </w:r>
      <w:r w:rsidR="003D38E5">
        <w:rPr>
          <w:rFonts w:ascii="Times New Roman" w:hAnsi="Times New Roman" w:cs="Times New Roman"/>
          <w:szCs w:val="24"/>
        </w:rPr>
        <w:t>)</w:t>
      </w:r>
      <w:r w:rsidR="00B446E4">
        <w:rPr>
          <w:rFonts w:ascii="Times New Roman" w:hAnsi="Times New Roman" w:cs="Times New Roman"/>
        </w:rPr>
        <w:t>. Castleden however conflicts himself earlier on when he describes the necklace as being two bees kissing</w:t>
      </w:r>
      <w:r w:rsidR="003D38E5">
        <w:rPr>
          <w:rFonts w:ascii="Times New Roman" w:hAnsi="Times New Roman" w:cs="Times New Roman"/>
        </w:rPr>
        <w:t xml:space="preserve"> </w:t>
      </w:r>
      <w:r w:rsidR="003D38E5">
        <w:rPr>
          <w:rFonts w:ascii="Times New Roman" w:hAnsi="Times New Roman" w:cs="Times New Roman"/>
          <w:szCs w:val="24"/>
        </w:rPr>
        <w:t xml:space="preserve">(Castleden, 1990, </w:t>
      </w:r>
      <w:r w:rsidR="003D38E5">
        <w:rPr>
          <w:rFonts w:ascii="Times New Roman" w:hAnsi="Times New Roman" w:cs="Times New Roman"/>
          <w:szCs w:val="24"/>
        </w:rPr>
        <w:t>51</w:t>
      </w:r>
      <w:r w:rsidR="003D38E5">
        <w:rPr>
          <w:rFonts w:ascii="Times New Roman" w:hAnsi="Times New Roman" w:cs="Times New Roman"/>
          <w:szCs w:val="24"/>
        </w:rPr>
        <w:t>)</w:t>
      </w:r>
      <w:r w:rsidR="00B446E4">
        <w:rPr>
          <w:rFonts w:ascii="Times New Roman" w:hAnsi="Times New Roman" w:cs="Times New Roman"/>
        </w:rPr>
        <w:t>.</w:t>
      </w:r>
      <w:r w:rsidR="00DE529E">
        <w:rPr>
          <w:rFonts w:ascii="Times New Roman" w:hAnsi="Times New Roman" w:cs="Times New Roman"/>
        </w:rPr>
        <w:t xml:space="preserve"> Pendlebury supports the idea that they are depictions of two hornets simply holding an ornamental disc</w:t>
      </w:r>
      <w:r w:rsidR="00553B40">
        <w:rPr>
          <w:rFonts w:ascii="Times New Roman" w:hAnsi="Times New Roman" w:cs="Times New Roman"/>
        </w:rPr>
        <w:t xml:space="preserve"> </w:t>
      </w:r>
      <w:r w:rsidR="00553B40">
        <w:rPr>
          <w:rFonts w:ascii="Times New Roman" w:hAnsi="Times New Roman" w:cs="Times New Roman"/>
          <w:szCs w:val="24"/>
        </w:rPr>
        <w:t>(Pendlebury, 1979, 120)</w:t>
      </w:r>
      <w:r w:rsidR="00DE529E">
        <w:rPr>
          <w:rFonts w:ascii="Times New Roman" w:hAnsi="Times New Roman" w:cs="Times New Roman"/>
        </w:rPr>
        <w:t>.</w:t>
      </w:r>
      <w:r w:rsidR="00B446E4">
        <w:rPr>
          <w:rFonts w:ascii="Times New Roman" w:hAnsi="Times New Roman" w:cs="Times New Roman"/>
        </w:rPr>
        <w:t xml:space="preserve"> It would seem that no one can quite decide what the necklace is depicting, but the general consensus seems to be that it is some form of either a bee, wasp, or hornet.</w:t>
      </w:r>
      <w:r w:rsidR="009767EB">
        <w:rPr>
          <w:rFonts w:ascii="Times New Roman" w:hAnsi="Times New Roman" w:cs="Times New Roman"/>
        </w:rPr>
        <w:t xml:space="preserve"> Regardless</w:t>
      </w:r>
      <w:r w:rsidR="00B446E4">
        <w:rPr>
          <w:rFonts w:ascii="Times New Roman" w:hAnsi="Times New Roman" w:cs="Times New Roman"/>
        </w:rPr>
        <w:t>, whatever it was meant to depict was most likely in reference to the goddess Eleuthia</w:t>
      </w:r>
      <w:r w:rsidR="003D38E5">
        <w:rPr>
          <w:rFonts w:ascii="Times New Roman" w:hAnsi="Times New Roman" w:cs="Times New Roman"/>
        </w:rPr>
        <w:t xml:space="preserve"> </w:t>
      </w:r>
      <w:r w:rsidR="003D38E5">
        <w:rPr>
          <w:rFonts w:ascii="Times New Roman" w:hAnsi="Times New Roman" w:cs="Times New Roman"/>
          <w:szCs w:val="24"/>
        </w:rPr>
        <w:t xml:space="preserve">(Castleden, 1990, </w:t>
      </w:r>
      <w:r w:rsidR="003D38E5">
        <w:rPr>
          <w:rFonts w:ascii="Times New Roman" w:hAnsi="Times New Roman" w:cs="Times New Roman"/>
          <w:szCs w:val="24"/>
        </w:rPr>
        <w:t>51</w:t>
      </w:r>
      <w:r w:rsidR="003D38E5">
        <w:rPr>
          <w:rFonts w:ascii="Times New Roman" w:hAnsi="Times New Roman" w:cs="Times New Roman"/>
          <w:szCs w:val="24"/>
        </w:rPr>
        <w:t>)</w:t>
      </w:r>
      <w:r w:rsidR="00B446E4">
        <w:rPr>
          <w:rFonts w:ascii="Times New Roman" w:hAnsi="Times New Roman" w:cs="Times New Roman"/>
        </w:rPr>
        <w:t xml:space="preserve">. A powerful female goddess </w:t>
      </w:r>
      <w:r w:rsidR="00C6062D">
        <w:rPr>
          <w:rFonts w:ascii="Times New Roman" w:hAnsi="Times New Roman" w:cs="Times New Roman"/>
        </w:rPr>
        <w:t xml:space="preserve">of childbirth and fertility </w:t>
      </w:r>
      <w:r w:rsidR="00B446E4">
        <w:rPr>
          <w:rFonts w:ascii="Times New Roman" w:hAnsi="Times New Roman" w:cs="Times New Roman"/>
        </w:rPr>
        <w:t>who was served by respected female priestesses.</w:t>
      </w:r>
      <w:r w:rsidR="00157104">
        <w:rPr>
          <w:rFonts w:ascii="Times New Roman" w:hAnsi="Times New Roman" w:cs="Times New Roman"/>
        </w:rPr>
        <w:t xml:space="preserve"> The female figurine cupping her breasts described previously is also believed to belong to the fertility goddess(es) of the Minoan pantheon</w:t>
      </w:r>
      <w:r w:rsidR="00106A6E">
        <w:rPr>
          <w:rFonts w:ascii="Times New Roman" w:hAnsi="Times New Roman" w:cs="Times New Roman"/>
        </w:rPr>
        <w:t xml:space="preserve"> </w:t>
      </w:r>
      <w:r w:rsidR="00106A6E">
        <w:rPr>
          <w:rFonts w:ascii="Times New Roman" w:hAnsi="Times New Roman" w:cs="Times New Roman"/>
          <w:sz w:val="24"/>
        </w:rPr>
        <w:t>(Gesell, 1983, 2/Krzyszkowska, 1983, 94)</w:t>
      </w:r>
      <w:r w:rsidR="00157104">
        <w:rPr>
          <w:rFonts w:ascii="Times New Roman" w:hAnsi="Times New Roman" w:cs="Times New Roman"/>
        </w:rPr>
        <w:t>. The breasts of the figurine have been pierced so that when it is filled with a liquid and tipped forward the liquid pours from the breasts, most likely in reference to</w:t>
      </w:r>
      <w:r w:rsidR="00C1443B">
        <w:rPr>
          <w:rFonts w:ascii="Times New Roman" w:hAnsi="Times New Roman" w:cs="Times New Roman"/>
        </w:rPr>
        <w:t xml:space="preserve"> </w:t>
      </w:r>
      <w:r w:rsidR="00157104">
        <w:rPr>
          <w:rFonts w:ascii="Times New Roman" w:hAnsi="Times New Roman" w:cs="Times New Roman"/>
        </w:rPr>
        <w:t>lactation.</w:t>
      </w:r>
      <w:r w:rsidR="00C1443B">
        <w:rPr>
          <w:rFonts w:ascii="Times New Roman" w:hAnsi="Times New Roman" w:cs="Times New Roman"/>
        </w:rPr>
        <w:t xml:space="preserve"> “The emphasis on the breasts and the bell-shape”</w:t>
      </w:r>
      <w:r w:rsidR="00106A6E">
        <w:rPr>
          <w:rFonts w:ascii="Times New Roman" w:hAnsi="Times New Roman" w:cs="Times New Roman"/>
        </w:rPr>
        <w:t xml:space="preserve"> </w:t>
      </w:r>
      <w:r w:rsidR="00106A6E">
        <w:rPr>
          <w:rFonts w:ascii="Times New Roman" w:hAnsi="Times New Roman" w:cs="Times New Roman"/>
          <w:sz w:val="24"/>
        </w:rPr>
        <w:t>(Gesell, 1983, 2/Krzyszkowska, 1983, 94)</w:t>
      </w:r>
      <w:r w:rsidR="00106A6E" w:rsidRPr="00874D8B">
        <w:rPr>
          <w:rFonts w:ascii="Times New Roman" w:hAnsi="Times New Roman" w:cs="Times New Roman"/>
          <w:sz w:val="24"/>
        </w:rPr>
        <w:t xml:space="preserve"> </w:t>
      </w:r>
      <w:r w:rsidR="00C1443B">
        <w:rPr>
          <w:rFonts w:ascii="Times New Roman" w:hAnsi="Times New Roman" w:cs="Times New Roman"/>
        </w:rPr>
        <w:t>of the figurine also lend themselves to the imagery of fertility. Figurines such as this have been found throughout Crete in various shapes and positions</w:t>
      </w:r>
      <w:r w:rsidR="00553B40">
        <w:rPr>
          <w:rFonts w:ascii="Times New Roman" w:hAnsi="Times New Roman" w:cs="Times New Roman"/>
        </w:rPr>
        <w:t xml:space="preserve"> </w:t>
      </w:r>
      <w:r w:rsidR="00553B40">
        <w:rPr>
          <w:rFonts w:ascii="Times New Roman" w:hAnsi="Times New Roman" w:cs="Times New Roman"/>
          <w:szCs w:val="24"/>
        </w:rPr>
        <w:t>(</w:t>
      </w:r>
      <w:r w:rsidR="00553B40">
        <w:rPr>
          <w:rFonts w:ascii="Times New Roman" w:hAnsi="Times New Roman" w:cs="Times New Roman"/>
          <w:szCs w:val="24"/>
        </w:rPr>
        <w:t>Hitchcock</w:t>
      </w:r>
      <w:r w:rsidR="00553B40">
        <w:rPr>
          <w:rFonts w:ascii="Times New Roman" w:hAnsi="Times New Roman" w:cs="Times New Roman"/>
          <w:szCs w:val="24"/>
        </w:rPr>
        <w:t>, 19</w:t>
      </w:r>
      <w:r w:rsidR="00C1720F">
        <w:rPr>
          <w:rFonts w:ascii="Times New Roman" w:hAnsi="Times New Roman" w:cs="Times New Roman"/>
          <w:szCs w:val="24"/>
        </w:rPr>
        <w:t>97</w:t>
      </w:r>
      <w:r w:rsidR="00553B40">
        <w:rPr>
          <w:rFonts w:ascii="Times New Roman" w:hAnsi="Times New Roman" w:cs="Times New Roman"/>
          <w:szCs w:val="24"/>
        </w:rPr>
        <w:t>, 1</w:t>
      </w:r>
      <w:r w:rsidR="00553B40">
        <w:rPr>
          <w:rFonts w:ascii="Times New Roman" w:hAnsi="Times New Roman" w:cs="Times New Roman"/>
          <w:szCs w:val="24"/>
        </w:rPr>
        <w:t>16</w:t>
      </w:r>
      <w:r w:rsidR="00553B40">
        <w:rPr>
          <w:rFonts w:ascii="Times New Roman" w:hAnsi="Times New Roman" w:cs="Times New Roman"/>
          <w:szCs w:val="24"/>
        </w:rPr>
        <w:t>)</w:t>
      </w:r>
      <w:r w:rsidR="00C1443B">
        <w:rPr>
          <w:rFonts w:ascii="Times New Roman" w:hAnsi="Times New Roman" w:cs="Times New Roman"/>
        </w:rPr>
        <w:t>.</w:t>
      </w:r>
      <w:r w:rsidR="00A27C98">
        <w:rPr>
          <w:rFonts w:ascii="Times New Roman" w:hAnsi="Times New Roman" w:cs="Times New Roman"/>
        </w:rPr>
        <w:t xml:space="preserve"> Hitchcock suggests that females were depicted making certain gestures in order to reflect “their own ideological sphere”</w:t>
      </w:r>
      <w:r w:rsidR="00C1720F">
        <w:rPr>
          <w:rFonts w:ascii="Times New Roman" w:hAnsi="Times New Roman" w:cs="Times New Roman"/>
        </w:rPr>
        <w:t xml:space="preserve"> </w:t>
      </w:r>
      <w:r w:rsidR="00C1720F">
        <w:rPr>
          <w:rFonts w:ascii="Times New Roman" w:hAnsi="Times New Roman" w:cs="Times New Roman"/>
          <w:szCs w:val="24"/>
        </w:rPr>
        <w:t>(Hitchcock, 1997, 116)</w:t>
      </w:r>
      <w:r w:rsidR="00A27C98">
        <w:rPr>
          <w:rFonts w:ascii="Times New Roman" w:hAnsi="Times New Roman" w:cs="Times New Roman"/>
        </w:rPr>
        <w:t>,</w:t>
      </w:r>
      <w:r w:rsidR="00E00C24">
        <w:rPr>
          <w:rFonts w:ascii="Times New Roman" w:hAnsi="Times New Roman" w:cs="Times New Roman"/>
        </w:rPr>
        <w:t xml:space="preserve"> in other words, the figurines that we find throughout the Minoan area of influence that depict women all say something about the values of the Minoan woman of the Middle and Late Minoan phase.</w:t>
      </w:r>
    </w:p>
    <w:p w:rsidR="00C1443B" w:rsidRDefault="00E00C24" w:rsidP="00C129E3">
      <w:pPr>
        <w:spacing w:line="360" w:lineRule="auto"/>
        <w:rPr>
          <w:rFonts w:ascii="Times New Roman" w:hAnsi="Times New Roman" w:cs="Times New Roman"/>
          <w:sz w:val="24"/>
        </w:rPr>
      </w:pPr>
      <w:r>
        <w:rPr>
          <w:rFonts w:ascii="Times New Roman" w:hAnsi="Times New Roman" w:cs="Times New Roman"/>
        </w:rPr>
        <w:tab/>
        <w:t xml:space="preserve">The palace at Malia </w:t>
      </w:r>
      <w:r w:rsidR="005A44C2">
        <w:rPr>
          <w:rFonts w:ascii="Times New Roman" w:hAnsi="Times New Roman" w:cs="Times New Roman"/>
        </w:rPr>
        <w:t xml:space="preserve">was the third largest palace in Crete during the </w:t>
      </w:r>
      <w:r w:rsidR="005A44C2" w:rsidRPr="00C129E3">
        <w:rPr>
          <w:rFonts w:ascii="Times New Roman" w:hAnsi="Times New Roman" w:cs="Times New Roman"/>
          <w:sz w:val="24"/>
        </w:rPr>
        <w:t>Middle Minoan phase and the Late Minoan phase during the neopalatial period.</w:t>
      </w:r>
      <w:r w:rsidR="005A44C2">
        <w:rPr>
          <w:rFonts w:ascii="Times New Roman" w:hAnsi="Times New Roman" w:cs="Times New Roman"/>
          <w:sz w:val="24"/>
        </w:rPr>
        <w:t xml:space="preserve"> It carries obvious religious significance to the surrounding community, but unlike the usual trend in the rest of the world, the religious roles did not fall to men alone, but to woman as well. Both genders had roles to play at Malia; sometimes separate roles, but sometimes overlapping roles. I have hypothesized that men were the ones most likely to have wielded the large ceremonial weapons that were found in the temple and palace due to the otherwise male dominated depictions </w:t>
      </w:r>
      <w:r w:rsidR="00F04B11">
        <w:rPr>
          <w:rFonts w:ascii="Times New Roman" w:hAnsi="Times New Roman" w:cs="Times New Roman"/>
          <w:sz w:val="24"/>
        </w:rPr>
        <w:t xml:space="preserve">found throughout Crete </w:t>
      </w:r>
      <w:r w:rsidR="005A44C2">
        <w:rPr>
          <w:rFonts w:ascii="Times New Roman" w:hAnsi="Times New Roman" w:cs="Times New Roman"/>
          <w:sz w:val="24"/>
        </w:rPr>
        <w:t xml:space="preserve">in regard to </w:t>
      </w:r>
      <w:r w:rsidR="005A44C2">
        <w:rPr>
          <w:rFonts w:ascii="Times New Roman" w:hAnsi="Times New Roman" w:cs="Times New Roman"/>
          <w:sz w:val="24"/>
        </w:rPr>
        <w:lastRenderedPageBreak/>
        <w:t>weapons.</w:t>
      </w:r>
      <w:r w:rsidR="00F04B11">
        <w:rPr>
          <w:rFonts w:ascii="Times New Roman" w:hAnsi="Times New Roman" w:cs="Times New Roman"/>
          <w:sz w:val="24"/>
        </w:rPr>
        <w:t xml:space="preserve"> Woman may have used smaller daggers in the ceremonies that they conducted, but the large battle axe and great swords would be unlikely. Women’s roles became apparent as being highly significant as the more well</w:t>
      </w:r>
      <w:r w:rsidR="00D65737">
        <w:rPr>
          <w:rFonts w:ascii="Times New Roman" w:hAnsi="Times New Roman" w:cs="Times New Roman"/>
          <w:sz w:val="24"/>
        </w:rPr>
        <w:t>-</w:t>
      </w:r>
      <w:r w:rsidR="00F04B11">
        <w:rPr>
          <w:rFonts w:ascii="Times New Roman" w:hAnsi="Times New Roman" w:cs="Times New Roman"/>
          <w:sz w:val="24"/>
        </w:rPr>
        <w:t xml:space="preserve">respected goddesses of the Minoan pantheon required priestesses to carry out their ceremonies and rituals. </w:t>
      </w:r>
      <w:r w:rsidR="00D65737">
        <w:rPr>
          <w:rFonts w:ascii="Times New Roman" w:hAnsi="Times New Roman" w:cs="Times New Roman"/>
          <w:sz w:val="24"/>
        </w:rPr>
        <w:t xml:space="preserve">Multiple items of high value and craftmanship have been found throughout Malia including gold pins and jewelry that I have hypothesized to have adorned the priestesses as they performed their duties. Many female figurines have also been found throughout Crete that give us a glimpse into the positions that women of the time likely found to represent authority and power to them. Many of these positions are often interpreted as depicting fertility, such as the lactating female figurine mentioned previously. Bull-leaping is often attributed to only men in the modern world where it is still practiced, but I believe that in the ancient Minoan world it was practiced and celebrated by both genders. I also believe that bull-leaping would have been performed most likely by younger men and women who would have been more spry than their older relatives. Gender obviously plays a </w:t>
      </w:r>
      <w:r w:rsidR="009D15EF">
        <w:rPr>
          <w:rFonts w:ascii="Times New Roman" w:hAnsi="Times New Roman" w:cs="Times New Roman"/>
          <w:sz w:val="24"/>
        </w:rPr>
        <w:t>significant role in the religious practices at the Malian palace and in its temples in not only the pantheon of gods and goddesses, but in those who practice the rituals and perform the ceremonies as well.</w:t>
      </w:r>
    </w:p>
    <w:p w:rsidR="004B7432" w:rsidRDefault="004B7432" w:rsidP="00C129E3">
      <w:pPr>
        <w:spacing w:line="360" w:lineRule="auto"/>
        <w:rPr>
          <w:rFonts w:ascii="Times New Roman" w:hAnsi="Times New Roman" w:cs="Times New Roman"/>
        </w:rPr>
      </w:pPr>
    </w:p>
    <w:p w:rsidR="004B7432" w:rsidRDefault="004B7432" w:rsidP="00C129E3">
      <w:pPr>
        <w:spacing w:line="360" w:lineRule="auto"/>
        <w:rPr>
          <w:rFonts w:ascii="Times New Roman" w:hAnsi="Times New Roman" w:cs="Times New Roman"/>
        </w:rPr>
      </w:pPr>
    </w:p>
    <w:p w:rsidR="004B7432" w:rsidRDefault="004B7432" w:rsidP="00C129E3">
      <w:pPr>
        <w:spacing w:line="360" w:lineRule="auto"/>
        <w:rPr>
          <w:rFonts w:ascii="Times New Roman" w:hAnsi="Times New Roman" w:cs="Times New Roman"/>
        </w:rPr>
      </w:pPr>
    </w:p>
    <w:p w:rsidR="004B7432" w:rsidRDefault="004B7432" w:rsidP="00C129E3">
      <w:pPr>
        <w:spacing w:line="360" w:lineRule="auto"/>
        <w:rPr>
          <w:rFonts w:ascii="Times New Roman" w:hAnsi="Times New Roman" w:cs="Times New Roman"/>
        </w:rPr>
      </w:pPr>
    </w:p>
    <w:p w:rsidR="004B7432" w:rsidRDefault="004B7432" w:rsidP="00C129E3">
      <w:pPr>
        <w:spacing w:line="360" w:lineRule="auto"/>
        <w:rPr>
          <w:rFonts w:ascii="Times New Roman" w:hAnsi="Times New Roman" w:cs="Times New Roman"/>
        </w:rPr>
      </w:pPr>
    </w:p>
    <w:p w:rsidR="004B7432" w:rsidRDefault="004B7432" w:rsidP="00C129E3">
      <w:pPr>
        <w:spacing w:line="360" w:lineRule="auto"/>
        <w:rPr>
          <w:rFonts w:ascii="Times New Roman" w:hAnsi="Times New Roman" w:cs="Times New Roman"/>
        </w:rPr>
      </w:pPr>
    </w:p>
    <w:p w:rsidR="004B7432" w:rsidRDefault="004B7432" w:rsidP="00C129E3">
      <w:pPr>
        <w:spacing w:line="360" w:lineRule="auto"/>
        <w:rPr>
          <w:rFonts w:ascii="Times New Roman" w:hAnsi="Times New Roman" w:cs="Times New Roman"/>
        </w:rPr>
      </w:pPr>
    </w:p>
    <w:p w:rsidR="004B7432" w:rsidRDefault="004B7432" w:rsidP="00C129E3">
      <w:pPr>
        <w:spacing w:line="360" w:lineRule="auto"/>
        <w:rPr>
          <w:rFonts w:ascii="Times New Roman" w:hAnsi="Times New Roman" w:cs="Times New Roman"/>
        </w:rPr>
      </w:pPr>
    </w:p>
    <w:p w:rsidR="004B7432" w:rsidRDefault="004B7432" w:rsidP="00C129E3">
      <w:pPr>
        <w:spacing w:line="360" w:lineRule="auto"/>
        <w:rPr>
          <w:rFonts w:ascii="Times New Roman" w:hAnsi="Times New Roman" w:cs="Times New Roman"/>
        </w:rPr>
      </w:pPr>
    </w:p>
    <w:p w:rsidR="004B7432" w:rsidRDefault="004B7432" w:rsidP="00C129E3">
      <w:pPr>
        <w:spacing w:line="360" w:lineRule="auto"/>
        <w:rPr>
          <w:rFonts w:ascii="Times New Roman" w:hAnsi="Times New Roman" w:cs="Times New Roman"/>
        </w:rPr>
      </w:pPr>
    </w:p>
    <w:p w:rsidR="004B7432" w:rsidRDefault="004B7432" w:rsidP="00C129E3">
      <w:pPr>
        <w:spacing w:line="360" w:lineRule="auto"/>
        <w:rPr>
          <w:rFonts w:ascii="Times New Roman" w:hAnsi="Times New Roman" w:cs="Times New Roman"/>
        </w:rPr>
      </w:pPr>
    </w:p>
    <w:p w:rsidR="004B7432" w:rsidRPr="00EF6C6C" w:rsidRDefault="004B7432" w:rsidP="004B7432">
      <w:pPr>
        <w:jc w:val="center"/>
        <w:rPr>
          <w:sz w:val="24"/>
          <w:u w:val="single"/>
        </w:rPr>
      </w:pPr>
      <w:r w:rsidRPr="00EF6C6C">
        <w:rPr>
          <w:sz w:val="24"/>
          <w:u w:val="single"/>
        </w:rPr>
        <w:lastRenderedPageBreak/>
        <w:t>References</w:t>
      </w:r>
    </w:p>
    <w:p w:rsidR="004B7432" w:rsidRDefault="004B7432" w:rsidP="004B7432">
      <w:pPr>
        <w:rPr>
          <w:sz w:val="24"/>
        </w:rPr>
      </w:pPr>
    </w:p>
    <w:p w:rsidR="00E26E65" w:rsidRDefault="00E26E65" w:rsidP="00E26E65">
      <w:pPr>
        <w:spacing w:line="360" w:lineRule="auto"/>
      </w:pPr>
      <w:r>
        <w:t>Adams, E 2004, 'Power Relations in Minoan Palatial Towns: An Analysis of Neopalatial Knossos and</w:t>
      </w:r>
    </w:p>
    <w:p w:rsidR="00E26E65" w:rsidRDefault="00E26E65" w:rsidP="00E26E65">
      <w:pPr>
        <w:spacing w:line="360" w:lineRule="auto"/>
        <w:ind w:left="720"/>
      </w:pPr>
      <w:r>
        <w:t xml:space="preserve">Malia', </w:t>
      </w:r>
      <w:r>
        <w:rPr>
          <w:i/>
          <w:iCs/>
        </w:rPr>
        <w:t>Journal Of Mediterranean Archaeology</w:t>
      </w:r>
      <w:r>
        <w:t xml:space="preserve">, 17, </w:t>
      </w:r>
      <w:bookmarkStart w:id="0" w:name="_GoBack"/>
      <w:bookmarkEnd w:id="0"/>
      <w:r>
        <w:t>2, pp. 191-222, Religion and Philosophy Collection, EBSCO</w:t>
      </w:r>
      <w:r>
        <w:rPr>
          <w:i/>
          <w:iCs/>
        </w:rPr>
        <w:t>host</w:t>
      </w:r>
      <w:r>
        <w:t>, viewed 14 December 2017.</w:t>
      </w:r>
    </w:p>
    <w:p w:rsidR="000358A8" w:rsidRDefault="00247D39" w:rsidP="000358A8">
      <w:pPr>
        <w:spacing w:line="360" w:lineRule="auto"/>
      </w:pPr>
      <w:r>
        <w:t>ADAMS, E 2007, '</w:t>
      </w:r>
      <w:r w:rsidR="000358A8">
        <w:t>Approaching Monuments in the Prehistoric Built Environment: New Light on the</w:t>
      </w:r>
    </w:p>
    <w:p w:rsidR="00247D39" w:rsidRDefault="000358A8" w:rsidP="000358A8">
      <w:pPr>
        <w:spacing w:line="360" w:lineRule="auto"/>
        <w:ind w:left="720"/>
        <w:rPr>
          <w:rStyle w:val="selectable"/>
        </w:rPr>
      </w:pPr>
      <w:r>
        <w:t>Minoan Palaces’</w:t>
      </w:r>
      <w:r w:rsidR="00247D39">
        <w:t xml:space="preserve">, </w:t>
      </w:r>
      <w:r w:rsidR="00247D39">
        <w:rPr>
          <w:i/>
          <w:iCs/>
        </w:rPr>
        <w:t>Oxford Journal Of Archaeology</w:t>
      </w:r>
      <w:r w:rsidR="00247D39">
        <w:t>, 26, 4, pp. 359-394, Academic Search</w:t>
      </w:r>
      <w:r w:rsidR="00B04F4D">
        <w:br/>
      </w:r>
      <w:r w:rsidR="00247D39">
        <w:t>Premier, EBSCO</w:t>
      </w:r>
      <w:r w:rsidR="00247D39">
        <w:rPr>
          <w:i/>
          <w:iCs/>
        </w:rPr>
        <w:t>host</w:t>
      </w:r>
      <w:r w:rsidR="00247D39">
        <w:t>, viewed 14 December 2017.</w:t>
      </w:r>
    </w:p>
    <w:p w:rsidR="00247D39" w:rsidRDefault="00247D39" w:rsidP="004B7432">
      <w:pPr>
        <w:spacing w:line="360" w:lineRule="auto"/>
        <w:rPr>
          <w:rStyle w:val="selectable"/>
        </w:rPr>
      </w:pPr>
      <w:r>
        <w:rPr>
          <w:rStyle w:val="selectable"/>
        </w:rPr>
        <w:t xml:space="preserve">Castleden, R. (1990). </w:t>
      </w:r>
      <w:r>
        <w:rPr>
          <w:rStyle w:val="selectable"/>
          <w:i/>
          <w:iCs/>
        </w:rPr>
        <w:t>Minoans: Life in Bronze Age Crete</w:t>
      </w:r>
      <w:r>
        <w:rPr>
          <w:rStyle w:val="selectable"/>
        </w:rPr>
        <w:t>. London: Routledge.</w:t>
      </w:r>
    </w:p>
    <w:p w:rsidR="000358A8" w:rsidRDefault="00214FAB" w:rsidP="004B7432">
      <w:pPr>
        <w:spacing w:line="360" w:lineRule="auto"/>
        <w:rPr>
          <w:rStyle w:val="selectable"/>
        </w:rPr>
      </w:pPr>
      <w:r>
        <w:rPr>
          <w:rStyle w:val="selectable"/>
        </w:rPr>
        <w:t>Hitchcock, L. A. (1997). ‘Engendering Domination: A Structural and Contextual Analysis of Minoan</w:t>
      </w:r>
    </w:p>
    <w:p w:rsidR="00214FAB" w:rsidRDefault="00214FAB" w:rsidP="000358A8">
      <w:pPr>
        <w:spacing w:line="360" w:lineRule="auto"/>
        <w:ind w:firstLine="720"/>
        <w:rPr>
          <w:rStyle w:val="selectable"/>
        </w:rPr>
      </w:pPr>
      <w:r>
        <w:rPr>
          <w:rStyle w:val="selectable"/>
        </w:rPr>
        <w:t>Neopalatial Bronze Figurines’ pp. 113-130.</w:t>
      </w:r>
    </w:p>
    <w:p w:rsidR="004B7432" w:rsidRDefault="004B7432" w:rsidP="004B7432">
      <w:pPr>
        <w:spacing w:line="360" w:lineRule="auto"/>
        <w:rPr>
          <w:rStyle w:val="selectable"/>
        </w:rPr>
      </w:pPr>
      <w:r>
        <w:rPr>
          <w:rStyle w:val="selectable"/>
        </w:rPr>
        <w:t xml:space="preserve">Hutchinson, R. (1962). </w:t>
      </w:r>
      <w:r>
        <w:rPr>
          <w:rStyle w:val="selectable"/>
          <w:i/>
          <w:iCs/>
        </w:rPr>
        <w:t>Prehistoric Crete</w:t>
      </w:r>
      <w:r>
        <w:rPr>
          <w:rStyle w:val="selectable"/>
        </w:rPr>
        <w:t>. Harmondsworth, Middlesex: Penguin Books.</w:t>
      </w:r>
    </w:p>
    <w:p w:rsidR="004B7432" w:rsidRDefault="004B7432" w:rsidP="004B7432">
      <w:pPr>
        <w:spacing w:line="360" w:lineRule="auto"/>
        <w:rPr>
          <w:rStyle w:val="selectable"/>
        </w:rPr>
      </w:pPr>
      <w:r>
        <w:rPr>
          <w:rStyle w:val="selectable"/>
        </w:rPr>
        <w:t xml:space="preserve">Krzyszkowska, O. and Nixon, L. (1990). </w:t>
      </w:r>
      <w:r>
        <w:rPr>
          <w:rStyle w:val="selectable"/>
          <w:i/>
          <w:iCs/>
        </w:rPr>
        <w:t>Minoan society: Proceedings of the Cambridge Colloquium 1981</w:t>
      </w:r>
      <w:r>
        <w:rPr>
          <w:rStyle w:val="selectable"/>
        </w:rPr>
        <w:t>.</w:t>
      </w:r>
    </w:p>
    <w:p w:rsidR="004B7432" w:rsidRDefault="004B7432" w:rsidP="004B7432">
      <w:pPr>
        <w:spacing w:line="360" w:lineRule="auto"/>
        <w:ind w:firstLine="720"/>
        <w:rPr>
          <w:rStyle w:val="selectable"/>
        </w:rPr>
      </w:pPr>
      <w:r>
        <w:rPr>
          <w:rStyle w:val="selectable"/>
        </w:rPr>
        <w:t>[Bristol]: Bristol classical Press.</w:t>
      </w:r>
    </w:p>
    <w:p w:rsidR="00E26E65" w:rsidRDefault="00E26E65" w:rsidP="004B7432">
      <w:pPr>
        <w:spacing w:line="360" w:lineRule="auto"/>
      </w:pPr>
      <w:r>
        <w:rPr>
          <w:rStyle w:val="selectable"/>
        </w:rPr>
        <w:t xml:space="preserve">Pendlebury, J. (1979). </w:t>
      </w:r>
      <w:r>
        <w:rPr>
          <w:rStyle w:val="selectable"/>
          <w:i/>
          <w:iCs/>
        </w:rPr>
        <w:t>Archaeology of crete</w:t>
      </w:r>
      <w:r>
        <w:rPr>
          <w:rStyle w:val="selectable"/>
        </w:rPr>
        <w:t>. Methuen &amp; Co. Ltd.</w:t>
      </w:r>
    </w:p>
    <w:p w:rsidR="004B7432" w:rsidRDefault="004B7432" w:rsidP="004B7432">
      <w:pPr>
        <w:spacing w:line="360" w:lineRule="auto"/>
      </w:pPr>
      <w:r>
        <w:t xml:space="preserve">MacGillivray, JA 2000, 'Labyrynths and Bull-Leapers', </w:t>
      </w:r>
      <w:r>
        <w:rPr>
          <w:i/>
          <w:iCs/>
        </w:rPr>
        <w:t>Archaeology</w:t>
      </w:r>
      <w:r>
        <w:t>, 53, 6, p. 53, Religion and Philosophy</w:t>
      </w:r>
      <w:r>
        <w:tab/>
      </w:r>
      <w:r>
        <w:t>Collection, EBSCO</w:t>
      </w:r>
      <w:r>
        <w:rPr>
          <w:i/>
          <w:iCs/>
        </w:rPr>
        <w:t>host</w:t>
      </w:r>
      <w:r>
        <w:t>, viewed 14 December 2017.</w:t>
      </w:r>
    </w:p>
    <w:p w:rsidR="004B7432" w:rsidRDefault="004B7432" w:rsidP="004B7432">
      <w:pPr>
        <w:spacing w:line="360" w:lineRule="auto"/>
      </w:pPr>
      <w:r>
        <w:t>Mc</w:t>
      </w:r>
      <w:r>
        <w:t>I</w:t>
      </w:r>
      <w:r>
        <w:t xml:space="preserve">nerney, J 2011, 'Bulls and Bull-leaping in the Minoan World', </w:t>
      </w:r>
      <w:r>
        <w:rPr>
          <w:i/>
          <w:iCs/>
        </w:rPr>
        <w:t>Expedition</w:t>
      </w:r>
      <w:r>
        <w:t>, 53, 3, pp. 6-13, Academic</w:t>
      </w:r>
    </w:p>
    <w:p w:rsidR="004B7432" w:rsidRDefault="004B7432" w:rsidP="004B7432">
      <w:pPr>
        <w:spacing w:line="360" w:lineRule="auto"/>
        <w:ind w:firstLine="720"/>
      </w:pPr>
      <w:r>
        <w:t>Search Premier, EBSCO</w:t>
      </w:r>
      <w:r>
        <w:rPr>
          <w:i/>
          <w:iCs/>
        </w:rPr>
        <w:t>host</w:t>
      </w:r>
      <w:r>
        <w:t>, viewed 14 December 2017.</w:t>
      </w:r>
    </w:p>
    <w:p w:rsidR="004B7432" w:rsidRDefault="004B7432" w:rsidP="004B7432">
      <w:pPr>
        <w:spacing w:line="360" w:lineRule="auto"/>
      </w:pPr>
    </w:p>
    <w:p w:rsidR="004B7432" w:rsidRPr="004B7432" w:rsidRDefault="004B7432" w:rsidP="004B7432">
      <w:pPr>
        <w:spacing w:line="360" w:lineRule="auto"/>
      </w:pPr>
    </w:p>
    <w:sectPr w:rsidR="004B7432" w:rsidRPr="004B7432" w:rsidSect="00874D8B">
      <w:headerReference w:type="default" r:id="rId7"/>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39A9" w:rsidRDefault="00D839A9" w:rsidP="006145C4">
      <w:pPr>
        <w:spacing w:after="0" w:line="240" w:lineRule="auto"/>
      </w:pPr>
      <w:r>
        <w:separator/>
      </w:r>
    </w:p>
  </w:endnote>
  <w:endnote w:type="continuationSeparator" w:id="0">
    <w:p w:rsidR="00D839A9" w:rsidRDefault="00D839A9" w:rsidP="006145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39A9" w:rsidRDefault="00D839A9" w:rsidP="006145C4">
      <w:pPr>
        <w:spacing w:after="0" w:line="240" w:lineRule="auto"/>
      </w:pPr>
      <w:r>
        <w:separator/>
      </w:r>
    </w:p>
  </w:footnote>
  <w:footnote w:type="continuationSeparator" w:id="0">
    <w:p w:rsidR="00D839A9" w:rsidRDefault="00D839A9" w:rsidP="006145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582C" w:rsidRDefault="00A1582C">
    <w:pPr>
      <w:pStyle w:val="Header"/>
      <w:jc w:val="right"/>
    </w:pPr>
    <w:r>
      <w:t xml:space="preserve">Religion and Gender in the Malian Palace     </w:t>
    </w:r>
    <w:sdt>
      <w:sdtPr>
        <w:id w:val="-418330493"/>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rsidR="00A1582C" w:rsidRDefault="00A1582C" w:rsidP="00A1582C">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AEA"/>
    <w:rsid w:val="000358A8"/>
    <w:rsid w:val="000E7B7A"/>
    <w:rsid w:val="000F53F8"/>
    <w:rsid w:val="00106A6E"/>
    <w:rsid w:val="00121F11"/>
    <w:rsid w:val="00157104"/>
    <w:rsid w:val="00166371"/>
    <w:rsid w:val="001B10CC"/>
    <w:rsid w:val="00214FAB"/>
    <w:rsid w:val="002353D4"/>
    <w:rsid w:val="00247D39"/>
    <w:rsid w:val="002947E3"/>
    <w:rsid w:val="003A38B1"/>
    <w:rsid w:val="003D38E5"/>
    <w:rsid w:val="00455ABF"/>
    <w:rsid w:val="004727FF"/>
    <w:rsid w:val="00472AF2"/>
    <w:rsid w:val="00495C8C"/>
    <w:rsid w:val="004B22A3"/>
    <w:rsid w:val="004B7432"/>
    <w:rsid w:val="005042B7"/>
    <w:rsid w:val="00553B40"/>
    <w:rsid w:val="005A44C2"/>
    <w:rsid w:val="005C0190"/>
    <w:rsid w:val="005C2054"/>
    <w:rsid w:val="005C38D0"/>
    <w:rsid w:val="005C5FB3"/>
    <w:rsid w:val="005F03A9"/>
    <w:rsid w:val="0060217E"/>
    <w:rsid w:val="006145C4"/>
    <w:rsid w:val="00642366"/>
    <w:rsid w:val="006E67E7"/>
    <w:rsid w:val="007B4AEA"/>
    <w:rsid w:val="00874D8B"/>
    <w:rsid w:val="00886FD5"/>
    <w:rsid w:val="009767EB"/>
    <w:rsid w:val="00986420"/>
    <w:rsid w:val="009A6248"/>
    <w:rsid w:val="009D15EF"/>
    <w:rsid w:val="00A1582C"/>
    <w:rsid w:val="00A20614"/>
    <w:rsid w:val="00A268B9"/>
    <w:rsid w:val="00A27C98"/>
    <w:rsid w:val="00AE30D5"/>
    <w:rsid w:val="00AE75F9"/>
    <w:rsid w:val="00B04F4D"/>
    <w:rsid w:val="00B446E4"/>
    <w:rsid w:val="00BC04CF"/>
    <w:rsid w:val="00BE21E7"/>
    <w:rsid w:val="00C129E3"/>
    <w:rsid w:val="00C1443B"/>
    <w:rsid w:val="00C1720F"/>
    <w:rsid w:val="00C6062D"/>
    <w:rsid w:val="00CC1A03"/>
    <w:rsid w:val="00CF66B6"/>
    <w:rsid w:val="00D0746F"/>
    <w:rsid w:val="00D65737"/>
    <w:rsid w:val="00D839A9"/>
    <w:rsid w:val="00D94D45"/>
    <w:rsid w:val="00DE1EED"/>
    <w:rsid w:val="00DE529E"/>
    <w:rsid w:val="00DF6B9E"/>
    <w:rsid w:val="00E00C24"/>
    <w:rsid w:val="00E26E65"/>
    <w:rsid w:val="00EC54E5"/>
    <w:rsid w:val="00EF6C6C"/>
    <w:rsid w:val="00F04B11"/>
    <w:rsid w:val="00F22BC6"/>
    <w:rsid w:val="00F4394C"/>
    <w:rsid w:val="00F92F3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0BA6F3"/>
  <w15:chartTrackingRefBased/>
  <w15:docId w15:val="{8D3146FF-7873-47E0-B408-92B45A516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145C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145C4"/>
    <w:rPr>
      <w:sz w:val="20"/>
      <w:szCs w:val="20"/>
    </w:rPr>
  </w:style>
  <w:style w:type="character" w:styleId="FootnoteReference">
    <w:name w:val="footnote reference"/>
    <w:basedOn w:val="DefaultParagraphFont"/>
    <w:uiPriority w:val="99"/>
    <w:semiHidden/>
    <w:unhideWhenUsed/>
    <w:rsid w:val="006145C4"/>
    <w:rPr>
      <w:vertAlign w:val="superscript"/>
    </w:rPr>
  </w:style>
  <w:style w:type="paragraph" w:styleId="NoSpacing">
    <w:name w:val="No Spacing"/>
    <w:link w:val="NoSpacingChar"/>
    <w:uiPriority w:val="1"/>
    <w:qFormat/>
    <w:rsid w:val="00874D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74D8B"/>
    <w:rPr>
      <w:rFonts w:eastAsiaTheme="minorEastAsia"/>
      <w:lang w:val="en-US"/>
    </w:rPr>
  </w:style>
  <w:style w:type="paragraph" w:styleId="Header">
    <w:name w:val="header"/>
    <w:basedOn w:val="Normal"/>
    <w:link w:val="HeaderChar"/>
    <w:uiPriority w:val="99"/>
    <w:unhideWhenUsed/>
    <w:rsid w:val="00A158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582C"/>
  </w:style>
  <w:style w:type="paragraph" w:styleId="Footer">
    <w:name w:val="footer"/>
    <w:basedOn w:val="Normal"/>
    <w:link w:val="FooterChar"/>
    <w:uiPriority w:val="99"/>
    <w:unhideWhenUsed/>
    <w:rsid w:val="00A158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582C"/>
  </w:style>
  <w:style w:type="character" w:styleId="HTMLCite">
    <w:name w:val="HTML Cite"/>
    <w:basedOn w:val="DefaultParagraphFont"/>
    <w:uiPriority w:val="99"/>
    <w:semiHidden/>
    <w:unhideWhenUsed/>
    <w:rsid w:val="004B7432"/>
    <w:rPr>
      <w:i/>
      <w:iCs/>
    </w:rPr>
  </w:style>
  <w:style w:type="character" w:customStyle="1" w:styleId="selectable">
    <w:name w:val="selectable"/>
    <w:basedOn w:val="DefaultParagraphFont"/>
    <w:rsid w:val="004B74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6A7"/>
    <w:rsid w:val="005C7573"/>
    <w:rsid w:val="00BD26A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718B5D01BAE45DD85ECFB2FBBCEE029">
    <w:name w:val="E718B5D01BAE45DD85ECFB2FBBCEE029"/>
    <w:rsid w:val="00BD26A7"/>
  </w:style>
  <w:style w:type="paragraph" w:customStyle="1" w:styleId="D2F2E0E52BFC4C3E9C9706147E3B5538">
    <w:name w:val="D2F2E0E52BFC4C3E9C9706147E3B5538"/>
    <w:rsid w:val="00BD26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97158D-0DF0-4486-A65E-0580EB836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587</TotalTime>
  <Pages>7</Pages>
  <Words>2372</Words>
  <Characters>13524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Reflection of gender in the ceremonial depictions and items of the malian palace</dc:title>
  <dc:subject>By: Rebekah Mullins</dc:subject>
  <dc:creator>Rebekah Mullins</dc:creator>
  <cp:keywords/>
  <dc:description/>
  <cp:lastModifiedBy>Rebekah Mullins</cp:lastModifiedBy>
  <cp:revision>22</cp:revision>
  <dcterms:created xsi:type="dcterms:W3CDTF">2017-12-14T14:04:00Z</dcterms:created>
  <dcterms:modified xsi:type="dcterms:W3CDTF">2017-12-14T23:56:00Z</dcterms:modified>
</cp:coreProperties>
</file>