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4472c4" w:val="clear"/>
        <w:ind w:left="360" w:firstLine="0"/>
        <w:jc w:val="left"/>
        <w:rPr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>
          <w:b w:val="1"/>
          <w:sz w:val="32"/>
          <w:szCs w:val="32"/>
        </w:rPr>
      </w:pPr>
      <w:r w:rsidDel="00000000" w:rsidR="00000000" w:rsidRPr="00000000">
        <w:rPr>
          <w:b w:val="1"/>
          <w:sz w:val="32"/>
          <w:szCs w:val="32"/>
          <w:rtl w:val="0"/>
        </w:rPr>
        <w:t xml:space="preserve">Local child safeguarding practice review: commissioned by The Bradford Partnership – concerning Child A.</w:t>
      </w:r>
    </w:p>
    <w:p w:rsidR="00000000" w:rsidDel="00000000" w:rsidP="00000000" w:rsidRDefault="00000000" w:rsidRPr="00000000" w14:paraId="00000004">
      <w:pPr>
        <w:shd w:fill="4472c4" w:val="clear"/>
        <w:ind w:left="360" w:firstLine="0"/>
        <w:jc w:val="left"/>
        <w:rPr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ind w:left="360" w:firstLine="0"/>
        <w:jc w:val="left"/>
        <w:rPr>
          <w:sz w:val="4"/>
          <w:szCs w:val="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ind w:left="360" w:firstLine="0"/>
        <w:jc w:val="left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Programme: BSc Health and Social Care</w:t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Module Code: BMHP5021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Module Title: Protecting and Supporting Families in Health and Care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 Numbers: 2328504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Student Names: Samina Shahzad 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Tutor: Gillian Weaver</w:t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Module Leader: Chloe Harries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1080" w:right="0" w:hanging="360"/>
        <w:jc w:val="left"/>
        <w:rPr/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Assignment: Presentation (Round-The-Table Group Discussion)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360" w:lineRule="auto"/>
        <w:ind w:left="1080" w:right="0" w:hanging="360"/>
        <w:jc w:val="left"/>
        <w:rPr>
          <w:b w:val="1"/>
          <w:i w:val="0"/>
          <w:smallCaps w:val="0"/>
          <w:strike w:val="0"/>
          <w:color w:val="000000"/>
          <w:sz w:val="32"/>
          <w:szCs w:val="32"/>
          <w:u w:val="singl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Submission Date: 22nd October 2025</w:t>
      </w: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Style w:val="Heading1"/>
        <w:rPr/>
      </w:pPr>
      <w:bookmarkStart w:colFirst="0" w:colLast="0" w:name="_qaf3dzt2gzfm" w:id="0"/>
      <w:bookmarkEnd w:id="0"/>
      <w:r w:rsidDel="00000000" w:rsidR="00000000" w:rsidRPr="00000000">
        <w:rPr>
          <w:rtl w:val="0"/>
        </w:rPr>
        <w:t xml:space="preserve">Reference List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Bradford Partnership. (2023). </w:t>
      </w:r>
      <w:r w:rsidDel="00000000" w:rsidR="00000000" w:rsidRPr="00000000">
        <w:rPr>
          <w:i w:val="1"/>
          <w:rtl w:val="0"/>
        </w:rPr>
        <w:t xml:space="preserve">Child A: Local Child Safeguarding Practice Review</w:t>
      </w:r>
      <w:r w:rsidDel="00000000" w:rsidR="00000000" w:rsidRPr="00000000">
        <w:rPr>
          <w:rtl w:val="0"/>
        </w:rPr>
        <w:t xml:space="preserve">. [online] Available at: </w:t>
      </w:r>
      <w:hyperlink r:id="rId6">
        <w:r w:rsidDel="00000000" w:rsidR="00000000" w:rsidRPr="00000000">
          <w:rPr>
            <w:color w:val="000000"/>
            <w:u w:val="single"/>
            <w:rtl w:val="0"/>
          </w:rPr>
          <w:t xml:space="preserve">https://learning.nspcc.org.uk/case-reviews/national-case-review-repository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Children Act 1989. (1989). London: HMSO.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Ferguson, H. (2017). How Children Become Invisible in Child Protection Work: Findings from Research into Day-to-Day Social Work Practice. </w:t>
      </w:r>
      <w:r w:rsidDel="00000000" w:rsidR="00000000" w:rsidRPr="00000000">
        <w:rPr>
          <w:i w:val="1"/>
          <w:rtl w:val="0"/>
        </w:rPr>
        <w:t xml:space="preserve">The British Journal of Social Work</w:t>
      </w:r>
      <w:r w:rsidDel="00000000" w:rsidR="00000000" w:rsidRPr="00000000">
        <w:rPr>
          <w:rtl w:val="0"/>
        </w:rPr>
        <w:t xml:space="preserve">, [online] 47(4), pp.1007–1023. doi:https://doi.org/10.1093/bjsw/bcw065.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HM Government. (2018). </w:t>
      </w:r>
      <w:r w:rsidDel="00000000" w:rsidR="00000000" w:rsidRPr="00000000">
        <w:rPr>
          <w:i w:val="1"/>
          <w:rtl w:val="0"/>
        </w:rPr>
        <w:t xml:space="preserve">Working Together to Safeguard Children: A guide to inter-agency working to safeguard and promote the welfare of children</w:t>
      </w:r>
      <w:r w:rsidDel="00000000" w:rsidR="00000000" w:rsidRPr="00000000">
        <w:rPr>
          <w:rtl w:val="0"/>
        </w:rPr>
        <w:t xml:space="preserve">. London: Department for Education.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Iwaniec, D. (2016). The Emotionally Abused and Neglected Child: Identification, Assessment and Intervention. A Practice Handbook (2nd Edition). </w:t>
      </w:r>
      <w:r w:rsidDel="00000000" w:rsidR="00000000" w:rsidRPr="00000000">
        <w:rPr>
          <w:i w:val="1"/>
          <w:rtl w:val="0"/>
        </w:rPr>
        <w:t xml:space="preserve">Basingstoke: Palgrave Macmillan</w:t>
      </w:r>
      <w:r w:rsidDel="00000000" w:rsidR="00000000" w:rsidRPr="00000000">
        <w:rPr>
          <w:rtl w:val="0"/>
        </w:rPr>
        <w:t xml:space="preserve">, 4(1).</w:t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  <w:t xml:space="preserve">LOUGHRAN, G. (2018). Learning to act: The Children Act 1989. </w:t>
      </w:r>
      <w:r w:rsidDel="00000000" w:rsidR="00000000" w:rsidRPr="00000000">
        <w:rPr>
          <w:i w:val="1"/>
          <w:rtl w:val="0"/>
        </w:rPr>
        <w:t xml:space="preserve">Children &amp; Society</w:t>
      </w:r>
      <w:r w:rsidDel="00000000" w:rsidR="00000000" w:rsidRPr="00000000">
        <w:rPr>
          <w:rtl w:val="0"/>
        </w:rPr>
        <w:t xml:space="preserve">, 5(1), pp.11–20. doi:https://doi.org/10.1111/j.1099-0860.1991.tb00515.x.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 xml:space="preserve">United Nations (2019). A Commentary on the United Nations Convention on the Rights of the Child – Article 21 – Adoption. </w:t>
      </w:r>
      <w:r w:rsidDel="00000000" w:rsidR="00000000" w:rsidRPr="00000000">
        <w:rPr>
          <w:i w:val="1"/>
          <w:rtl w:val="0"/>
        </w:rPr>
        <w:t xml:space="preserve">The International Journal of Children’s Rights</w:t>
      </w:r>
      <w:r w:rsidDel="00000000" w:rsidR="00000000" w:rsidRPr="00000000">
        <w:rPr>
          <w:rtl w:val="0"/>
        </w:rPr>
        <w:t xml:space="preserve">, 17(2), p.344. doi:https://doi.org/10.1163/157181809x423588.</w:t>
      </w:r>
    </w:p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  <w:t xml:space="preserve">West Yorkshire Consortium. (2019). </w:t>
      </w:r>
      <w:r w:rsidDel="00000000" w:rsidR="00000000" w:rsidRPr="00000000">
        <w:rPr>
          <w:i w:val="1"/>
          <w:rtl w:val="0"/>
        </w:rPr>
        <w:t xml:space="preserve">Continuum of Need Framework</w:t>
      </w:r>
      <w:r w:rsidDel="00000000" w:rsidR="00000000" w:rsidRPr="00000000">
        <w:rPr>
          <w:rtl w:val="0"/>
        </w:rPr>
        <w:t xml:space="preserve">. Bradford: WY Safeguarding Children Partnerships.</w:t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Noto Sans Symbols"/>
  <w:font w:name="Courier New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both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>
        <w:spacing w:after="160" w:line="360" w:lineRule="auto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jc w:val="left"/>
    </w:pPr>
    <w:rPr>
      <w:b w:val="1"/>
      <w:sz w:val="32"/>
      <w:szCs w:val="32"/>
      <w:u w:val="single"/>
    </w:rPr>
  </w:style>
  <w:style w:type="paragraph" w:styleId="Heading2">
    <w:name w:val="heading 2"/>
    <w:basedOn w:val="Normal"/>
    <w:next w:val="Normal"/>
    <w:pPr>
      <w:jc w:val="left"/>
    </w:pPr>
    <w:rPr>
      <w:b w:val="1"/>
      <w:color w:val="4472c4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b w:val="1"/>
      <w:color w:val="00b0f0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rFonts w:ascii="Calibri" w:cs="Calibri" w:eastAsia="Calibri" w:hAnsi="Calibri"/>
      <w:i w:val="1"/>
      <w:color w:val="2f5496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rFonts w:ascii="Calibri" w:cs="Calibri" w:eastAsia="Calibri" w:hAnsi="Calibri"/>
      <w:color w:val="2f5496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Calibri" w:cs="Calibri" w:eastAsia="Calibri" w:hAnsi="Calibri"/>
      <w:sz w:val="56"/>
      <w:szCs w:val="56"/>
    </w:rPr>
  </w:style>
  <w:style w:type="paragraph" w:styleId="Subtitle">
    <w:name w:val="Subtitle"/>
    <w:basedOn w:val="Normal"/>
    <w:next w:val="Normal"/>
    <w:pPr/>
    <w:rPr>
      <w:rFonts w:ascii="Calibri" w:cs="Calibri" w:eastAsia="Calibri" w:hAnsi="Calibri"/>
      <w:color w:val="595959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learning.nspcc.org.uk/case-reviews/national-case-review-repository" TargetMode="Externa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