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49D64" w14:textId="463C6FB2" w:rsidR="0017139F" w:rsidRPr="0017139F" w:rsidRDefault="0017139F">
      <w:pPr>
        <w:rPr>
          <w:rFonts w:ascii="Calibri" w:hAnsi="Calibri" w:cs="Calibri"/>
          <w:sz w:val="20"/>
          <w:szCs w:val="20"/>
          <w:u w:val="single"/>
        </w:rPr>
      </w:pPr>
      <w:r w:rsidRPr="0017139F">
        <w:rPr>
          <w:rFonts w:ascii="Calibri" w:hAnsi="Calibri" w:cs="Calibri"/>
          <w:sz w:val="20"/>
          <w:szCs w:val="20"/>
          <w:u w:val="single"/>
        </w:rPr>
        <w:t xml:space="preserve">Specialist Employment Law </w:t>
      </w:r>
    </w:p>
    <w:p w14:paraId="6A923DDC" w14:textId="77777777" w:rsidR="0017139F" w:rsidRDefault="0017139F">
      <w:pPr>
        <w:rPr>
          <w:rFonts w:ascii="Calibri" w:hAnsi="Calibri" w:cs="Calibri"/>
          <w:sz w:val="20"/>
          <w:szCs w:val="20"/>
        </w:rPr>
      </w:pPr>
    </w:p>
    <w:p w14:paraId="073DCB59" w14:textId="1579BD6C" w:rsidR="00DD7BCC" w:rsidRDefault="00DD7BCC">
      <w:pPr>
        <w:rPr>
          <w:rFonts w:ascii="Calibri" w:hAnsi="Calibri" w:cs="Calibri"/>
          <w:sz w:val="20"/>
          <w:szCs w:val="20"/>
        </w:rPr>
      </w:pPr>
      <w:r w:rsidRPr="002760A8">
        <w:rPr>
          <w:rFonts w:ascii="Calibri" w:hAnsi="Calibri" w:cs="Calibri"/>
          <w:sz w:val="20"/>
          <w:szCs w:val="20"/>
        </w:rPr>
        <w:t>AC1.1</w:t>
      </w:r>
    </w:p>
    <w:p w14:paraId="18268C67" w14:textId="5F2F8DF0" w:rsidR="00176998" w:rsidRDefault="00F75A19" w:rsidP="00F75A19">
      <w:pPr>
        <w:pStyle w:val="NormalWeb"/>
        <w:rPr>
          <w:rFonts w:ascii="Calibri" w:hAnsi="Calibri" w:cs="Calibri"/>
          <w:sz w:val="20"/>
          <w:szCs w:val="20"/>
        </w:rPr>
      </w:pPr>
      <w:r w:rsidRPr="00F75A19">
        <w:rPr>
          <w:rFonts w:ascii="Calibri" w:hAnsi="Calibri" w:cs="Calibri"/>
          <w:sz w:val="20"/>
          <w:szCs w:val="20"/>
        </w:rPr>
        <w:t>I would explain that dealing with regulations</w:t>
      </w:r>
      <w:r w:rsidR="005A34DA">
        <w:rPr>
          <w:rFonts w:ascii="Calibri" w:hAnsi="Calibri" w:cs="Calibri"/>
          <w:sz w:val="20"/>
          <w:szCs w:val="20"/>
        </w:rPr>
        <w:t xml:space="preserve"> </w:t>
      </w:r>
      <w:r w:rsidR="005A34DA" w:rsidRPr="00B00B35">
        <w:rPr>
          <w:rFonts w:ascii="Calibri" w:hAnsi="Calibri" w:cs="Calibri"/>
          <w:strike/>
          <w:sz w:val="20"/>
          <w:szCs w:val="20"/>
        </w:rPr>
        <w:t>does</w:t>
      </w:r>
      <w:r w:rsidRPr="00B00B35">
        <w:rPr>
          <w:rFonts w:ascii="Calibri" w:hAnsi="Calibri" w:cs="Calibri"/>
          <w:strike/>
          <w:sz w:val="20"/>
          <w:szCs w:val="20"/>
        </w:rPr>
        <w:t xml:space="preserve"> take up</w:t>
      </w:r>
      <w:r w:rsidRPr="00F75A19">
        <w:rPr>
          <w:rFonts w:ascii="Calibri" w:hAnsi="Calibri" w:cs="Calibri"/>
          <w:sz w:val="20"/>
          <w:szCs w:val="20"/>
        </w:rPr>
        <w:t xml:space="preserve"> time,</w:t>
      </w:r>
      <w:r w:rsidR="005A34DA">
        <w:rPr>
          <w:rFonts w:ascii="Calibri" w:hAnsi="Calibri" w:cs="Calibri"/>
          <w:sz w:val="20"/>
          <w:szCs w:val="20"/>
        </w:rPr>
        <w:t xml:space="preserve"> however</w:t>
      </w:r>
      <w:r w:rsidRPr="00F75A19">
        <w:rPr>
          <w:rFonts w:ascii="Calibri" w:hAnsi="Calibri" w:cs="Calibri"/>
          <w:sz w:val="20"/>
          <w:szCs w:val="20"/>
        </w:rPr>
        <w:t xml:space="preserve"> it’s </w:t>
      </w:r>
      <w:r w:rsidR="00F70150">
        <w:rPr>
          <w:rFonts w:ascii="Calibri" w:hAnsi="Calibri" w:cs="Calibri"/>
          <w:sz w:val="20"/>
          <w:szCs w:val="20"/>
        </w:rPr>
        <w:t>important</w:t>
      </w:r>
      <w:r w:rsidRPr="00F75A19">
        <w:rPr>
          <w:rFonts w:ascii="Calibri" w:hAnsi="Calibri" w:cs="Calibri"/>
          <w:sz w:val="20"/>
          <w:szCs w:val="20"/>
        </w:rPr>
        <w:t xml:space="preserve"> for a few reasons that </w:t>
      </w:r>
      <w:r w:rsidR="00176998">
        <w:rPr>
          <w:rFonts w:ascii="Calibri" w:hAnsi="Calibri" w:cs="Calibri"/>
          <w:sz w:val="20"/>
          <w:szCs w:val="20"/>
        </w:rPr>
        <w:t xml:space="preserve">match </w:t>
      </w:r>
      <w:r w:rsidRPr="00F75A19">
        <w:rPr>
          <w:rFonts w:ascii="Calibri" w:hAnsi="Calibri" w:cs="Calibri"/>
          <w:sz w:val="20"/>
          <w:szCs w:val="20"/>
        </w:rPr>
        <w:t>with the</w:t>
      </w:r>
      <w:r w:rsidR="00176998">
        <w:rPr>
          <w:rFonts w:ascii="Calibri" w:hAnsi="Calibri" w:cs="Calibri"/>
          <w:sz w:val="20"/>
          <w:szCs w:val="20"/>
        </w:rPr>
        <w:t xml:space="preserve"> targets</w:t>
      </w:r>
      <w:r w:rsidRPr="00F75A19">
        <w:rPr>
          <w:rFonts w:ascii="Calibri" w:hAnsi="Calibri" w:cs="Calibri"/>
          <w:sz w:val="20"/>
          <w:szCs w:val="20"/>
        </w:rPr>
        <w:t xml:space="preserve"> of employment regulation</w:t>
      </w:r>
      <w:r w:rsidR="00176998">
        <w:rPr>
          <w:rFonts w:ascii="Calibri" w:hAnsi="Calibri" w:cs="Calibri"/>
          <w:sz w:val="20"/>
          <w:szCs w:val="20"/>
        </w:rPr>
        <w:t>s</w:t>
      </w:r>
      <w:r w:rsidRPr="00F75A19">
        <w:rPr>
          <w:rFonts w:ascii="Calibri" w:hAnsi="Calibri" w:cs="Calibri"/>
          <w:sz w:val="20"/>
          <w:szCs w:val="20"/>
        </w:rPr>
        <w:t xml:space="preserve">. Employment law </w:t>
      </w:r>
      <w:r w:rsidR="005A34DA">
        <w:rPr>
          <w:rFonts w:ascii="Calibri" w:hAnsi="Calibri" w:cs="Calibri"/>
          <w:sz w:val="20"/>
          <w:szCs w:val="20"/>
        </w:rPr>
        <w:t>is there</w:t>
      </w:r>
      <w:r w:rsidRPr="00F75A19">
        <w:rPr>
          <w:rFonts w:ascii="Calibri" w:hAnsi="Calibri" w:cs="Calibri"/>
          <w:sz w:val="20"/>
          <w:szCs w:val="20"/>
        </w:rPr>
        <w:t xml:space="preserve"> to protect workers</w:t>
      </w:r>
      <w:r w:rsidR="00176998">
        <w:rPr>
          <w:rFonts w:ascii="Calibri" w:hAnsi="Calibri" w:cs="Calibri"/>
          <w:sz w:val="20"/>
          <w:szCs w:val="20"/>
        </w:rPr>
        <w:t>,</w:t>
      </w:r>
      <w:r w:rsidRPr="00F75A19">
        <w:rPr>
          <w:rFonts w:ascii="Calibri" w:hAnsi="Calibri" w:cs="Calibri"/>
          <w:sz w:val="20"/>
          <w:szCs w:val="20"/>
        </w:rPr>
        <w:t xml:space="preserve"> ensuring they are treated fairly and have a safe and supportive working environment. </w:t>
      </w:r>
      <w:r w:rsidR="00176998">
        <w:rPr>
          <w:rFonts w:ascii="Calibri" w:hAnsi="Calibri" w:cs="Calibri"/>
          <w:sz w:val="20"/>
          <w:szCs w:val="20"/>
        </w:rPr>
        <w:t>T</w:t>
      </w:r>
      <w:r w:rsidRPr="00F75A19">
        <w:rPr>
          <w:rFonts w:ascii="Calibri" w:hAnsi="Calibri" w:cs="Calibri"/>
          <w:sz w:val="20"/>
          <w:szCs w:val="20"/>
        </w:rPr>
        <w:t xml:space="preserve">he </w:t>
      </w:r>
      <w:r w:rsidR="00016BC5">
        <w:rPr>
          <w:rFonts w:ascii="Calibri" w:hAnsi="Calibri" w:cs="Calibri"/>
          <w:sz w:val="20"/>
          <w:szCs w:val="20"/>
        </w:rPr>
        <w:t>main</w:t>
      </w:r>
      <w:r w:rsidRPr="00F75A19">
        <w:rPr>
          <w:rFonts w:ascii="Calibri" w:hAnsi="Calibri" w:cs="Calibri"/>
          <w:sz w:val="20"/>
          <w:szCs w:val="20"/>
        </w:rPr>
        <w:t xml:space="preserve"> objectives of employment regulation </w:t>
      </w:r>
      <w:r w:rsidR="00F70150" w:rsidRPr="00F75A19">
        <w:rPr>
          <w:rFonts w:ascii="Calibri" w:hAnsi="Calibri" w:cs="Calibri"/>
          <w:sz w:val="20"/>
          <w:szCs w:val="20"/>
        </w:rPr>
        <w:t>are</w:t>
      </w:r>
      <w:r w:rsidRPr="00F75A19">
        <w:rPr>
          <w:rFonts w:ascii="Calibri" w:hAnsi="Calibri" w:cs="Calibri"/>
          <w:sz w:val="20"/>
          <w:szCs w:val="20"/>
        </w:rPr>
        <w:t xml:space="preserve"> to prevent discrimination</w:t>
      </w:r>
      <w:r w:rsidR="00176998">
        <w:rPr>
          <w:rFonts w:ascii="Calibri" w:hAnsi="Calibri" w:cs="Calibri"/>
          <w:sz w:val="20"/>
          <w:szCs w:val="20"/>
        </w:rPr>
        <w:t xml:space="preserve"> and</w:t>
      </w:r>
      <w:r w:rsidRPr="00F75A19">
        <w:rPr>
          <w:rFonts w:ascii="Calibri" w:hAnsi="Calibri" w:cs="Calibri"/>
          <w:sz w:val="20"/>
          <w:szCs w:val="20"/>
        </w:rPr>
        <w:t xml:space="preserve"> unfair treatment providing a legal framework that guarantees equal treatment for all employees.</w:t>
      </w:r>
      <w:r w:rsidR="00180838">
        <w:rPr>
          <w:rFonts w:ascii="Calibri" w:hAnsi="Calibri" w:cs="Calibri"/>
          <w:sz w:val="20"/>
          <w:szCs w:val="20"/>
        </w:rPr>
        <w:t xml:space="preserve"> (CIPD,2024)</w:t>
      </w:r>
    </w:p>
    <w:p w14:paraId="1E3DF98D" w14:textId="5273C50E" w:rsidR="00F75A19" w:rsidRPr="00F75A19" w:rsidRDefault="00F75A19" w:rsidP="00F75A19">
      <w:pPr>
        <w:pStyle w:val="NormalWeb"/>
        <w:rPr>
          <w:rFonts w:ascii="Calibri" w:hAnsi="Calibri" w:cs="Calibri"/>
          <w:sz w:val="20"/>
          <w:szCs w:val="20"/>
        </w:rPr>
      </w:pPr>
      <w:r w:rsidRPr="00F75A19">
        <w:rPr>
          <w:rFonts w:ascii="Calibri" w:hAnsi="Calibri" w:cs="Calibri"/>
          <w:sz w:val="20"/>
          <w:szCs w:val="20"/>
        </w:rPr>
        <w:t xml:space="preserve">These regulations aim to promote health, safety, and wellbeing in the workplace, setting standards that employers must follow. </w:t>
      </w:r>
      <w:r w:rsidRPr="00053937">
        <w:rPr>
          <w:rFonts w:ascii="Calibri" w:hAnsi="Calibri" w:cs="Calibri"/>
          <w:strike/>
          <w:sz w:val="20"/>
          <w:szCs w:val="20"/>
        </w:rPr>
        <w:t>For example,</w:t>
      </w:r>
      <w:r w:rsidRPr="00F75A19">
        <w:rPr>
          <w:rFonts w:ascii="Calibri" w:hAnsi="Calibri" w:cs="Calibri"/>
          <w:sz w:val="20"/>
          <w:szCs w:val="20"/>
        </w:rPr>
        <w:t xml:space="preserve"> </w:t>
      </w:r>
      <w:r w:rsidR="00053937">
        <w:rPr>
          <w:rFonts w:ascii="Calibri" w:hAnsi="Calibri" w:cs="Calibri"/>
          <w:sz w:val="20"/>
          <w:szCs w:val="20"/>
        </w:rPr>
        <w:t>R</w:t>
      </w:r>
      <w:r w:rsidRPr="00F75A19">
        <w:rPr>
          <w:rFonts w:ascii="Calibri" w:hAnsi="Calibri" w:cs="Calibri"/>
          <w:sz w:val="20"/>
          <w:szCs w:val="20"/>
        </w:rPr>
        <w:t>egulations relating to working hours, rest breaks, and pay help maintain a balance that protects workers from overwork</w:t>
      </w:r>
      <w:r w:rsidR="00176998">
        <w:rPr>
          <w:rFonts w:ascii="Calibri" w:hAnsi="Calibri" w:cs="Calibri"/>
          <w:sz w:val="20"/>
          <w:szCs w:val="20"/>
        </w:rPr>
        <w:t>ing</w:t>
      </w:r>
      <w:r w:rsidRPr="00F75A19">
        <w:rPr>
          <w:rFonts w:ascii="Calibri" w:hAnsi="Calibri" w:cs="Calibri"/>
          <w:sz w:val="20"/>
          <w:szCs w:val="20"/>
        </w:rPr>
        <w:t xml:space="preserve">. Another objective is to promote fairness and transparency within the employment relationship, ensuring that the terms and conditions </w:t>
      </w:r>
      <w:r w:rsidRPr="00053937">
        <w:rPr>
          <w:rFonts w:ascii="Calibri" w:hAnsi="Calibri" w:cs="Calibri"/>
          <w:strike/>
          <w:sz w:val="20"/>
          <w:szCs w:val="20"/>
        </w:rPr>
        <w:t>of employment</w:t>
      </w:r>
      <w:r w:rsidRPr="00F75A19">
        <w:rPr>
          <w:rFonts w:ascii="Calibri" w:hAnsi="Calibri" w:cs="Calibri"/>
          <w:sz w:val="20"/>
          <w:szCs w:val="20"/>
        </w:rPr>
        <w:t xml:space="preserve"> are clearly defined and consistently followed</w:t>
      </w:r>
      <w:r w:rsidRPr="00F70150">
        <w:rPr>
          <w:rFonts w:ascii="Calibri" w:hAnsi="Calibri" w:cs="Calibri"/>
          <w:sz w:val="20"/>
          <w:szCs w:val="20"/>
        </w:rPr>
        <w:t>.</w:t>
      </w:r>
      <w:r w:rsidR="00F70150" w:rsidRPr="00F70150">
        <w:rPr>
          <w:rFonts w:ascii="Calibri" w:hAnsi="Calibri" w:cs="Calibri"/>
          <w:sz w:val="20"/>
          <w:szCs w:val="20"/>
        </w:rPr>
        <w:t xml:space="preserve"> (Employment law, CIPD, 2025)</w:t>
      </w:r>
    </w:p>
    <w:p w14:paraId="4A9B467A" w14:textId="519DFDBC" w:rsidR="00F75A19" w:rsidRPr="00386406" w:rsidRDefault="00176998" w:rsidP="00F75A19">
      <w:pPr>
        <w:pStyle w:val="NormalWeb"/>
        <w:rPr>
          <w:rFonts w:ascii="Calibri" w:hAnsi="Calibri" w:cs="Calibri"/>
          <w:strike/>
          <w:sz w:val="20"/>
          <w:szCs w:val="20"/>
        </w:rPr>
      </w:pPr>
      <w:r w:rsidRPr="00386406">
        <w:rPr>
          <w:rFonts w:ascii="Calibri" w:hAnsi="Calibri" w:cs="Calibri"/>
          <w:strike/>
          <w:sz w:val="20"/>
          <w:szCs w:val="20"/>
        </w:rPr>
        <w:t>Employment</w:t>
      </w:r>
      <w:r w:rsidR="00F75A19" w:rsidRPr="00386406">
        <w:rPr>
          <w:rFonts w:ascii="Calibri" w:hAnsi="Calibri" w:cs="Calibri"/>
          <w:strike/>
          <w:sz w:val="20"/>
          <w:szCs w:val="20"/>
        </w:rPr>
        <w:t xml:space="preserve"> regulations are </w:t>
      </w:r>
      <w:r w:rsidR="00016BC5" w:rsidRPr="00386406">
        <w:rPr>
          <w:rFonts w:ascii="Calibri" w:hAnsi="Calibri" w:cs="Calibri"/>
          <w:strike/>
          <w:sz w:val="20"/>
          <w:szCs w:val="20"/>
        </w:rPr>
        <w:t xml:space="preserve">there </w:t>
      </w:r>
      <w:r w:rsidR="00F75A19" w:rsidRPr="00386406">
        <w:rPr>
          <w:rFonts w:ascii="Calibri" w:hAnsi="Calibri" w:cs="Calibri"/>
          <w:strike/>
          <w:sz w:val="20"/>
          <w:szCs w:val="20"/>
        </w:rPr>
        <w:t>to prevent disputes by offering clear processes for resolving issues like grievances, redundancies, and dismissals. This not only safeguards employees but also helps the Trust avoid legal challenges or fines that might arise from non-compliance with employment law. Without th</w:t>
      </w:r>
      <w:r w:rsidRPr="00386406">
        <w:rPr>
          <w:rFonts w:ascii="Calibri" w:hAnsi="Calibri" w:cs="Calibri"/>
          <w:strike/>
          <w:sz w:val="20"/>
          <w:szCs w:val="20"/>
        </w:rPr>
        <w:t>is</w:t>
      </w:r>
      <w:r w:rsidR="00F75A19" w:rsidRPr="00386406">
        <w:rPr>
          <w:rFonts w:ascii="Calibri" w:hAnsi="Calibri" w:cs="Calibri"/>
          <w:strike/>
          <w:sz w:val="20"/>
          <w:szCs w:val="20"/>
        </w:rPr>
        <w:t xml:space="preserve"> protection, the Trust could face damage</w:t>
      </w:r>
      <w:r w:rsidR="00016BC5" w:rsidRPr="00386406">
        <w:rPr>
          <w:rFonts w:ascii="Calibri" w:hAnsi="Calibri" w:cs="Calibri"/>
          <w:strike/>
          <w:sz w:val="20"/>
          <w:szCs w:val="20"/>
        </w:rPr>
        <w:t>s</w:t>
      </w:r>
      <w:r w:rsidR="00F75A19" w:rsidRPr="00386406">
        <w:rPr>
          <w:rFonts w:ascii="Calibri" w:hAnsi="Calibri" w:cs="Calibri"/>
          <w:strike/>
          <w:sz w:val="20"/>
          <w:szCs w:val="20"/>
        </w:rPr>
        <w:t xml:space="preserve"> or financial risk from lawsuits</w:t>
      </w:r>
      <w:r w:rsidR="00016BC5" w:rsidRPr="00386406">
        <w:rPr>
          <w:rFonts w:ascii="Calibri" w:hAnsi="Calibri" w:cs="Calibri"/>
          <w:strike/>
          <w:sz w:val="20"/>
          <w:szCs w:val="20"/>
        </w:rPr>
        <w:t>.</w:t>
      </w:r>
    </w:p>
    <w:p w14:paraId="41EB8F43" w14:textId="044F88F9" w:rsidR="00F75A19" w:rsidRPr="00F75A19" w:rsidRDefault="00176998" w:rsidP="00F75A19">
      <w:pPr>
        <w:pStyle w:val="NormalWeb"/>
        <w:rPr>
          <w:rFonts w:ascii="Calibri" w:hAnsi="Calibri" w:cs="Calibri"/>
          <w:sz w:val="20"/>
          <w:szCs w:val="20"/>
        </w:rPr>
      </w:pPr>
      <w:r>
        <w:rPr>
          <w:rFonts w:ascii="Calibri" w:hAnsi="Calibri" w:cs="Calibri"/>
          <w:sz w:val="20"/>
          <w:szCs w:val="20"/>
        </w:rPr>
        <w:t>While</w:t>
      </w:r>
      <w:r w:rsidR="00F75A19" w:rsidRPr="00F75A19">
        <w:rPr>
          <w:rFonts w:ascii="Calibri" w:hAnsi="Calibri" w:cs="Calibri"/>
          <w:sz w:val="20"/>
          <w:szCs w:val="20"/>
        </w:rPr>
        <w:t xml:space="preserve"> dealing with regulations may seem time-consuming, </w:t>
      </w:r>
      <w:r w:rsidR="00D7707C" w:rsidRPr="00F75A19">
        <w:rPr>
          <w:rFonts w:ascii="Calibri" w:hAnsi="Calibri" w:cs="Calibri"/>
          <w:sz w:val="20"/>
          <w:szCs w:val="20"/>
        </w:rPr>
        <w:t xml:space="preserve">it </w:t>
      </w:r>
      <w:r w:rsidR="00D7707C">
        <w:rPr>
          <w:rFonts w:ascii="Calibri" w:hAnsi="Calibri" w:cs="Calibri"/>
          <w:sz w:val="20"/>
          <w:szCs w:val="20"/>
        </w:rPr>
        <w:t>does</w:t>
      </w:r>
      <w:r>
        <w:rPr>
          <w:rFonts w:ascii="Calibri" w:hAnsi="Calibri" w:cs="Calibri"/>
          <w:sz w:val="20"/>
          <w:szCs w:val="20"/>
        </w:rPr>
        <w:t xml:space="preserve"> </w:t>
      </w:r>
      <w:r w:rsidR="00F75A19" w:rsidRPr="00F75A19">
        <w:rPr>
          <w:rFonts w:ascii="Calibri" w:hAnsi="Calibri" w:cs="Calibri"/>
          <w:sz w:val="20"/>
          <w:szCs w:val="20"/>
        </w:rPr>
        <w:t xml:space="preserve">help keep things running smoothly by preventing legal challenges and ensuring fair treatment for all staff. </w:t>
      </w:r>
      <w:r w:rsidR="00F75A19" w:rsidRPr="00931159">
        <w:rPr>
          <w:rFonts w:ascii="Calibri" w:hAnsi="Calibri" w:cs="Calibri"/>
          <w:strike/>
          <w:sz w:val="20"/>
          <w:szCs w:val="20"/>
        </w:rPr>
        <w:t>It’s also important to remember that</w:t>
      </w:r>
      <w:r w:rsidR="00F75A19" w:rsidRPr="00F75A19">
        <w:rPr>
          <w:rFonts w:ascii="Calibri" w:hAnsi="Calibri" w:cs="Calibri"/>
          <w:sz w:val="20"/>
          <w:szCs w:val="20"/>
        </w:rPr>
        <w:t xml:space="preserve"> </w:t>
      </w:r>
      <w:r w:rsidR="00931159">
        <w:rPr>
          <w:rFonts w:ascii="Calibri" w:hAnsi="Calibri" w:cs="Calibri"/>
          <w:sz w:val="20"/>
          <w:szCs w:val="20"/>
        </w:rPr>
        <w:t>R</w:t>
      </w:r>
      <w:r w:rsidR="00F75A19" w:rsidRPr="00F75A19">
        <w:rPr>
          <w:rFonts w:ascii="Calibri" w:hAnsi="Calibri" w:cs="Calibri"/>
          <w:sz w:val="20"/>
          <w:szCs w:val="20"/>
        </w:rPr>
        <w:t>egulations support a healthy, motivated workforce, which in turn contributes to the overall success of the Trust.</w:t>
      </w:r>
    </w:p>
    <w:p w14:paraId="04E3C81F" w14:textId="6CB98720" w:rsidR="00F75A19" w:rsidRDefault="00F75A19" w:rsidP="00F75A19">
      <w:pPr>
        <w:pStyle w:val="NormalWeb"/>
        <w:rPr>
          <w:rFonts w:ascii="Calibri" w:hAnsi="Calibri" w:cs="Calibri"/>
          <w:color w:val="000000"/>
          <w:sz w:val="20"/>
          <w:szCs w:val="20"/>
        </w:rPr>
      </w:pPr>
      <w:r w:rsidRPr="00F75A19">
        <w:rPr>
          <w:rFonts w:ascii="Calibri" w:hAnsi="Calibri" w:cs="Calibri"/>
          <w:sz w:val="20"/>
          <w:szCs w:val="20"/>
        </w:rPr>
        <w:t xml:space="preserve">To ease the </w:t>
      </w:r>
      <w:r w:rsidR="00016BC5">
        <w:rPr>
          <w:rFonts w:ascii="Calibri" w:hAnsi="Calibri" w:cs="Calibri"/>
          <w:sz w:val="20"/>
          <w:szCs w:val="20"/>
        </w:rPr>
        <w:t xml:space="preserve">workload </w:t>
      </w:r>
      <w:r w:rsidRPr="00931159">
        <w:rPr>
          <w:rFonts w:ascii="Calibri" w:hAnsi="Calibri" w:cs="Calibri"/>
          <w:strike/>
          <w:sz w:val="20"/>
          <w:szCs w:val="20"/>
        </w:rPr>
        <w:t>of managing these regulations</w:t>
      </w:r>
      <w:r w:rsidRPr="00F75A19">
        <w:rPr>
          <w:rFonts w:ascii="Calibri" w:hAnsi="Calibri" w:cs="Calibri"/>
          <w:sz w:val="20"/>
          <w:szCs w:val="20"/>
        </w:rPr>
        <w:t xml:space="preserve">, I’d suggest we explore ways to share the work. We could delegate certain tasks to others or create a dedicated team to handle legal matters. </w:t>
      </w:r>
      <w:r w:rsidR="00176998">
        <w:rPr>
          <w:rFonts w:ascii="Calibri" w:hAnsi="Calibri" w:cs="Calibri"/>
          <w:sz w:val="20"/>
          <w:szCs w:val="20"/>
        </w:rPr>
        <w:t>Helping with</w:t>
      </w:r>
      <w:r w:rsidR="00A22432">
        <w:rPr>
          <w:rFonts w:ascii="Calibri" w:hAnsi="Calibri" w:cs="Calibri"/>
          <w:sz w:val="20"/>
          <w:szCs w:val="20"/>
        </w:rPr>
        <w:t xml:space="preserve">   </w:t>
      </w:r>
      <w:r w:rsidR="00176998">
        <w:rPr>
          <w:rFonts w:ascii="Calibri" w:hAnsi="Calibri" w:cs="Calibri"/>
          <w:sz w:val="20"/>
          <w:szCs w:val="20"/>
        </w:rPr>
        <w:t xml:space="preserve"> </w:t>
      </w:r>
      <w:r w:rsidRPr="00F75A19">
        <w:rPr>
          <w:rFonts w:ascii="Calibri" w:hAnsi="Calibri" w:cs="Calibri"/>
          <w:sz w:val="20"/>
          <w:szCs w:val="20"/>
        </w:rPr>
        <w:t>administrative processes or investing in t</w:t>
      </w:r>
      <w:r w:rsidR="00176998">
        <w:rPr>
          <w:rFonts w:ascii="Calibri" w:hAnsi="Calibri" w:cs="Calibri"/>
          <w:sz w:val="20"/>
          <w:szCs w:val="20"/>
        </w:rPr>
        <w:t>echnology</w:t>
      </w:r>
      <w:r w:rsidRPr="00F75A19">
        <w:rPr>
          <w:rFonts w:ascii="Calibri" w:hAnsi="Calibri" w:cs="Calibri"/>
          <w:sz w:val="20"/>
          <w:szCs w:val="20"/>
        </w:rPr>
        <w:t xml:space="preserve"> that assist </w:t>
      </w:r>
      <w:r w:rsidRPr="008A0D71">
        <w:rPr>
          <w:rFonts w:ascii="Calibri" w:hAnsi="Calibri" w:cs="Calibri"/>
          <w:strike/>
          <w:sz w:val="20"/>
          <w:szCs w:val="20"/>
        </w:rPr>
        <w:t>with compliance</w:t>
      </w:r>
      <w:r w:rsidRPr="00F75A19">
        <w:rPr>
          <w:rFonts w:ascii="Calibri" w:hAnsi="Calibri" w:cs="Calibri"/>
          <w:sz w:val="20"/>
          <w:szCs w:val="20"/>
        </w:rPr>
        <w:t xml:space="preserve"> would also free up time to focus on other key areas, such as improving the employee experience. </w:t>
      </w:r>
      <w:r w:rsidR="00176998">
        <w:rPr>
          <w:rFonts w:ascii="Calibri" w:hAnsi="Calibri" w:cs="Calibri"/>
          <w:sz w:val="20"/>
          <w:szCs w:val="20"/>
        </w:rPr>
        <w:t>W</w:t>
      </w:r>
      <w:r w:rsidRPr="00F75A19">
        <w:rPr>
          <w:rFonts w:ascii="Calibri" w:hAnsi="Calibri" w:cs="Calibri"/>
          <w:sz w:val="20"/>
          <w:szCs w:val="20"/>
        </w:rPr>
        <w:t xml:space="preserve">e can still ensure that the Trust complies with employment regulations without </w:t>
      </w:r>
      <w:r w:rsidR="00016BC5">
        <w:rPr>
          <w:rFonts w:ascii="Calibri" w:hAnsi="Calibri" w:cs="Calibri"/>
          <w:sz w:val="20"/>
          <w:szCs w:val="20"/>
        </w:rPr>
        <w:t>taking away</w:t>
      </w:r>
      <w:r w:rsidRPr="00F75A19">
        <w:rPr>
          <w:rFonts w:ascii="Calibri" w:hAnsi="Calibri" w:cs="Calibri"/>
          <w:sz w:val="20"/>
          <w:szCs w:val="20"/>
        </w:rPr>
        <w:t xml:space="preserve"> from other essential tasks.</w:t>
      </w:r>
      <w:r w:rsidR="002E3F6F" w:rsidRPr="002E3F6F">
        <w:rPr>
          <w:color w:val="000000"/>
          <w:sz w:val="27"/>
          <w:szCs w:val="27"/>
        </w:rPr>
        <w:t xml:space="preserve"> </w:t>
      </w:r>
      <w:r w:rsidR="002E3F6F" w:rsidRPr="002E3F6F">
        <w:rPr>
          <w:rFonts w:ascii="Calibri" w:hAnsi="Calibri" w:cs="Calibri"/>
          <w:color w:val="000000"/>
          <w:sz w:val="20"/>
          <w:szCs w:val="20"/>
        </w:rPr>
        <w:t>(Croner</w:t>
      </w:r>
      <w:r w:rsidR="002E3F6F">
        <w:rPr>
          <w:rFonts w:ascii="Calibri" w:hAnsi="Calibri" w:cs="Calibri"/>
          <w:color w:val="000000"/>
          <w:sz w:val="20"/>
          <w:szCs w:val="20"/>
        </w:rPr>
        <w:t xml:space="preserve">. </w:t>
      </w:r>
      <w:r w:rsidR="002E3F6F" w:rsidRPr="002E3F6F">
        <w:rPr>
          <w:rFonts w:ascii="Calibri" w:hAnsi="Calibri" w:cs="Calibri"/>
          <w:color w:val="000000"/>
          <w:sz w:val="20"/>
          <w:szCs w:val="20"/>
        </w:rPr>
        <w:t>n.d</w:t>
      </w:r>
      <w:r w:rsidR="002E3F6F">
        <w:rPr>
          <w:rFonts w:ascii="Calibri" w:hAnsi="Calibri" w:cs="Calibri"/>
          <w:color w:val="000000"/>
          <w:sz w:val="20"/>
          <w:szCs w:val="20"/>
        </w:rPr>
        <w:t>)</w:t>
      </w:r>
    </w:p>
    <w:p w14:paraId="66A9C0BC" w14:textId="50D7FAB9" w:rsidR="00C14808" w:rsidRPr="00C14808" w:rsidRDefault="00C14808" w:rsidP="00F75A19">
      <w:pPr>
        <w:pStyle w:val="NormalWeb"/>
        <w:rPr>
          <w:rFonts w:ascii="Calibri" w:hAnsi="Calibri" w:cs="Calibri"/>
          <w:color w:val="FF0000"/>
          <w:sz w:val="20"/>
          <w:szCs w:val="20"/>
        </w:rPr>
      </w:pPr>
      <w:r>
        <w:rPr>
          <w:rFonts w:ascii="Calibri" w:hAnsi="Calibri" w:cs="Calibri"/>
          <w:color w:val="FF0000"/>
          <w:sz w:val="20"/>
          <w:szCs w:val="20"/>
        </w:rPr>
        <w:t>W</w:t>
      </w:r>
      <w:r w:rsidRPr="00C14808">
        <w:rPr>
          <w:rFonts w:ascii="Calibri" w:hAnsi="Calibri" w:cs="Calibri"/>
          <w:color w:val="FF0000"/>
          <w:sz w:val="20"/>
          <w:szCs w:val="20"/>
        </w:rPr>
        <w:t>hile the aims of employment law, such as fairness, safety, and equality, are clearly beneficial, they don’t always land perfectly in practice. Sometimes the regulations can feel rigid or time-consuming to manage, especially in busy environments. That said, they’re still crucial in holding employers accountable and making sure staff are treated properly and consistently. So even if the admin side can be a bit of a challenge, the overall purpose of these laws support a fairer and more balanced workplace.</w:t>
      </w:r>
      <w:r w:rsidR="00C96BAB">
        <w:rPr>
          <w:rFonts w:ascii="Calibri" w:hAnsi="Calibri" w:cs="Calibri"/>
          <w:color w:val="FF0000"/>
          <w:sz w:val="20"/>
          <w:szCs w:val="20"/>
        </w:rPr>
        <w:t xml:space="preserve"> (Solo, 2025)</w:t>
      </w:r>
    </w:p>
    <w:p w14:paraId="313770A0" w14:textId="27CB1E22" w:rsidR="00F75A19" w:rsidRDefault="002760A8" w:rsidP="00176998">
      <w:pPr>
        <w:pStyle w:val="NormalWeb"/>
        <w:rPr>
          <w:rFonts w:ascii="Calibri" w:hAnsi="Calibri" w:cs="Calibri"/>
          <w:sz w:val="20"/>
          <w:szCs w:val="20"/>
        </w:rPr>
      </w:pPr>
      <w:r>
        <w:rPr>
          <w:rFonts w:ascii="Calibri" w:hAnsi="Calibri" w:cs="Calibri"/>
          <w:sz w:val="20"/>
          <w:szCs w:val="20"/>
        </w:rPr>
        <w:t>AC1.2</w:t>
      </w:r>
    </w:p>
    <w:p w14:paraId="2D6B2223"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Since the UK left the European Union in 2020, the status of European Court of Justice (ECJ) judgments has changed, but they are not completely disregarded.</w:t>
      </w:r>
    </w:p>
    <w:p w14:paraId="020953FD" w14:textId="6CDCC923"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Under the European Union (Withdrawal) Act 2018, ECJ judgments made before Brexit (on or before 31 December 2020) still have legal effect in the UK. However, these judgments are no longer automatically binding. UK courts can </w:t>
      </w:r>
      <w:r w:rsidRPr="00CE6EF5">
        <w:rPr>
          <w:rFonts w:ascii="Calibri" w:hAnsi="Calibri" w:cs="Calibri"/>
          <w:strike/>
          <w:sz w:val="20"/>
          <w:szCs w:val="20"/>
        </w:rPr>
        <w:t>still</w:t>
      </w:r>
      <w:r w:rsidRPr="00176998">
        <w:rPr>
          <w:rFonts w:ascii="Calibri" w:hAnsi="Calibri" w:cs="Calibri"/>
          <w:sz w:val="20"/>
          <w:szCs w:val="20"/>
        </w:rPr>
        <w:t xml:space="preserve"> refer to them, but they are no longer required to follow them. They are persuasive, meaning UK courts can take them into account when making decisions, but they are not strictly bound by them.</w:t>
      </w:r>
      <w:r w:rsidR="00B86B41">
        <w:rPr>
          <w:rFonts w:ascii="Calibri" w:hAnsi="Calibri" w:cs="Calibri"/>
          <w:sz w:val="20"/>
          <w:szCs w:val="20"/>
        </w:rPr>
        <w:t xml:space="preserve"> </w:t>
      </w:r>
      <w:r w:rsidR="00B86B41" w:rsidRPr="00B86B41">
        <w:rPr>
          <w:rFonts w:ascii="Calibri" w:hAnsi="Calibri" w:cs="Calibri"/>
          <w:sz w:val="20"/>
          <w:szCs w:val="20"/>
        </w:rPr>
        <w:t>(Sovereign, 2018)</w:t>
      </w:r>
    </w:p>
    <w:p w14:paraId="3AE7B806" w14:textId="635173D4"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After Brexit, UK courts can depart from ECJ decisions if they think it's appropriate. For instance, the UK Supreme Court can seek guidance on a case involving EU law, but it doesn’t have to follow the ECJ's decision. The flexibility in how UK courts handle ECJ rulings allows them to adapt the law in a post-Brexit environment.</w:t>
      </w:r>
      <w:r w:rsidR="00B00325" w:rsidRPr="00B00325">
        <w:t xml:space="preserve"> </w:t>
      </w:r>
      <w:r w:rsidR="00B00325" w:rsidRPr="00B00325">
        <w:rPr>
          <w:rFonts w:ascii="Calibri" w:hAnsi="Calibri" w:cs="Calibri"/>
          <w:sz w:val="20"/>
          <w:szCs w:val="20"/>
        </w:rPr>
        <w:t>(de Mars, 2020)</w:t>
      </w:r>
    </w:p>
    <w:p w14:paraId="668B90FA" w14:textId="653C19E9" w:rsidR="00176998" w:rsidRDefault="00016BC5" w:rsidP="00176998">
      <w:pPr>
        <w:pStyle w:val="NormalWeb"/>
        <w:rPr>
          <w:rFonts w:ascii="Calibri" w:hAnsi="Calibri" w:cs="Calibri"/>
          <w:color w:val="000000"/>
          <w:sz w:val="20"/>
          <w:szCs w:val="20"/>
        </w:rPr>
      </w:pPr>
      <w:r>
        <w:rPr>
          <w:rFonts w:ascii="Calibri" w:hAnsi="Calibri" w:cs="Calibri"/>
          <w:sz w:val="20"/>
          <w:szCs w:val="20"/>
        </w:rPr>
        <w:lastRenderedPageBreak/>
        <w:t>W</w:t>
      </w:r>
      <w:r w:rsidR="00176998" w:rsidRPr="00176998">
        <w:rPr>
          <w:rFonts w:ascii="Calibri" w:hAnsi="Calibri" w:cs="Calibri"/>
          <w:sz w:val="20"/>
          <w:szCs w:val="20"/>
        </w:rPr>
        <w:t>hile ECJ rulings made before Brexit still have some influence, they are not binding on UK courts, and UK judges have more discretion in interpreting and applying EU law post-Brexit</w:t>
      </w:r>
      <w:r w:rsidR="00176998" w:rsidRPr="002E3F6F">
        <w:rPr>
          <w:rFonts w:ascii="Calibri" w:hAnsi="Calibri" w:cs="Calibri"/>
          <w:sz w:val="20"/>
          <w:szCs w:val="20"/>
        </w:rPr>
        <w:t>.</w:t>
      </w:r>
      <w:r w:rsidR="002E3F6F" w:rsidRPr="002E3F6F">
        <w:rPr>
          <w:rFonts w:ascii="Calibri" w:hAnsi="Calibri" w:cs="Calibri"/>
          <w:color w:val="000000"/>
          <w:sz w:val="20"/>
          <w:szCs w:val="20"/>
        </w:rPr>
        <w:t xml:space="preserve"> (Law Society)</w:t>
      </w:r>
    </w:p>
    <w:p w14:paraId="531BBFEF" w14:textId="2C1C9893" w:rsidR="00290735" w:rsidRPr="00821FB4" w:rsidRDefault="00290735" w:rsidP="00176998">
      <w:pPr>
        <w:pStyle w:val="NormalWeb"/>
        <w:rPr>
          <w:rFonts w:ascii="Calibri" w:hAnsi="Calibri" w:cs="Calibri"/>
          <w:color w:val="FF0000"/>
          <w:sz w:val="20"/>
          <w:szCs w:val="20"/>
        </w:rPr>
      </w:pPr>
      <w:r>
        <w:rPr>
          <w:rFonts w:ascii="Calibri" w:hAnsi="Calibri" w:cs="Calibri"/>
          <w:color w:val="FF0000"/>
          <w:sz w:val="20"/>
          <w:szCs w:val="20"/>
        </w:rPr>
        <w:t>T</w:t>
      </w:r>
      <w:r w:rsidRPr="00290735">
        <w:rPr>
          <w:rFonts w:ascii="Calibri" w:hAnsi="Calibri" w:cs="Calibri"/>
          <w:color w:val="FF0000"/>
          <w:sz w:val="20"/>
          <w:szCs w:val="20"/>
        </w:rPr>
        <w:t>ribunals and</w:t>
      </w:r>
      <w:r>
        <w:rPr>
          <w:rFonts w:ascii="Calibri" w:hAnsi="Calibri" w:cs="Calibri"/>
          <w:color w:val="FF0000"/>
          <w:sz w:val="20"/>
          <w:szCs w:val="20"/>
        </w:rPr>
        <w:t xml:space="preserve"> </w:t>
      </w:r>
      <w:r w:rsidRPr="00290735">
        <w:rPr>
          <w:rFonts w:ascii="Calibri" w:hAnsi="Calibri" w:cs="Calibri"/>
          <w:color w:val="FF0000"/>
          <w:sz w:val="20"/>
          <w:szCs w:val="20"/>
        </w:rPr>
        <w:t xml:space="preserve">courts have a crucial role in shaping the development of employment law through the principle of precedent. Employment Tribunals must follow the decisions made by higher courts, such as the Employment Appeal Tribunal and the Court of Appeal. This ensures consistency in how employment laws are applied across the UK. </w:t>
      </w:r>
      <w:r>
        <w:rPr>
          <w:rFonts w:ascii="Calibri" w:hAnsi="Calibri" w:cs="Calibri"/>
          <w:color w:val="FF0000"/>
          <w:sz w:val="20"/>
          <w:szCs w:val="20"/>
        </w:rPr>
        <w:t>J</w:t>
      </w:r>
      <w:r w:rsidRPr="00290735">
        <w:rPr>
          <w:rFonts w:ascii="Calibri" w:hAnsi="Calibri" w:cs="Calibri"/>
          <w:color w:val="FF0000"/>
          <w:sz w:val="20"/>
          <w:szCs w:val="20"/>
        </w:rPr>
        <w:t>udicial review is an important mechanism in ensuring that tribunals and courts do not overstep their legal authority when enforcing employment law. If a decision is believed to be unlawful, it can be challenged, ensuring that the decisions made by tribunals are fair</w:t>
      </w:r>
      <w:r w:rsidR="0043720D">
        <w:rPr>
          <w:rFonts w:ascii="Calibri" w:hAnsi="Calibri" w:cs="Calibri"/>
          <w:color w:val="FF0000"/>
          <w:sz w:val="20"/>
          <w:szCs w:val="20"/>
        </w:rPr>
        <w:t>.</w:t>
      </w:r>
      <w:r w:rsidRPr="00290735">
        <w:rPr>
          <w:rFonts w:ascii="Calibri" w:hAnsi="Calibri" w:cs="Calibri"/>
          <w:color w:val="FF0000"/>
          <w:sz w:val="20"/>
          <w:szCs w:val="20"/>
        </w:rPr>
        <w:t xml:space="preserve"> </w:t>
      </w:r>
      <w:r w:rsidR="009713BA" w:rsidRPr="00821FB4">
        <w:rPr>
          <w:rFonts w:ascii="Calibri" w:hAnsi="Calibri" w:cs="Calibri"/>
          <w:color w:val="FF0000"/>
          <w:sz w:val="20"/>
          <w:szCs w:val="20"/>
        </w:rPr>
        <w:t>(HM Courts &amp; Tribunals Service, 2025)</w:t>
      </w:r>
    </w:p>
    <w:p w14:paraId="515F6CA2" w14:textId="50390205" w:rsidR="00176998" w:rsidRPr="005E0F53" w:rsidRDefault="00290735" w:rsidP="00176998">
      <w:pPr>
        <w:pStyle w:val="NormalWeb"/>
        <w:rPr>
          <w:rFonts w:ascii="Calibri" w:hAnsi="Calibri" w:cs="Calibri"/>
          <w:color w:val="FF0000"/>
          <w:sz w:val="20"/>
          <w:szCs w:val="20"/>
        </w:rPr>
      </w:pPr>
      <w:r>
        <w:rPr>
          <w:rFonts w:ascii="Calibri" w:hAnsi="Calibri" w:cs="Calibri"/>
          <w:color w:val="FF0000"/>
          <w:sz w:val="20"/>
          <w:szCs w:val="20"/>
        </w:rPr>
        <w:t>A</w:t>
      </w:r>
      <w:r w:rsidRPr="00290735">
        <w:rPr>
          <w:rFonts w:ascii="Calibri" w:hAnsi="Calibri" w:cs="Calibri"/>
          <w:color w:val="FF0000"/>
          <w:sz w:val="20"/>
          <w:szCs w:val="20"/>
        </w:rPr>
        <w:t>fter Brexit, UK courts now interpret and apply retained EU law, which requires them to consider previous EU rulings. Although UK courts are no longer bound by decisions of the European Court of Justice (ECJ), they may still look to these rulings for guidance, especially in areas like workers rights and equality law. This change in the legal system highlights the evolving role of UK courts in protecting employment rights and adapting to the new legal framework after Brexit.</w:t>
      </w:r>
      <w:r w:rsidR="004255E7">
        <w:rPr>
          <w:rFonts w:ascii="Calibri" w:hAnsi="Calibri" w:cs="Calibri"/>
          <w:color w:val="FF0000"/>
          <w:sz w:val="20"/>
          <w:szCs w:val="20"/>
        </w:rPr>
        <w:t xml:space="preserve"> </w:t>
      </w:r>
      <w:r w:rsidR="004C3CD6">
        <w:rPr>
          <w:rFonts w:ascii="Calibri" w:hAnsi="Calibri" w:cs="Calibri"/>
          <w:color w:val="FF0000"/>
          <w:sz w:val="20"/>
          <w:szCs w:val="20"/>
        </w:rPr>
        <w:t>(CIPD, 2023)</w:t>
      </w:r>
    </w:p>
    <w:p w14:paraId="661C8B70" w14:textId="17DD9588" w:rsidR="00591F6C" w:rsidRDefault="00591F6C">
      <w:pPr>
        <w:rPr>
          <w:rFonts w:ascii="Calibri" w:hAnsi="Calibri" w:cs="Calibri"/>
          <w:sz w:val="20"/>
          <w:szCs w:val="20"/>
        </w:rPr>
      </w:pPr>
      <w:r>
        <w:rPr>
          <w:rFonts w:ascii="Calibri" w:hAnsi="Calibri" w:cs="Calibri"/>
          <w:sz w:val="20"/>
          <w:szCs w:val="20"/>
        </w:rPr>
        <w:t>AC</w:t>
      </w:r>
      <w:r w:rsidR="00F75A19">
        <w:rPr>
          <w:rFonts w:ascii="Calibri" w:hAnsi="Calibri" w:cs="Calibri"/>
          <w:sz w:val="20"/>
          <w:szCs w:val="20"/>
        </w:rPr>
        <w:t>2.</w:t>
      </w:r>
      <w:r w:rsidR="00176998">
        <w:rPr>
          <w:rFonts w:ascii="Calibri" w:hAnsi="Calibri" w:cs="Calibri"/>
          <w:sz w:val="20"/>
          <w:szCs w:val="20"/>
        </w:rPr>
        <w:t>1</w:t>
      </w:r>
    </w:p>
    <w:p w14:paraId="2BE198D1" w14:textId="58879C0F" w:rsidR="00F75A19" w:rsidRPr="004C5C71" w:rsidRDefault="00F75A19" w:rsidP="00F75A19">
      <w:pPr>
        <w:pStyle w:val="NormalWeb"/>
        <w:rPr>
          <w:rFonts w:ascii="Calibri" w:hAnsi="Calibri" w:cs="Calibri"/>
          <w:strike/>
          <w:sz w:val="20"/>
          <w:szCs w:val="20"/>
        </w:rPr>
      </w:pPr>
      <w:r w:rsidRPr="004C5C71">
        <w:rPr>
          <w:rFonts w:ascii="Calibri" w:hAnsi="Calibri" w:cs="Calibri"/>
          <w:strike/>
          <w:sz w:val="20"/>
          <w:szCs w:val="20"/>
        </w:rPr>
        <w:t>When it comes to specifying that a job must be carried out by either a man or a woman, the Equality Act 2010 makes it clear that discrimination on the grounds of sex is generally not allowed in recruitment. This means that, in most cases, employers cannot require a particular gender for a job unless there is a very specific reason.</w:t>
      </w:r>
      <w:r w:rsidR="00790CC6" w:rsidRPr="004C5C71">
        <w:rPr>
          <w:rFonts w:ascii="Calibri" w:hAnsi="Calibri" w:cs="Calibri"/>
          <w:strike/>
          <w:sz w:val="20"/>
          <w:szCs w:val="20"/>
        </w:rPr>
        <w:t xml:space="preserve"> (Government Equalities Office, 2010)</w:t>
      </w:r>
    </w:p>
    <w:p w14:paraId="08B05741" w14:textId="6E0C4C44" w:rsidR="00F75A19" w:rsidRPr="000B45AC" w:rsidRDefault="00F75A19" w:rsidP="00F75A19">
      <w:pPr>
        <w:pStyle w:val="NormalWeb"/>
        <w:rPr>
          <w:rFonts w:ascii="Calibri" w:hAnsi="Calibri" w:cs="Calibri"/>
          <w:strike/>
          <w:sz w:val="20"/>
          <w:szCs w:val="20"/>
        </w:rPr>
      </w:pPr>
      <w:r w:rsidRPr="000B45AC">
        <w:rPr>
          <w:rFonts w:ascii="Calibri" w:hAnsi="Calibri" w:cs="Calibri"/>
          <w:strike/>
          <w:sz w:val="20"/>
          <w:szCs w:val="20"/>
        </w:rPr>
        <w:t>Discrimination law in recruitment</w:t>
      </w:r>
      <w:r w:rsidR="00016BC5" w:rsidRPr="000B45AC">
        <w:rPr>
          <w:rFonts w:ascii="Calibri" w:hAnsi="Calibri" w:cs="Calibri"/>
          <w:strike/>
          <w:sz w:val="20"/>
          <w:szCs w:val="20"/>
        </w:rPr>
        <w:t xml:space="preserve"> </w:t>
      </w:r>
      <w:r w:rsidRPr="000B45AC">
        <w:rPr>
          <w:rFonts w:ascii="Calibri" w:hAnsi="Calibri" w:cs="Calibri"/>
          <w:strike/>
          <w:sz w:val="20"/>
          <w:szCs w:val="20"/>
        </w:rPr>
        <w:t>and employment covers a wide range of protected characteristics, such as race, disability, age, religion, sexual orientation, pregnancy</w:t>
      </w:r>
      <w:r w:rsidR="00A3011C" w:rsidRPr="000B45AC">
        <w:rPr>
          <w:rFonts w:ascii="Calibri" w:hAnsi="Calibri" w:cs="Calibri"/>
          <w:strike/>
          <w:sz w:val="20"/>
          <w:szCs w:val="20"/>
        </w:rPr>
        <w:t xml:space="preserve">, </w:t>
      </w:r>
      <w:r w:rsidRPr="000B45AC">
        <w:rPr>
          <w:rFonts w:ascii="Calibri" w:hAnsi="Calibri" w:cs="Calibri"/>
          <w:strike/>
          <w:sz w:val="20"/>
          <w:szCs w:val="20"/>
        </w:rPr>
        <w:t>maternity, marriage</w:t>
      </w:r>
      <w:r w:rsidR="00A3011C" w:rsidRPr="000B45AC">
        <w:rPr>
          <w:rFonts w:ascii="Calibri" w:hAnsi="Calibri" w:cs="Calibri"/>
          <w:strike/>
          <w:sz w:val="20"/>
          <w:szCs w:val="20"/>
        </w:rPr>
        <w:t>,</w:t>
      </w:r>
      <w:r w:rsidRPr="000B45AC">
        <w:rPr>
          <w:rFonts w:ascii="Calibri" w:hAnsi="Calibri" w:cs="Calibri"/>
          <w:strike/>
          <w:sz w:val="20"/>
          <w:szCs w:val="20"/>
        </w:rPr>
        <w:t xml:space="preserve"> civil partnership and sex. The </w:t>
      </w:r>
      <w:r w:rsidR="00016BC5" w:rsidRPr="000B45AC">
        <w:rPr>
          <w:rFonts w:ascii="Calibri" w:hAnsi="Calibri" w:cs="Calibri"/>
          <w:strike/>
          <w:sz w:val="20"/>
          <w:szCs w:val="20"/>
        </w:rPr>
        <w:t>main point</w:t>
      </w:r>
      <w:r w:rsidRPr="000B45AC">
        <w:rPr>
          <w:rFonts w:ascii="Calibri" w:hAnsi="Calibri" w:cs="Calibri"/>
          <w:strike/>
          <w:sz w:val="20"/>
          <w:szCs w:val="20"/>
        </w:rPr>
        <w:t xml:space="preserve"> of discrimination law is to ensure equality of opportunity for all candidates, regardless of their protected characteristics. Job adverts and recruitment processes should be neutral, and employers should not discriminate against candidates based on sex, race, or disability unless there is a justified, specific reason.</w:t>
      </w:r>
      <w:r w:rsidR="000878FA" w:rsidRPr="000B45AC">
        <w:rPr>
          <w:rFonts w:ascii="Calibri" w:hAnsi="Calibri" w:cs="Calibri"/>
          <w:strike/>
          <w:sz w:val="20"/>
          <w:szCs w:val="20"/>
        </w:rPr>
        <w:t xml:space="preserve"> (GOV.UK, 2025)</w:t>
      </w:r>
    </w:p>
    <w:p w14:paraId="70101D78" w14:textId="5BE403BB" w:rsidR="00F75A19" w:rsidRPr="00F75A19" w:rsidRDefault="00F75A19" w:rsidP="00B34783">
      <w:r w:rsidRPr="00B34783">
        <w:rPr>
          <w:rFonts w:ascii="Calibri" w:hAnsi="Calibri" w:cs="Calibri"/>
          <w:sz w:val="20"/>
          <w:szCs w:val="20"/>
        </w:rPr>
        <w:t xml:space="preserve">Direct discrimination occurs when someone is treated less favourably because of a protected characteristic. </w:t>
      </w:r>
      <w:r w:rsidR="00016BC5" w:rsidRPr="00B34783">
        <w:rPr>
          <w:rFonts w:ascii="Calibri" w:hAnsi="Calibri" w:cs="Calibri"/>
          <w:sz w:val="20"/>
          <w:szCs w:val="20"/>
        </w:rPr>
        <w:t>R</w:t>
      </w:r>
      <w:r w:rsidRPr="00B34783">
        <w:rPr>
          <w:rFonts w:ascii="Calibri" w:hAnsi="Calibri" w:cs="Calibri"/>
          <w:sz w:val="20"/>
          <w:szCs w:val="20"/>
        </w:rPr>
        <w:t xml:space="preserve">efusing to hire someone based on their gender, ethnicity, or disability would </w:t>
      </w:r>
      <w:r w:rsidR="00176998" w:rsidRPr="00B34783">
        <w:rPr>
          <w:rFonts w:ascii="Calibri" w:hAnsi="Calibri" w:cs="Calibri"/>
          <w:sz w:val="20"/>
          <w:szCs w:val="20"/>
        </w:rPr>
        <w:t xml:space="preserve">be </w:t>
      </w:r>
      <w:r w:rsidRPr="00B34783">
        <w:rPr>
          <w:rFonts w:ascii="Calibri" w:hAnsi="Calibri" w:cs="Calibri"/>
          <w:sz w:val="20"/>
          <w:szCs w:val="20"/>
        </w:rPr>
        <w:t xml:space="preserve">direct discrimination. </w:t>
      </w:r>
      <w:r w:rsidR="002E3F6F" w:rsidRPr="00B34783">
        <w:rPr>
          <w:rFonts w:ascii="Calibri" w:hAnsi="Calibri" w:cs="Calibri"/>
          <w:sz w:val="20"/>
          <w:szCs w:val="20"/>
        </w:rPr>
        <w:t>Indirect discrimination</w:t>
      </w:r>
      <w:r w:rsidR="00176998" w:rsidRPr="00B34783">
        <w:rPr>
          <w:rFonts w:ascii="Calibri" w:hAnsi="Calibri" w:cs="Calibri"/>
          <w:sz w:val="20"/>
          <w:szCs w:val="20"/>
        </w:rPr>
        <w:t xml:space="preserve"> is </w:t>
      </w:r>
      <w:r w:rsidRPr="00B34783">
        <w:rPr>
          <w:rFonts w:ascii="Calibri" w:hAnsi="Calibri" w:cs="Calibri"/>
          <w:sz w:val="20"/>
          <w:szCs w:val="20"/>
        </w:rPr>
        <w:t xml:space="preserve">when a policy or practice applies to everyone but disadvantages people with a specific characteristic. </w:t>
      </w:r>
      <w:r w:rsidR="00016BC5" w:rsidRPr="00B34783">
        <w:rPr>
          <w:rFonts w:ascii="Calibri" w:hAnsi="Calibri" w:cs="Calibri"/>
          <w:sz w:val="20"/>
          <w:szCs w:val="20"/>
        </w:rPr>
        <w:t>For</w:t>
      </w:r>
      <w:r w:rsidRPr="00B34783">
        <w:rPr>
          <w:rFonts w:ascii="Calibri" w:hAnsi="Calibri" w:cs="Calibri"/>
          <w:sz w:val="20"/>
          <w:szCs w:val="20"/>
        </w:rPr>
        <w:t xml:space="preserve"> </w:t>
      </w:r>
      <w:r w:rsidR="00016BC5" w:rsidRPr="00B34783">
        <w:rPr>
          <w:rFonts w:ascii="Calibri" w:hAnsi="Calibri" w:cs="Calibri"/>
          <w:sz w:val="20"/>
          <w:szCs w:val="20"/>
        </w:rPr>
        <w:t>example,</w:t>
      </w:r>
      <w:r w:rsidRPr="00B34783">
        <w:rPr>
          <w:rFonts w:ascii="Calibri" w:hAnsi="Calibri" w:cs="Calibri"/>
          <w:sz w:val="20"/>
          <w:szCs w:val="20"/>
        </w:rPr>
        <w:t xml:space="preserve"> this would be a policy requiring all employees to work long hours without flexibility, which could disadvantage women who have childcare responsibilities or people with disabilities.</w:t>
      </w:r>
      <w:r w:rsidR="00B34783" w:rsidRPr="00B34783">
        <w:rPr>
          <w:rFonts w:ascii="Calibri" w:hAnsi="Calibri" w:cs="Calibri"/>
          <w:sz w:val="20"/>
          <w:szCs w:val="20"/>
        </w:rPr>
        <w:t>(Employer Advice. n.d. ACAS)</w:t>
      </w:r>
      <w:r w:rsidR="00B34783" w:rsidRPr="00B34783">
        <w:rPr>
          <w:rStyle w:val="Heading1Char"/>
        </w:rPr>
        <w:t xml:space="preserve"> </w:t>
      </w:r>
    </w:p>
    <w:p w14:paraId="35478206" w14:textId="3FC2AA1C" w:rsidR="00F75A19" w:rsidRPr="00290735" w:rsidRDefault="00F75A19" w:rsidP="00F75A19">
      <w:pPr>
        <w:pStyle w:val="NormalWeb"/>
        <w:rPr>
          <w:rFonts w:ascii="Calibri" w:hAnsi="Calibri" w:cs="Calibri"/>
          <w:strike/>
          <w:sz w:val="20"/>
          <w:szCs w:val="20"/>
        </w:rPr>
      </w:pPr>
      <w:r w:rsidRPr="00290735">
        <w:rPr>
          <w:rFonts w:ascii="Calibri" w:hAnsi="Calibri" w:cs="Calibri"/>
          <w:strike/>
          <w:sz w:val="20"/>
          <w:szCs w:val="20"/>
        </w:rPr>
        <w:t>The law protects individuals from harassment related to any protected characteristic, which includes any unwanted behaviour that creates a degrading environment for the person involved. Victimisation is another important concept under discrimination law, preventing employers from treating someone unfairly because they have made a complaint about discrimination or supported a discrimination complaint made by others.</w:t>
      </w:r>
      <w:r w:rsidR="002E3F6F" w:rsidRPr="00290735">
        <w:rPr>
          <w:rFonts w:ascii="Calibri" w:hAnsi="Calibri" w:cs="Calibri"/>
          <w:strike/>
          <w:sz w:val="20"/>
          <w:szCs w:val="20"/>
        </w:rPr>
        <w:t xml:space="preserve"> (ACAS,2025)</w:t>
      </w:r>
    </w:p>
    <w:p w14:paraId="1353FCB8" w14:textId="717715E5" w:rsidR="00F75A19" w:rsidRPr="00F75A19" w:rsidRDefault="00F75A19" w:rsidP="00F75A19">
      <w:pPr>
        <w:pStyle w:val="NormalWeb"/>
        <w:rPr>
          <w:rFonts w:ascii="Calibri" w:hAnsi="Calibri" w:cs="Calibri"/>
          <w:sz w:val="20"/>
          <w:szCs w:val="20"/>
        </w:rPr>
      </w:pPr>
      <w:r w:rsidRPr="009F1286">
        <w:rPr>
          <w:rFonts w:ascii="Calibri" w:hAnsi="Calibri" w:cs="Calibri"/>
          <w:strike/>
          <w:sz w:val="20"/>
          <w:szCs w:val="20"/>
        </w:rPr>
        <w:t xml:space="preserve">For employees or applicants with disabilities, employers are required to make reasonable adjustments to accommodate their needs. This could involve modifying the work environment or providing appropriate equipment to ensure that a disabled person is not at a disadvantage when applying </w:t>
      </w:r>
      <w:r w:rsidR="00016BC5" w:rsidRPr="009F1286">
        <w:rPr>
          <w:rFonts w:ascii="Calibri" w:hAnsi="Calibri" w:cs="Calibri"/>
          <w:strike/>
          <w:sz w:val="20"/>
          <w:szCs w:val="20"/>
        </w:rPr>
        <w:t>or</w:t>
      </w:r>
      <w:r w:rsidRPr="009F1286">
        <w:rPr>
          <w:rFonts w:ascii="Calibri" w:hAnsi="Calibri" w:cs="Calibri"/>
          <w:strike/>
          <w:sz w:val="20"/>
          <w:szCs w:val="20"/>
        </w:rPr>
        <w:t xml:space="preserve"> carrying out the job</w:t>
      </w:r>
      <w:r w:rsidRPr="00F75A19">
        <w:rPr>
          <w:rFonts w:ascii="Calibri" w:hAnsi="Calibri" w:cs="Calibri"/>
          <w:sz w:val="20"/>
          <w:szCs w:val="20"/>
        </w:rPr>
        <w:t>.</w:t>
      </w:r>
    </w:p>
    <w:p w14:paraId="26FB6FDE" w14:textId="7D814CE8" w:rsidR="00F75A19" w:rsidRPr="00BD2A08" w:rsidRDefault="00F75A19" w:rsidP="00F75A19">
      <w:pPr>
        <w:pStyle w:val="NormalWeb"/>
        <w:rPr>
          <w:rFonts w:ascii="Calibri" w:hAnsi="Calibri" w:cs="Calibri"/>
          <w:color w:val="000000"/>
          <w:sz w:val="20"/>
          <w:szCs w:val="20"/>
        </w:rPr>
      </w:pPr>
      <w:bookmarkStart w:id="0" w:name="_Hlk198543806"/>
      <w:r w:rsidRPr="00BD2A08">
        <w:rPr>
          <w:rFonts w:ascii="Calibri" w:hAnsi="Calibri" w:cs="Calibri"/>
          <w:sz w:val="20"/>
          <w:szCs w:val="20"/>
        </w:rPr>
        <w:t xml:space="preserve">There are exceptions, particularly </w:t>
      </w:r>
      <w:r w:rsidR="00016BC5" w:rsidRPr="00BD2A08">
        <w:rPr>
          <w:rFonts w:ascii="Calibri" w:hAnsi="Calibri" w:cs="Calibri"/>
          <w:sz w:val="20"/>
          <w:szCs w:val="20"/>
        </w:rPr>
        <w:t>about</w:t>
      </w:r>
      <w:r w:rsidRPr="00BD2A08">
        <w:rPr>
          <w:rFonts w:ascii="Calibri" w:hAnsi="Calibri" w:cs="Calibri"/>
          <w:sz w:val="20"/>
          <w:szCs w:val="20"/>
        </w:rPr>
        <w:t xml:space="preserve"> the "genuine occupational requirement" (GOR). A GOR allows a specific characteristic, such as sex, to be required for a job if it is directly related to the nature of the work.  </w:t>
      </w:r>
      <w:r w:rsidR="00016BC5" w:rsidRPr="00BD2A08">
        <w:rPr>
          <w:rFonts w:ascii="Calibri" w:hAnsi="Calibri" w:cs="Calibri"/>
          <w:sz w:val="20"/>
          <w:szCs w:val="20"/>
        </w:rPr>
        <w:t>C</w:t>
      </w:r>
      <w:r w:rsidRPr="00BD2A08">
        <w:rPr>
          <w:rFonts w:ascii="Calibri" w:hAnsi="Calibri" w:cs="Calibri"/>
          <w:sz w:val="20"/>
          <w:szCs w:val="20"/>
        </w:rPr>
        <w:t>ertain roles may require a particular gende</w:t>
      </w:r>
      <w:r w:rsidR="00176998" w:rsidRPr="00BD2A08">
        <w:rPr>
          <w:rFonts w:ascii="Calibri" w:hAnsi="Calibri" w:cs="Calibri"/>
          <w:sz w:val="20"/>
          <w:szCs w:val="20"/>
        </w:rPr>
        <w:t>r. I</w:t>
      </w:r>
      <w:r w:rsidRPr="00BD2A08">
        <w:rPr>
          <w:rFonts w:ascii="Calibri" w:hAnsi="Calibri" w:cs="Calibri"/>
          <w:sz w:val="20"/>
          <w:szCs w:val="20"/>
        </w:rPr>
        <w:t xml:space="preserve">t may be necessary for the staff to be </w:t>
      </w:r>
      <w:r w:rsidR="00016BC5" w:rsidRPr="00BD2A08">
        <w:rPr>
          <w:rFonts w:ascii="Calibri" w:hAnsi="Calibri" w:cs="Calibri"/>
          <w:sz w:val="20"/>
          <w:szCs w:val="20"/>
        </w:rPr>
        <w:t>male or female</w:t>
      </w:r>
      <w:r w:rsidRPr="00BD2A08">
        <w:rPr>
          <w:rFonts w:ascii="Calibri" w:hAnsi="Calibri" w:cs="Calibri"/>
          <w:sz w:val="20"/>
          <w:szCs w:val="20"/>
        </w:rPr>
        <w:t xml:space="preserve"> </w:t>
      </w:r>
      <w:r w:rsidR="00016BC5" w:rsidRPr="00BD2A08">
        <w:rPr>
          <w:rFonts w:ascii="Calibri" w:hAnsi="Calibri" w:cs="Calibri"/>
          <w:sz w:val="20"/>
          <w:szCs w:val="20"/>
        </w:rPr>
        <w:t>to</w:t>
      </w:r>
      <w:r w:rsidRPr="00BD2A08">
        <w:rPr>
          <w:rFonts w:ascii="Calibri" w:hAnsi="Calibri" w:cs="Calibri"/>
          <w:sz w:val="20"/>
          <w:szCs w:val="20"/>
        </w:rPr>
        <w:t xml:space="preserve"> ensure the safety and comfort of clients. However, outside of these specific situations, gender should not be specified in job adverts or recruitment processes. If such a reason does not exist, requiring a certain gender could lead to claims of discrimination.</w:t>
      </w:r>
      <w:r w:rsidR="002E3F6F" w:rsidRPr="00BD2A08">
        <w:rPr>
          <w:rFonts w:ascii="Calibri" w:hAnsi="Calibri" w:cs="Calibri"/>
          <w:color w:val="000000"/>
          <w:sz w:val="20"/>
          <w:szCs w:val="20"/>
        </w:rPr>
        <w:t xml:space="preserve"> (GOV.UK)</w:t>
      </w:r>
    </w:p>
    <w:bookmarkEnd w:id="0"/>
    <w:p w14:paraId="5C01F04B" w14:textId="1F177B5A" w:rsidR="00DA7513" w:rsidRPr="00010433" w:rsidRDefault="00437FBC" w:rsidP="00DA7513">
      <w:pPr>
        <w:spacing w:before="100" w:beforeAutospacing="1" w:after="100" w:afterAutospacing="1" w:line="240" w:lineRule="auto"/>
        <w:rPr>
          <w:rFonts w:ascii="Calibri" w:eastAsia="Times New Roman" w:hAnsi="Calibri" w:cs="Calibri"/>
          <w:strike/>
          <w:sz w:val="20"/>
          <w:szCs w:val="20"/>
          <w:lang w:eastAsia="en-GB"/>
        </w:rPr>
      </w:pPr>
      <w:r w:rsidRPr="00010433">
        <w:rPr>
          <w:rFonts w:ascii="Calibri" w:eastAsia="Times New Roman" w:hAnsi="Calibri" w:cs="Calibri"/>
          <w:strike/>
          <w:sz w:val="20"/>
          <w:szCs w:val="20"/>
          <w:lang w:eastAsia="en-GB"/>
        </w:rPr>
        <w:lastRenderedPageBreak/>
        <w:t>D</w:t>
      </w:r>
      <w:r w:rsidR="00DA7513" w:rsidRPr="00010433">
        <w:rPr>
          <w:rFonts w:ascii="Calibri" w:eastAsia="Times New Roman" w:hAnsi="Calibri" w:cs="Calibri"/>
          <w:strike/>
          <w:sz w:val="20"/>
          <w:szCs w:val="20"/>
          <w:lang w:eastAsia="en-GB"/>
        </w:rPr>
        <w:t>iscrimination law in recruitment and employment also places a strong emphasis on employer duty of care. Employers must ensure their recruitment processes and work environments are free from discrimination and bias. This means actively ensuring that job adverts, selection criteria, and recruitment practices are inclusive and do not unfairly disadvantage certain groups.</w:t>
      </w:r>
      <w:r w:rsidR="00E55021" w:rsidRPr="00010433">
        <w:rPr>
          <w:rFonts w:ascii="Calibri" w:eastAsia="Times New Roman" w:hAnsi="Calibri" w:cs="Calibri"/>
          <w:strike/>
          <w:sz w:val="20"/>
          <w:szCs w:val="20"/>
          <w:lang w:eastAsia="en-GB"/>
        </w:rPr>
        <w:t xml:space="preserve"> (ACAS, 2025)</w:t>
      </w:r>
    </w:p>
    <w:p w14:paraId="516C55D8" w14:textId="30A896EB" w:rsidR="00DA7513" w:rsidRPr="00010433" w:rsidRDefault="00DA7513" w:rsidP="00DA7513">
      <w:pPr>
        <w:spacing w:before="100" w:beforeAutospacing="1" w:after="100" w:afterAutospacing="1" w:line="240" w:lineRule="auto"/>
        <w:rPr>
          <w:rFonts w:ascii="Calibri" w:eastAsia="Times New Roman" w:hAnsi="Calibri" w:cs="Calibri"/>
          <w:strike/>
          <w:sz w:val="20"/>
          <w:szCs w:val="20"/>
          <w:lang w:eastAsia="en-GB"/>
        </w:rPr>
      </w:pPr>
      <w:r w:rsidRPr="00010433">
        <w:rPr>
          <w:rFonts w:ascii="Calibri" w:eastAsia="Times New Roman" w:hAnsi="Calibri" w:cs="Calibri"/>
          <w:strike/>
          <w:sz w:val="20"/>
          <w:szCs w:val="20"/>
          <w:lang w:eastAsia="en-GB"/>
        </w:rPr>
        <w:t>Employees rights are central to discrimination law. Under the Equality Act 2010, employees have the right to bring claims if they believe they have been discriminated against during recruitment, selection, or employment. Employers should be aware of these rights and ensure their practices align with the law to avoid potential legal consequences.</w:t>
      </w:r>
      <w:r w:rsidR="00D95739" w:rsidRPr="00010433">
        <w:rPr>
          <w:rFonts w:ascii="Calibri" w:eastAsia="Times New Roman" w:hAnsi="Calibri" w:cs="Calibri"/>
          <w:strike/>
          <w:sz w:val="20"/>
          <w:szCs w:val="20"/>
          <w:lang w:eastAsia="en-GB"/>
        </w:rPr>
        <w:t xml:space="preserve"> (Citizens advice, 2025)</w:t>
      </w:r>
    </w:p>
    <w:p w14:paraId="44262F30" w14:textId="0521241B" w:rsidR="00DA7513" w:rsidRPr="00010433" w:rsidRDefault="00DA7513" w:rsidP="00DA7513">
      <w:pPr>
        <w:spacing w:before="100" w:beforeAutospacing="1" w:after="100" w:afterAutospacing="1" w:line="240" w:lineRule="auto"/>
        <w:rPr>
          <w:rFonts w:ascii="Calibri" w:eastAsia="Times New Roman" w:hAnsi="Calibri" w:cs="Calibri"/>
          <w:strike/>
          <w:sz w:val="20"/>
          <w:szCs w:val="20"/>
          <w:lang w:eastAsia="en-GB"/>
        </w:rPr>
      </w:pPr>
      <w:r w:rsidRPr="00010433">
        <w:rPr>
          <w:rFonts w:ascii="Calibri" w:eastAsia="Times New Roman" w:hAnsi="Calibri" w:cs="Calibri"/>
          <w:strike/>
          <w:sz w:val="20"/>
          <w:szCs w:val="20"/>
          <w:lang w:eastAsia="en-GB"/>
        </w:rPr>
        <w:t>Transparency and inclusivity in recruitment practices are critical. Employers should regularly review and update their recruitment and selection processes to ensure that they are fair and inclusive, providing equal opportunities for all candidates. By promoting a culture of inclusivity, employers not only comply with the law but also create a diverse and supportive workplace.</w:t>
      </w:r>
      <w:r w:rsidR="00E34186" w:rsidRPr="00010433">
        <w:rPr>
          <w:rFonts w:ascii="Calibri" w:eastAsia="Times New Roman" w:hAnsi="Calibri" w:cs="Calibri"/>
          <w:strike/>
          <w:sz w:val="20"/>
          <w:szCs w:val="20"/>
          <w:lang w:eastAsia="en-GB"/>
        </w:rPr>
        <w:t xml:space="preserve"> (Citizens advice, 2025)</w:t>
      </w:r>
    </w:p>
    <w:p w14:paraId="12CF3090" w14:textId="1BC94DF9" w:rsidR="00DA7513" w:rsidRDefault="00437FBC" w:rsidP="00F75A19">
      <w:pPr>
        <w:pStyle w:val="NormalWeb"/>
        <w:rPr>
          <w:rFonts w:ascii="Calibri" w:hAnsi="Calibri" w:cs="Calibri"/>
          <w:color w:val="FF0000"/>
          <w:sz w:val="20"/>
          <w:szCs w:val="20"/>
        </w:rPr>
      </w:pPr>
      <w:r w:rsidRPr="00437FBC">
        <w:rPr>
          <w:rFonts w:ascii="Calibri" w:hAnsi="Calibri" w:cs="Calibri"/>
          <w:color w:val="FF0000"/>
          <w:sz w:val="20"/>
          <w:szCs w:val="20"/>
        </w:rPr>
        <w:t xml:space="preserve">However, it is important to emphasize that specifying a gender for a job is only lawful if it meets the conditions of a </w:t>
      </w:r>
      <w:r w:rsidRPr="005E0F53">
        <w:rPr>
          <w:rStyle w:val="Strong"/>
          <w:rFonts w:ascii="Calibri" w:eastAsiaTheme="majorEastAsia" w:hAnsi="Calibri" w:cs="Calibri"/>
          <w:b w:val="0"/>
          <w:bCs w:val="0"/>
          <w:color w:val="FF0000"/>
          <w:sz w:val="20"/>
          <w:szCs w:val="20"/>
        </w:rPr>
        <w:t>Genuine Occupational Requirement (GOR</w:t>
      </w:r>
      <w:r w:rsidRPr="00437FBC">
        <w:rPr>
          <w:rStyle w:val="Strong"/>
          <w:rFonts w:ascii="Calibri" w:eastAsiaTheme="majorEastAsia" w:hAnsi="Calibri" w:cs="Calibri"/>
          <w:color w:val="FF0000"/>
          <w:sz w:val="20"/>
          <w:szCs w:val="20"/>
        </w:rPr>
        <w:t>)</w:t>
      </w:r>
      <w:r w:rsidRPr="00437FBC">
        <w:rPr>
          <w:rFonts w:ascii="Calibri" w:hAnsi="Calibri" w:cs="Calibri"/>
          <w:color w:val="FF0000"/>
          <w:sz w:val="20"/>
          <w:szCs w:val="20"/>
        </w:rPr>
        <w:t>. For example, a role requiring intimate personal care or the ability to meet the privacy and dignity needs of a specific gender may allow for this, but outside of these specific situations, it could lead to discrimination claims. Therefore, gender should not be stipulated unless absolutely necessary and directly related to the nature of the job.</w:t>
      </w:r>
      <w:r w:rsidR="00531165">
        <w:rPr>
          <w:rFonts w:ascii="Calibri" w:hAnsi="Calibri" w:cs="Calibri"/>
          <w:color w:val="FF0000"/>
          <w:sz w:val="20"/>
          <w:szCs w:val="20"/>
        </w:rPr>
        <w:t xml:space="preserve"> (HRZone, </w:t>
      </w:r>
      <w:r w:rsidR="00F57B9D">
        <w:rPr>
          <w:rFonts w:ascii="Calibri" w:hAnsi="Calibri" w:cs="Calibri"/>
          <w:color w:val="FF0000"/>
          <w:sz w:val="20"/>
          <w:szCs w:val="20"/>
        </w:rPr>
        <w:t>2025)</w:t>
      </w:r>
    </w:p>
    <w:p w14:paraId="14E131D1" w14:textId="212AACF7" w:rsidR="00217177" w:rsidRPr="00CE0F54" w:rsidRDefault="00217177" w:rsidP="00217177">
      <w:pPr>
        <w:pStyle w:val="NormalWeb"/>
        <w:rPr>
          <w:rFonts w:ascii="Calibri" w:hAnsi="Calibri" w:cs="Calibri"/>
          <w:color w:val="FF0000"/>
          <w:sz w:val="20"/>
          <w:szCs w:val="20"/>
        </w:rPr>
      </w:pPr>
      <w:r w:rsidRPr="00CE0F54">
        <w:rPr>
          <w:rStyle w:val="Strong"/>
          <w:rFonts w:ascii="Calibri" w:eastAsiaTheme="majorEastAsia" w:hAnsi="Calibri" w:cs="Calibri"/>
          <w:b w:val="0"/>
          <w:bCs w:val="0"/>
          <w:color w:val="FF0000"/>
          <w:sz w:val="20"/>
          <w:szCs w:val="20"/>
        </w:rPr>
        <w:t>Occupational requirements</w:t>
      </w:r>
      <w:r w:rsidRPr="00CE0F54">
        <w:rPr>
          <w:rFonts w:ascii="Calibri" w:hAnsi="Calibri" w:cs="Calibri"/>
          <w:color w:val="FF0000"/>
          <w:sz w:val="20"/>
          <w:szCs w:val="20"/>
        </w:rPr>
        <w:t xml:space="preserve"> refer to instances where it is necessary for a particular role to be filled by someone possessing a specific protected characteristic, due to the nature of the job. This may include roles that demand a certain level of physical strength, or positions where it is appropriate for the individual to be of a particular sex—such as in personal care settings where privacy and dignity must be preserved</w:t>
      </w:r>
      <w:r w:rsidR="008A76F1" w:rsidRPr="00CE0F54">
        <w:rPr>
          <w:rFonts w:ascii="Calibri" w:hAnsi="Calibri" w:cs="Calibri"/>
          <w:color w:val="FF0000"/>
          <w:sz w:val="20"/>
          <w:szCs w:val="20"/>
        </w:rPr>
        <w:t xml:space="preserve"> </w:t>
      </w:r>
      <w:r w:rsidR="00CE0F54" w:rsidRPr="00CE0F54">
        <w:rPr>
          <w:rFonts w:ascii="Calibri" w:hAnsi="Calibri" w:cs="Calibri"/>
          <w:color w:val="FF0000"/>
          <w:sz w:val="20"/>
          <w:szCs w:val="20"/>
        </w:rPr>
        <w:t>in</w:t>
      </w:r>
      <w:r w:rsidR="008A76F1" w:rsidRPr="00CE0F54">
        <w:rPr>
          <w:rFonts w:ascii="Calibri" w:hAnsi="Calibri" w:cs="Calibri"/>
          <w:color w:val="FF0000"/>
          <w:sz w:val="20"/>
          <w:szCs w:val="20"/>
        </w:rPr>
        <w:t xml:space="preserve"> these cases </w:t>
      </w:r>
      <w:r w:rsidR="0071345E" w:rsidRPr="00CE0F54">
        <w:rPr>
          <w:rFonts w:ascii="Calibri" w:hAnsi="Calibri" w:cs="Calibri"/>
          <w:color w:val="FF0000"/>
          <w:sz w:val="20"/>
          <w:szCs w:val="20"/>
        </w:rPr>
        <w:t>a job advert can be made to request a male or female</w:t>
      </w:r>
      <w:r w:rsidRPr="00CE0F54">
        <w:rPr>
          <w:rFonts w:ascii="Calibri" w:hAnsi="Calibri" w:cs="Calibri"/>
          <w:color w:val="FF0000"/>
          <w:sz w:val="20"/>
          <w:szCs w:val="20"/>
        </w:rPr>
        <w:t>. In some cases, religious considerations or cultural norms may justify such requirements. For example, roles involving work in foreign countries may be subject to local laws or customs that restrict certain duties based on gender. Similarly, a role in an environment like a pub may not be suitable for someone whose religious beliefs prohibit interaction with alcohol. These exceptions must meet strict legal criteria and be objectively justified as essential to the role, in compliance with equality legislation.</w:t>
      </w:r>
    </w:p>
    <w:p w14:paraId="1E40E37D" w14:textId="1131EAFC" w:rsidR="00217177" w:rsidRPr="00CE0F54" w:rsidRDefault="00217177" w:rsidP="00217177">
      <w:pPr>
        <w:pStyle w:val="NormalWeb"/>
        <w:rPr>
          <w:rFonts w:ascii="Calibri" w:hAnsi="Calibri" w:cs="Calibri"/>
          <w:color w:val="FF0000"/>
          <w:sz w:val="20"/>
          <w:szCs w:val="20"/>
        </w:rPr>
      </w:pPr>
      <w:r w:rsidRPr="00CE0F54">
        <w:rPr>
          <w:rFonts w:ascii="Calibri" w:hAnsi="Calibri" w:cs="Calibri"/>
          <w:color w:val="FF0000"/>
          <w:sz w:val="20"/>
          <w:szCs w:val="20"/>
        </w:rPr>
        <w:t xml:space="preserve">When considering occupational requirements, it is vital to align with the main principles of discrimination law, particularly under the Equality Act 2010. This legislation prohibits unfair treatment based on protected characteristics such as age, sex, race, religion, or disability. However, it allows for a </w:t>
      </w:r>
      <w:r w:rsidRPr="00064E76">
        <w:rPr>
          <w:rStyle w:val="Emphasis"/>
          <w:rFonts w:ascii="Calibri" w:eastAsiaTheme="majorEastAsia" w:hAnsi="Calibri" w:cs="Calibri"/>
          <w:i w:val="0"/>
          <w:iCs w:val="0"/>
          <w:color w:val="FF0000"/>
          <w:sz w:val="20"/>
          <w:szCs w:val="20"/>
        </w:rPr>
        <w:t>genuine occupational requirement</w:t>
      </w:r>
      <w:r w:rsidRPr="00064E76">
        <w:rPr>
          <w:rFonts w:ascii="Calibri" w:hAnsi="Calibri" w:cs="Calibri"/>
          <w:i/>
          <w:iCs/>
          <w:color w:val="FF0000"/>
          <w:sz w:val="20"/>
          <w:szCs w:val="20"/>
        </w:rPr>
        <w:t xml:space="preserve"> </w:t>
      </w:r>
      <w:r w:rsidRPr="00064E76">
        <w:rPr>
          <w:rFonts w:ascii="Calibri" w:hAnsi="Calibri" w:cs="Calibri"/>
          <w:color w:val="FF0000"/>
          <w:sz w:val="20"/>
          <w:szCs w:val="20"/>
        </w:rPr>
        <w:t>(GOR)</w:t>
      </w:r>
      <w:r w:rsidRPr="00CE0F54">
        <w:rPr>
          <w:rFonts w:ascii="Calibri" w:hAnsi="Calibri" w:cs="Calibri"/>
          <w:color w:val="FF0000"/>
          <w:sz w:val="20"/>
          <w:szCs w:val="20"/>
        </w:rPr>
        <w:t xml:space="preserve"> if it can be clearly demonstrated that a specific characteristic is essential for the job. For example, recruiting a female carer for a women's shelter can be lawful if it is necessary to meet the residents</w:t>
      </w:r>
      <w:r w:rsidR="00064E76">
        <w:rPr>
          <w:rFonts w:ascii="Calibri" w:hAnsi="Calibri" w:cs="Calibri"/>
          <w:color w:val="FF0000"/>
          <w:sz w:val="20"/>
          <w:szCs w:val="20"/>
        </w:rPr>
        <w:t xml:space="preserve"> </w:t>
      </w:r>
      <w:r w:rsidRPr="00CE0F54">
        <w:rPr>
          <w:rFonts w:ascii="Calibri" w:hAnsi="Calibri" w:cs="Calibri"/>
          <w:color w:val="FF0000"/>
          <w:sz w:val="20"/>
          <w:szCs w:val="20"/>
        </w:rPr>
        <w:t>privacy and wellbeing needs. Recruitment and selection processes should always remain fair, transparent, and inclusive unless a legitimate occupational requirement can be evidenced.</w:t>
      </w:r>
      <w:r w:rsidR="00B6771A" w:rsidRPr="00CE0F54">
        <w:rPr>
          <w:rFonts w:ascii="Calibri" w:hAnsi="Calibri" w:cs="Calibri"/>
          <w:color w:val="FF0000"/>
          <w:sz w:val="20"/>
          <w:szCs w:val="20"/>
        </w:rPr>
        <w:t xml:space="preserve"> (Daniels, 2022)</w:t>
      </w:r>
    </w:p>
    <w:p w14:paraId="7069A10B" w14:textId="77777777" w:rsidR="008325C6" w:rsidRPr="00437FBC" w:rsidRDefault="008325C6" w:rsidP="00F75A19">
      <w:pPr>
        <w:pStyle w:val="NormalWeb"/>
        <w:rPr>
          <w:rFonts w:ascii="Calibri" w:hAnsi="Calibri" w:cs="Calibri"/>
          <w:color w:val="FF0000"/>
          <w:sz w:val="20"/>
          <w:szCs w:val="20"/>
        </w:rPr>
      </w:pPr>
    </w:p>
    <w:p w14:paraId="30502DB8" w14:textId="0987C883" w:rsidR="00176998" w:rsidRDefault="00176998" w:rsidP="00997DC1">
      <w:pPr>
        <w:pStyle w:val="NormalWeb"/>
        <w:rPr>
          <w:rFonts w:ascii="Calibri" w:hAnsi="Calibri" w:cs="Calibri"/>
          <w:sz w:val="20"/>
          <w:szCs w:val="20"/>
        </w:rPr>
      </w:pPr>
      <w:r>
        <w:rPr>
          <w:rFonts w:ascii="Calibri" w:hAnsi="Calibri" w:cs="Calibri"/>
          <w:sz w:val="20"/>
          <w:szCs w:val="20"/>
        </w:rPr>
        <w:t>AC 2.2</w:t>
      </w:r>
    </w:p>
    <w:p w14:paraId="755BFCFB" w14:textId="0D33CF66"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w:t>
      </w:r>
      <w:r>
        <w:rPr>
          <w:rFonts w:ascii="Calibri" w:hAnsi="Calibri" w:cs="Calibri"/>
          <w:sz w:val="20"/>
          <w:szCs w:val="20"/>
        </w:rPr>
        <w:t xml:space="preserve">Equality </w:t>
      </w:r>
      <w:r w:rsidRPr="00176998">
        <w:rPr>
          <w:rFonts w:ascii="Calibri" w:hAnsi="Calibri" w:cs="Calibri"/>
          <w:sz w:val="20"/>
          <w:szCs w:val="20"/>
        </w:rPr>
        <w:t>Act</w:t>
      </w:r>
      <w:r>
        <w:rPr>
          <w:rFonts w:ascii="Calibri" w:hAnsi="Calibri" w:cs="Calibri"/>
          <w:sz w:val="20"/>
          <w:szCs w:val="20"/>
        </w:rPr>
        <w:t xml:space="preserve"> 2010</w:t>
      </w:r>
      <w:r w:rsidRPr="00176998">
        <w:rPr>
          <w:rFonts w:ascii="Calibri" w:hAnsi="Calibri" w:cs="Calibri"/>
          <w:sz w:val="20"/>
          <w:szCs w:val="20"/>
        </w:rPr>
        <w:t xml:space="preserve"> makes it clear that men and women should get equal pay for doing the same job or work of equal value. It makes sure that everyone is paid fairly for their work, no matter their gender, and stops any pay discrimination between people doing similar work.</w:t>
      </w:r>
    </w:p>
    <w:p w14:paraId="65053260" w14:textId="4309D1F7" w:rsidR="00176998" w:rsidRPr="00B34783" w:rsidRDefault="00176998" w:rsidP="00176998">
      <w:pPr>
        <w:pStyle w:val="NormalWeb"/>
        <w:rPr>
          <w:rFonts w:ascii="Calibri" w:hAnsi="Calibri" w:cs="Calibri"/>
          <w:sz w:val="20"/>
          <w:szCs w:val="20"/>
        </w:rPr>
      </w:pPr>
      <w:r w:rsidRPr="00176998">
        <w:rPr>
          <w:rFonts w:ascii="Calibri" w:hAnsi="Calibri" w:cs="Calibri"/>
          <w:sz w:val="20"/>
          <w:szCs w:val="20"/>
        </w:rPr>
        <w:t xml:space="preserve">In this case, even though the two people being considered for a pay upgrade are men, it’s important to point out that 80% of the Healthcare Assistants (HCAs) in the Trust are women. So, if these two men get moved to a higher grade without clear reasons, it could cause </w:t>
      </w:r>
      <w:r w:rsidR="00705C60">
        <w:rPr>
          <w:rFonts w:ascii="Calibri" w:hAnsi="Calibri" w:cs="Calibri"/>
          <w:sz w:val="20"/>
          <w:szCs w:val="20"/>
        </w:rPr>
        <w:t>a potential to look</w:t>
      </w:r>
      <w:r w:rsidRPr="00176998">
        <w:rPr>
          <w:rFonts w:ascii="Calibri" w:hAnsi="Calibri" w:cs="Calibri"/>
          <w:sz w:val="20"/>
          <w:szCs w:val="20"/>
        </w:rPr>
        <w:t xml:space="preserve"> unfair. The Trust needs to make sure that any decisions about these </w:t>
      </w:r>
      <w:r w:rsidR="00705C60">
        <w:rPr>
          <w:rFonts w:ascii="Calibri" w:hAnsi="Calibri" w:cs="Calibri"/>
          <w:sz w:val="20"/>
          <w:szCs w:val="20"/>
        </w:rPr>
        <w:t>promotions</w:t>
      </w:r>
      <w:r w:rsidRPr="00176998">
        <w:rPr>
          <w:rFonts w:ascii="Calibri" w:hAnsi="Calibri" w:cs="Calibri"/>
          <w:sz w:val="20"/>
          <w:szCs w:val="20"/>
        </w:rPr>
        <w:t xml:space="preserve"> are based on clear, </w:t>
      </w:r>
      <w:r w:rsidR="00705C60" w:rsidRPr="00176998">
        <w:rPr>
          <w:rFonts w:ascii="Calibri" w:hAnsi="Calibri" w:cs="Calibri"/>
          <w:sz w:val="20"/>
          <w:szCs w:val="20"/>
        </w:rPr>
        <w:t>job</w:t>
      </w:r>
      <w:r w:rsidR="00705C60">
        <w:rPr>
          <w:rFonts w:ascii="Calibri" w:hAnsi="Calibri" w:cs="Calibri"/>
          <w:sz w:val="20"/>
          <w:szCs w:val="20"/>
        </w:rPr>
        <w:t>-related</w:t>
      </w:r>
      <w:r w:rsidRPr="00176998">
        <w:rPr>
          <w:rFonts w:ascii="Calibri" w:hAnsi="Calibri" w:cs="Calibri"/>
          <w:sz w:val="20"/>
          <w:szCs w:val="20"/>
        </w:rPr>
        <w:t xml:space="preserve"> reasons like their skills and performance, not ge</w:t>
      </w:r>
      <w:r w:rsidRPr="002E3F6F">
        <w:rPr>
          <w:rFonts w:ascii="Calibri" w:hAnsi="Calibri" w:cs="Calibri"/>
          <w:sz w:val="20"/>
          <w:szCs w:val="20"/>
        </w:rPr>
        <w:t>nder.</w:t>
      </w:r>
      <w:r w:rsidR="002E3F6F" w:rsidRPr="002E3F6F">
        <w:rPr>
          <w:rFonts w:ascii="Calibri" w:hAnsi="Calibri" w:cs="Calibri"/>
          <w:sz w:val="20"/>
          <w:szCs w:val="20"/>
        </w:rPr>
        <w:t xml:space="preserve"> </w:t>
      </w:r>
      <w:r w:rsidR="00B34783">
        <w:rPr>
          <w:rStyle w:val="Strong"/>
          <w:rFonts w:ascii="Calibri" w:eastAsiaTheme="majorEastAsia" w:hAnsi="Calibri" w:cs="Calibri"/>
          <w:b w:val="0"/>
          <w:bCs w:val="0"/>
          <w:sz w:val="20"/>
          <w:szCs w:val="20"/>
        </w:rPr>
        <w:t>(CIPD</w:t>
      </w:r>
      <w:r w:rsidR="00B34783">
        <w:rPr>
          <w:rFonts w:ascii="Calibri" w:hAnsi="Calibri" w:cs="Calibri"/>
          <w:sz w:val="20"/>
          <w:szCs w:val="20"/>
        </w:rPr>
        <w:t xml:space="preserve">, </w:t>
      </w:r>
      <w:r w:rsidR="00B34783" w:rsidRPr="00B34783">
        <w:rPr>
          <w:rFonts w:ascii="Calibri" w:hAnsi="Calibri" w:cs="Calibri"/>
          <w:sz w:val="20"/>
          <w:szCs w:val="20"/>
        </w:rPr>
        <w:t xml:space="preserve">n.d. </w:t>
      </w:r>
      <w:r w:rsidR="00B34783">
        <w:rPr>
          <w:rStyle w:val="Emphasis"/>
          <w:rFonts w:ascii="Calibri" w:eastAsiaTheme="majorEastAsia" w:hAnsi="Calibri" w:cs="Calibri"/>
          <w:i w:val="0"/>
          <w:iCs w:val="0"/>
          <w:sz w:val="20"/>
          <w:szCs w:val="20"/>
        </w:rPr>
        <w:t>Diversity factsheet)</w:t>
      </w:r>
    </w:p>
    <w:p w14:paraId="136A7D32" w14:textId="71FDDF0C" w:rsidR="00176998" w:rsidRPr="00D376A5" w:rsidRDefault="00176998" w:rsidP="00176998">
      <w:pPr>
        <w:pStyle w:val="NormalWeb"/>
        <w:rPr>
          <w:rFonts w:ascii="Calibri" w:hAnsi="Calibri" w:cs="Calibri"/>
          <w:strike/>
          <w:sz w:val="20"/>
          <w:szCs w:val="20"/>
        </w:rPr>
      </w:pPr>
      <w:r w:rsidRPr="00D376A5">
        <w:rPr>
          <w:rFonts w:ascii="Calibri" w:hAnsi="Calibri" w:cs="Calibri"/>
          <w:strike/>
          <w:sz w:val="20"/>
          <w:szCs w:val="20"/>
        </w:rPr>
        <w:t>The law is that the Trust must avoid any pay discrimination, especially when people are doing the same or similar work. Equal pay isn’t just about salary</w:t>
      </w:r>
      <w:r w:rsidR="00705C60" w:rsidRPr="00D376A5">
        <w:rPr>
          <w:rFonts w:ascii="Calibri" w:hAnsi="Calibri" w:cs="Calibri"/>
          <w:strike/>
          <w:sz w:val="20"/>
          <w:szCs w:val="20"/>
        </w:rPr>
        <w:t xml:space="preserve">, </w:t>
      </w:r>
      <w:r w:rsidRPr="00D376A5">
        <w:rPr>
          <w:rFonts w:ascii="Calibri" w:hAnsi="Calibri" w:cs="Calibri"/>
          <w:strike/>
          <w:sz w:val="20"/>
          <w:szCs w:val="20"/>
        </w:rPr>
        <w:t xml:space="preserve">it also includes benefits or allowances. So, if men and women </w:t>
      </w:r>
      <w:r w:rsidRPr="00D376A5">
        <w:rPr>
          <w:rFonts w:ascii="Calibri" w:hAnsi="Calibri" w:cs="Calibri"/>
          <w:strike/>
          <w:sz w:val="20"/>
          <w:szCs w:val="20"/>
        </w:rPr>
        <w:lastRenderedPageBreak/>
        <w:t xml:space="preserve">are doing the same work or work of equal value, they should be paid the same. If the two men are bumped up to grade B, the Trust needs to make sure this is for reasons that have nothing to do with their gender. </w:t>
      </w:r>
      <w:r w:rsidR="00705C60" w:rsidRPr="00D376A5">
        <w:rPr>
          <w:rFonts w:ascii="Calibri" w:hAnsi="Calibri" w:cs="Calibri"/>
          <w:strike/>
          <w:sz w:val="20"/>
          <w:szCs w:val="20"/>
        </w:rPr>
        <w:t>I</w:t>
      </w:r>
      <w:r w:rsidRPr="00D376A5">
        <w:rPr>
          <w:rFonts w:ascii="Calibri" w:hAnsi="Calibri" w:cs="Calibri"/>
          <w:strike/>
          <w:sz w:val="20"/>
          <w:szCs w:val="20"/>
        </w:rPr>
        <w:t>f one of the men has taken on extra duties or responsibilities that others haven’t, that could be a good reason for the upgrade.</w:t>
      </w:r>
      <w:r w:rsidR="00C12F4D" w:rsidRPr="00D376A5">
        <w:rPr>
          <w:rFonts w:ascii="Calibri" w:hAnsi="Calibri" w:cs="Calibri"/>
          <w:strike/>
          <w:sz w:val="20"/>
          <w:szCs w:val="20"/>
        </w:rPr>
        <w:t xml:space="preserve"> (ACAS, 2025)</w:t>
      </w:r>
    </w:p>
    <w:p w14:paraId="7751A55A" w14:textId="523D9CB4" w:rsidR="00176998" w:rsidRPr="005C36B5" w:rsidRDefault="00176998" w:rsidP="00176998">
      <w:pPr>
        <w:pStyle w:val="NormalWeb"/>
        <w:rPr>
          <w:rFonts w:ascii="Calibri" w:hAnsi="Calibri" w:cs="Calibri"/>
          <w:strike/>
          <w:sz w:val="20"/>
          <w:szCs w:val="20"/>
        </w:rPr>
      </w:pPr>
      <w:r w:rsidRPr="005C36B5">
        <w:rPr>
          <w:rFonts w:ascii="Calibri" w:hAnsi="Calibri" w:cs="Calibri"/>
          <w:strike/>
          <w:sz w:val="20"/>
          <w:szCs w:val="20"/>
        </w:rPr>
        <w:t xml:space="preserve">If the upgrade happens without a clear, fair reason, it could look like gender discrimination. This is especially sensitive because most of the HCAs are </w:t>
      </w:r>
      <w:r w:rsidR="00705C60" w:rsidRPr="005C36B5">
        <w:rPr>
          <w:rFonts w:ascii="Calibri" w:hAnsi="Calibri" w:cs="Calibri"/>
          <w:strike/>
          <w:sz w:val="20"/>
          <w:szCs w:val="20"/>
        </w:rPr>
        <w:t>women, if</w:t>
      </w:r>
      <w:r w:rsidRPr="005C36B5">
        <w:rPr>
          <w:rFonts w:ascii="Calibri" w:hAnsi="Calibri" w:cs="Calibri"/>
          <w:strike/>
          <w:sz w:val="20"/>
          <w:szCs w:val="20"/>
        </w:rPr>
        <w:t xml:space="preserve"> the decision looks biased, it could lead to complaints or even legal action for unequal treatment. </w:t>
      </w:r>
      <w:r w:rsidR="00705C60" w:rsidRPr="005C36B5">
        <w:rPr>
          <w:rFonts w:ascii="Calibri" w:hAnsi="Calibri" w:cs="Calibri"/>
          <w:strike/>
          <w:sz w:val="20"/>
          <w:szCs w:val="20"/>
        </w:rPr>
        <w:t>T</w:t>
      </w:r>
      <w:r w:rsidRPr="005C36B5">
        <w:rPr>
          <w:rFonts w:ascii="Calibri" w:hAnsi="Calibri" w:cs="Calibri"/>
          <w:strike/>
          <w:sz w:val="20"/>
          <w:szCs w:val="20"/>
        </w:rPr>
        <w:t>he Trust must ensure any changes to pay follow equal pay laws and make sure everyone has equal opportunities</w:t>
      </w:r>
      <w:r w:rsidR="00705C60" w:rsidRPr="005C36B5">
        <w:rPr>
          <w:rFonts w:ascii="Calibri" w:hAnsi="Calibri" w:cs="Calibri"/>
          <w:strike/>
          <w:sz w:val="20"/>
          <w:szCs w:val="20"/>
        </w:rPr>
        <w:t>.</w:t>
      </w:r>
      <w:r w:rsidR="00D421CA" w:rsidRPr="005C36B5">
        <w:rPr>
          <w:rFonts w:ascii="Calibri" w:hAnsi="Calibri" w:cs="Calibri"/>
          <w:strike/>
          <w:sz w:val="20"/>
          <w:szCs w:val="20"/>
        </w:rPr>
        <w:t xml:space="preserve"> </w:t>
      </w:r>
      <w:r w:rsidR="00761070" w:rsidRPr="005C36B5">
        <w:rPr>
          <w:rFonts w:ascii="Calibri" w:hAnsi="Calibri" w:cs="Calibri"/>
          <w:strike/>
          <w:sz w:val="20"/>
          <w:szCs w:val="20"/>
        </w:rPr>
        <w:t>(Human rights careers, 2025)</w:t>
      </w:r>
    </w:p>
    <w:p w14:paraId="71C33214" w14:textId="3D64D971" w:rsidR="00176998" w:rsidRPr="005C36B5" w:rsidRDefault="00176998" w:rsidP="00176998">
      <w:pPr>
        <w:pStyle w:val="NormalWeb"/>
        <w:rPr>
          <w:rFonts w:ascii="Calibri" w:hAnsi="Calibri" w:cs="Calibri"/>
          <w:strike/>
          <w:sz w:val="20"/>
          <w:szCs w:val="20"/>
        </w:rPr>
      </w:pPr>
      <w:r w:rsidRPr="005C36B5">
        <w:rPr>
          <w:rFonts w:ascii="Calibri" w:hAnsi="Calibri" w:cs="Calibri"/>
          <w:strike/>
          <w:sz w:val="20"/>
          <w:szCs w:val="20"/>
        </w:rPr>
        <w:t>To keep things fair and legal, the nurse manager needs to make sure any decision about pay upgrades is based on clear, non-discriminatory reasons. This includes looking at what each employee does, as well as how the Trust's grading system works, to make sure everything’s fair. The Trust should also think about doing a pay audit to check if there are any gender pay gaps that need to be addressed.</w:t>
      </w:r>
      <w:r w:rsidR="00B34783" w:rsidRPr="005C36B5">
        <w:rPr>
          <w:rFonts w:ascii="Calibri" w:hAnsi="Calibri" w:cs="Calibri"/>
          <w:strike/>
          <w:sz w:val="20"/>
          <w:szCs w:val="20"/>
        </w:rPr>
        <w:t xml:space="preserve"> (ACAS, n.d. Improving equality, diversity and inclusion)</w:t>
      </w:r>
    </w:p>
    <w:p w14:paraId="64CEE7EA" w14:textId="711C7F8D" w:rsidR="005E0F53" w:rsidRDefault="00437FBC" w:rsidP="005E0F53">
      <w:pPr>
        <w:spacing w:line="240" w:lineRule="auto"/>
        <w:rPr>
          <w:rFonts w:ascii="Calibri" w:hAnsi="Calibri" w:cs="Calibri"/>
          <w:color w:val="FF0000"/>
          <w:sz w:val="20"/>
          <w:szCs w:val="20"/>
        </w:rPr>
      </w:pPr>
      <w:r w:rsidRPr="00437FBC">
        <w:rPr>
          <w:rFonts w:ascii="Calibri" w:hAnsi="Calibri" w:cs="Calibri"/>
          <w:color w:val="FF0000"/>
          <w:sz w:val="20"/>
          <w:szCs w:val="20"/>
        </w:rPr>
        <w:t xml:space="preserve">If the two men are moved up to the higher grade, the nurse manager needs to make sure there’s a clear, job-related reason for the decision, like extra responsibilities or experience, rather than it being based on gender. Otherwise, the women in the Trust might feel that they’re being treated unfairly and could potentially make a claim for </w:t>
      </w:r>
      <w:r>
        <w:rPr>
          <w:rStyle w:val="Strong"/>
          <w:rFonts w:ascii="Calibri" w:hAnsi="Calibri" w:cs="Calibri"/>
          <w:b w:val="0"/>
          <w:bCs w:val="0"/>
          <w:color w:val="FF0000"/>
          <w:sz w:val="20"/>
          <w:szCs w:val="20"/>
        </w:rPr>
        <w:t>equal pay</w:t>
      </w:r>
      <w:r w:rsidRPr="00437FBC">
        <w:rPr>
          <w:rFonts w:ascii="Calibri" w:hAnsi="Calibri" w:cs="Calibri"/>
          <w:color w:val="FF0000"/>
          <w:sz w:val="20"/>
          <w:szCs w:val="20"/>
        </w:rPr>
        <w:t xml:space="preserve"> under the </w:t>
      </w:r>
      <w:r>
        <w:rPr>
          <w:rStyle w:val="Strong"/>
          <w:rFonts w:ascii="Calibri" w:hAnsi="Calibri" w:cs="Calibri"/>
          <w:b w:val="0"/>
          <w:bCs w:val="0"/>
          <w:color w:val="FF0000"/>
          <w:sz w:val="20"/>
          <w:szCs w:val="20"/>
        </w:rPr>
        <w:t>Equality act 2010</w:t>
      </w:r>
      <w:r w:rsidRPr="00437FBC">
        <w:rPr>
          <w:rFonts w:ascii="Calibri" w:hAnsi="Calibri" w:cs="Calibri"/>
          <w:color w:val="FF0000"/>
          <w:sz w:val="20"/>
          <w:szCs w:val="20"/>
        </w:rPr>
        <w:t xml:space="preserve">. This law says that men and women doing the same or similar work should be paid the same unless there’s a genuine reason for a difference. To avoid any issues, the Trust should make sure the reasons for the upgrade are well-documented and not gender-biased. It might also be a good idea to do a pay audit to check if there’s a gender pay gap. If the decision isn’t handled carefully, it could lead to complaints or even legal </w:t>
      </w:r>
      <w:r w:rsidRPr="000A3F2E">
        <w:rPr>
          <w:rFonts w:ascii="Calibri" w:hAnsi="Calibri" w:cs="Calibri"/>
          <w:color w:val="FF0000"/>
          <w:sz w:val="20"/>
          <w:szCs w:val="20"/>
        </w:rPr>
        <w:t>action.</w:t>
      </w:r>
      <w:r w:rsidR="000A3F2E" w:rsidRPr="000A3F2E">
        <w:rPr>
          <w:rFonts w:ascii="Calibri" w:hAnsi="Calibri" w:cs="Calibri"/>
          <w:color w:val="FF0000"/>
          <w:sz w:val="20"/>
          <w:szCs w:val="20"/>
        </w:rPr>
        <w:t xml:space="preserve"> (GOV.UK, 2025)</w:t>
      </w:r>
    </w:p>
    <w:p w14:paraId="58CB51F1" w14:textId="77777777" w:rsidR="005E0F53" w:rsidRDefault="005E0F53" w:rsidP="005E0F53">
      <w:pPr>
        <w:spacing w:line="240" w:lineRule="auto"/>
        <w:rPr>
          <w:rFonts w:ascii="Calibri" w:hAnsi="Calibri" w:cs="Calibri"/>
          <w:color w:val="FF0000"/>
          <w:sz w:val="20"/>
          <w:szCs w:val="20"/>
        </w:rPr>
      </w:pPr>
    </w:p>
    <w:p w14:paraId="42948F73" w14:textId="70A3D911" w:rsidR="00176998" w:rsidRPr="005E0F53" w:rsidRDefault="00176998" w:rsidP="005E0F53">
      <w:pPr>
        <w:spacing w:line="240" w:lineRule="auto"/>
        <w:rPr>
          <w:rFonts w:ascii="Calibri" w:hAnsi="Calibri" w:cs="Calibri"/>
          <w:color w:val="FF0000"/>
          <w:sz w:val="20"/>
          <w:szCs w:val="20"/>
        </w:rPr>
      </w:pPr>
      <w:r>
        <w:rPr>
          <w:rFonts w:ascii="Calibri" w:hAnsi="Calibri" w:cs="Calibri"/>
          <w:sz w:val="20"/>
          <w:szCs w:val="20"/>
        </w:rPr>
        <w:t>AC3.1</w:t>
      </w:r>
    </w:p>
    <w:p w14:paraId="53448253" w14:textId="4DBAF8F4"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 xml:space="preserve">A constructive dismissal claim can arise if an employee resigns due to a fundamental breach of their contract by their employer, such as an unjustified and significant change to their working hours. For a claim to be successful, the employee must prove that the employer made a change to their contract without consent and that this change was enough to make continuing employment unreasonable. In this case, if the radiographers working hours were changed significantly, it could be seen as a breach of </w:t>
      </w:r>
      <w:r w:rsidR="00705C60" w:rsidRPr="00997DC1">
        <w:rPr>
          <w:rFonts w:ascii="Calibri" w:hAnsi="Calibri" w:cs="Calibri"/>
          <w:sz w:val="20"/>
          <w:szCs w:val="20"/>
        </w:rPr>
        <w:t>contract, the</w:t>
      </w:r>
      <w:r w:rsidRPr="00997DC1">
        <w:rPr>
          <w:rFonts w:ascii="Calibri" w:hAnsi="Calibri" w:cs="Calibri"/>
          <w:sz w:val="20"/>
          <w:szCs w:val="20"/>
        </w:rPr>
        <w:t xml:space="preserve"> radiographer might feel forced to resign as a result.</w:t>
      </w:r>
    </w:p>
    <w:p w14:paraId="064894DB" w14:textId="3115E83E"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For a constructive dismissal claim to be brought to an Employment Tribunal, the employee must do so within three months less one day of the resignation.</w:t>
      </w:r>
      <w:r w:rsidR="00176998">
        <w:rPr>
          <w:rFonts w:ascii="Calibri" w:hAnsi="Calibri" w:cs="Calibri"/>
          <w:sz w:val="20"/>
          <w:szCs w:val="20"/>
        </w:rPr>
        <w:t xml:space="preserve"> </w:t>
      </w:r>
      <w:r w:rsidRPr="00997DC1">
        <w:rPr>
          <w:rFonts w:ascii="Calibri" w:hAnsi="Calibri" w:cs="Calibri"/>
          <w:sz w:val="20"/>
          <w:szCs w:val="20"/>
        </w:rPr>
        <w:t xml:space="preserve">Claims made outside this </w:t>
      </w:r>
      <w:r w:rsidR="002E3F6F" w:rsidRPr="00997DC1">
        <w:rPr>
          <w:rFonts w:ascii="Calibri" w:hAnsi="Calibri" w:cs="Calibri"/>
          <w:sz w:val="20"/>
          <w:szCs w:val="20"/>
        </w:rPr>
        <w:t>three</w:t>
      </w:r>
      <w:r w:rsidR="002E3F6F">
        <w:rPr>
          <w:rFonts w:ascii="Calibri" w:hAnsi="Calibri" w:cs="Calibri"/>
          <w:sz w:val="20"/>
          <w:szCs w:val="20"/>
        </w:rPr>
        <w:t>-month</w:t>
      </w:r>
      <w:r w:rsidRPr="00997DC1">
        <w:rPr>
          <w:rFonts w:ascii="Calibri" w:hAnsi="Calibri" w:cs="Calibri"/>
          <w:sz w:val="20"/>
          <w:szCs w:val="20"/>
        </w:rPr>
        <w:t xml:space="preserve"> period are generally considered </w:t>
      </w:r>
      <w:r w:rsidR="00176998">
        <w:rPr>
          <w:rFonts w:ascii="Calibri" w:hAnsi="Calibri" w:cs="Calibri"/>
          <w:sz w:val="20"/>
          <w:szCs w:val="20"/>
        </w:rPr>
        <w:t>out of time.</w:t>
      </w:r>
      <w:r w:rsidR="00BA145C">
        <w:rPr>
          <w:rFonts w:ascii="Calibri" w:hAnsi="Calibri" w:cs="Calibri"/>
          <w:sz w:val="20"/>
          <w:szCs w:val="20"/>
        </w:rPr>
        <w:t xml:space="preserve"> (ACAS,2024)</w:t>
      </w:r>
    </w:p>
    <w:p w14:paraId="29833BD9" w14:textId="6B23954F" w:rsidR="00997DC1" w:rsidRPr="000179C9" w:rsidRDefault="00705C60" w:rsidP="00997DC1">
      <w:pPr>
        <w:pStyle w:val="NormalWeb"/>
        <w:rPr>
          <w:rFonts w:ascii="Calibri" w:hAnsi="Calibri" w:cs="Calibri"/>
          <w:strike/>
          <w:sz w:val="20"/>
          <w:szCs w:val="20"/>
        </w:rPr>
      </w:pPr>
      <w:r w:rsidRPr="000179C9">
        <w:rPr>
          <w:rFonts w:ascii="Calibri" w:hAnsi="Calibri" w:cs="Calibri"/>
          <w:strike/>
          <w:sz w:val="20"/>
          <w:szCs w:val="20"/>
        </w:rPr>
        <w:t>I</w:t>
      </w:r>
      <w:r w:rsidR="00997DC1" w:rsidRPr="000179C9">
        <w:rPr>
          <w:rFonts w:ascii="Calibri" w:hAnsi="Calibri" w:cs="Calibri"/>
          <w:strike/>
          <w:sz w:val="20"/>
          <w:szCs w:val="20"/>
        </w:rPr>
        <w:t xml:space="preserve">n addition to this, it’s important to note that variations to an employment contract cannot be made by the employer unless certain conditions are met. </w:t>
      </w:r>
      <w:r w:rsidR="00176998" w:rsidRPr="000179C9">
        <w:rPr>
          <w:rFonts w:ascii="Calibri" w:hAnsi="Calibri" w:cs="Calibri"/>
          <w:strike/>
          <w:sz w:val="20"/>
          <w:szCs w:val="20"/>
        </w:rPr>
        <w:t>V</w:t>
      </w:r>
      <w:r w:rsidR="00997DC1" w:rsidRPr="000179C9">
        <w:rPr>
          <w:rFonts w:ascii="Calibri" w:hAnsi="Calibri" w:cs="Calibri"/>
          <w:strike/>
          <w:sz w:val="20"/>
          <w:szCs w:val="20"/>
        </w:rPr>
        <w:t xml:space="preserve">ariations to terms and conditions require mutual agreement. If the employer imposes changes to the </w:t>
      </w:r>
      <w:r w:rsidRPr="000179C9">
        <w:rPr>
          <w:rFonts w:ascii="Calibri" w:hAnsi="Calibri" w:cs="Calibri"/>
          <w:strike/>
          <w:sz w:val="20"/>
          <w:szCs w:val="20"/>
        </w:rPr>
        <w:t>employees</w:t>
      </w:r>
      <w:r w:rsidR="002E3F6F" w:rsidRPr="000179C9">
        <w:rPr>
          <w:rFonts w:ascii="Calibri" w:hAnsi="Calibri" w:cs="Calibri"/>
          <w:strike/>
          <w:sz w:val="20"/>
          <w:szCs w:val="20"/>
        </w:rPr>
        <w:t xml:space="preserve"> contract</w:t>
      </w:r>
      <w:r w:rsidR="00997DC1" w:rsidRPr="000179C9">
        <w:rPr>
          <w:rFonts w:ascii="Calibri" w:hAnsi="Calibri" w:cs="Calibri"/>
          <w:strike/>
          <w:sz w:val="20"/>
          <w:szCs w:val="20"/>
        </w:rPr>
        <w:t xml:space="preserve"> without obtaining their agreement, they may be at risk of breaching the contract. Such breaches can lead to t</w:t>
      </w:r>
      <w:r w:rsidR="002E3F6F" w:rsidRPr="000179C9">
        <w:rPr>
          <w:rFonts w:ascii="Calibri" w:hAnsi="Calibri" w:cs="Calibri"/>
          <w:strike/>
          <w:sz w:val="20"/>
          <w:szCs w:val="20"/>
        </w:rPr>
        <w:t>h</w:t>
      </w:r>
      <w:r w:rsidR="00997DC1" w:rsidRPr="000179C9">
        <w:rPr>
          <w:rFonts w:ascii="Calibri" w:hAnsi="Calibri" w:cs="Calibri"/>
          <w:strike/>
          <w:sz w:val="20"/>
          <w:szCs w:val="20"/>
        </w:rPr>
        <w:t xml:space="preserve">e </w:t>
      </w:r>
      <w:r w:rsidRPr="000179C9">
        <w:rPr>
          <w:rFonts w:ascii="Calibri" w:hAnsi="Calibri" w:cs="Calibri"/>
          <w:strike/>
          <w:sz w:val="20"/>
          <w:szCs w:val="20"/>
        </w:rPr>
        <w:t>employees</w:t>
      </w:r>
      <w:r w:rsidR="00997DC1" w:rsidRPr="000179C9">
        <w:rPr>
          <w:rFonts w:ascii="Calibri" w:hAnsi="Calibri" w:cs="Calibri"/>
          <w:strike/>
          <w:sz w:val="20"/>
          <w:szCs w:val="20"/>
        </w:rPr>
        <w:t xml:space="preserve"> resignation, and the employer could face a claim for constructive dismissal.</w:t>
      </w:r>
    </w:p>
    <w:p w14:paraId="2A9BC6B4" w14:textId="650E4E02" w:rsidR="00997DC1" w:rsidRPr="000179C9" w:rsidRDefault="00997DC1" w:rsidP="00997DC1">
      <w:pPr>
        <w:pStyle w:val="NormalWeb"/>
        <w:rPr>
          <w:rFonts w:ascii="Calibri" w:hAnsi="Calibri" w:cs="Calibri"/>
          <w:strike/>
          <w:sz w:val="20"/>
          <w:szCs w:val="20"/>
        </w:rPr>
      </w:pPr>
      <w:r w:rsidRPr="000179C9">
        <w:rPr>
          <w:rFonts w:ascii="Calibri" w:hAnsi="Calibri" w:cs="Calibri"/>
          <w:strike/>
          <w:sz w:val="20"/>
          <w:szCs w:val="20"/>
        </w:rPr>
        <w:t xml:space="preserve">The Trust must consider the following when making changes to an </w:t>
      </w:r>
      <w:r w:rsidR="00705C60" w:rsidRPr="000179C9">
        <w:rPr>
          <w:rFonts w:ascii="Calibri" w:hAnsi="Calibri" w:cs="Calibri"/>
          <w:strike/>
          <w:sz w:val="20"/>
          <w:szCs w:val="20"/>
        </w:rPr>
        <w:t>employee’s</w:t>
      </w:r>
      <w:r w:rsidRPr="000179C9">
        <w:rPr>
          <w:rFonts w:ascii="Calibri" w:hAnsi="Calibri" w:cs="Calibri"/>
          <w:strike/>
          <w:sz w:val="20"/>
          <w:szCs w:val="20"/>
        </w:rPr>
        <w:t xml:space="preserve"> contract. </w:t>
      </w:r>
      <w:r w:rsidR="00705C60" w:rsidRPr="000179C9">
        <w:rPr>
          <w:rFonts w:ascii="Calibri" w:hAnsi="Calibri" w:cs="Calibri"/>
          <w:strike/>
          <w:sz w:val="20"/>
          <w:szCs w:val="20"/>
        </w:rPr>
        <w:t>E</w:t>
      </w:r>
      <w:r w:rsidRPr="000179C9">
        <w:rPr>
          <w:rFonts w:ascii="Calibri" w:hAnsi="Calibri" w:cs="Calibri"/>
          <w:strike/>
          <w:sz w:val="20"/>
          <w:szCs w:val="20"/>
        </w:rPr>
        <w:t xml:space="preserve">mployers are required to </w:t>
      </w:r>
      <w:r w:rsidR="00176998" w:rsidRPr="000179C9">
        <w:rPr>
          <w:rFonts w:ascii="Calibri" w:hAnsi="Calibri" w:cs="Calibri"/>
          <w:strike/>
          <w:sz w:val="20"/>
          <w:szCs w:val="20"/>
        </w:rPr>
        <w:t>meet</w:t>
      </w:r>
      <w:r w:rsidRPr="000179C9">
        <w:rPr>
          <w:rFonts w:ascii="Calibri" w:hAnsi="Calibri" w:cs="Calibri"/>
          <w:strike/>
          <w:sz w:val="20"/>
          <w:szCs w:val="20"/>
        </w:rPr>
        <w:t xml:space="preserve"> with employees before implementing changes to their contracts. In the case of the radiographer, the Trust should have clearly communicated the intended changes to the working hours and </w:t>
      </w:r>
      <w:r w:rsidR="00176998" w:rsidRPr="000179C9">
        <w:rPr>
          <w:rFonts w:ascii="Calibri" w:hAnsi="Calibri" w:cs="Calibri"/>
          <w:strike/>
          <w:sz w:val="20"/>
          <w:szCs w:val="20"/>
        </w:rPr>
        <w:t>got an</w:t>
      </w:r>
      <w:r w:rsidRPr="000179C9">
        <w:rPr>
          <w:rFonts w:ascii="Calibri" w:hAnsi="Calibri" w:cs="Calibri"/>
          <w:strike/>
          <w:sz w:val="20"/>
          <w:szCs w:val="20"/>
        </w:rPr>
        <w:t xml:space="preserve"> agreement before making any</w:t>
      </w:r>
      <w:r w:rsidR="00176998" w:rsidRPr="000179C9">
        <w:rPr>
          <w:rFonts w:ascii="Calibri" w:hAnsi="Calibri" w:cs="Calibri"/>
          <w:strike/>
          <w:sz w:val="20"/>
          <w:szCs w:val="20"/>
        </w:rPr>
        <w:t xml:space="preserve"> changes</w:t>
      </w:r>
      <w:r w:rsidRPr="000179C9">
        <w:rPr>
          <w:rFonts w:ascii="Calibri" w:hAnsi="Calibri" w:cs="Calibri"/>
          <w:strike/>
          <w:sz w:val="20"/>
          <w:szCs w:val="20"/>
        </w:rPr>
        <w:t>. A failure to involve the employee in this process increases the likelihood of the employee considering the change as unreasonable</w:t>
      </w:r>
      <w:r w:rsidR="00B34783" w:rsidRPr="000179C9">
        <w:rPr>
          <w:rFonts w:ascii="Calibri" w:hAnsi="Calibri" w:cs="Calibri"/>
          <w:strike/>
          <w:sz w:val="20"/>
          <w:szCs w:val="20"/>
        </w:rPr>
        <w:t>. (ACAS, n.d, Constructive dismissal)</w:t>
      </w:r>
      <w:r w:rsidR="005A34DA" w:rsidRPr="000179C9">
        <w:rPr>
          <w:strike/>
          <w:color w:val="000000"/>
          <w:sz w:val="27"/>
          <w:szCs w:val="27"/>
        </w:rPr>
        <w:t xml:space="preserve"> </w:t>
      </w:r>
    </w:p>
    <w:p w14:paraId="3522BD2F" w14:textId="20701801" w:rsidR="00997DC1" w:rsidRPr="000179C9" w:rsidRDefault="00A3011C" w:rsidP="00997DC1">
      <w:pPr>
        <w:pStyle w:val="NormalWeb"/>
        <w:rPr>
          <w:rFonts w:ascii="Calibri" w:hAnsi="Calibri" w:cs="Calibri"/>
          <w:strike/>
          <w:sz w:val="20"/>
          <w:szCs w:val="20"/>
        </w:rPr>
      </w:pPr>
      <w:r w:rsidRPr="000179C9">
        <w:rPr>
          <w:rFonts w:ascii="Calibri" w:hAnsi="Calibri" w:cs="Calibri"/>
          <w:strike/>
          <w:sz w:val="20"/>
          <w:szCs w:val="20"/>
        </w:rPr>
        <w:t>I</w:t>
      </w:r>
      <w:r w:rsidR="00997DC1" w:rsidRPr="000179C9">
        <w:rPr>
          <w:rFonts w:ascii="Calibri" w:hAnsi="Calibri" w:cs="Calibri"/>
          <w:strike/>
          <w:sz w:val="20"/>
          <w:szCs w:val="20"/>
        </w:rPr>
        <w:t>f the change in working hours is substantia</w:t>
      </w:r>
      <w:r w:rsidRPr="000179C9">
        <w:rPr>
          <w:rFonts w:ascii="Calibri" w:hAnsi="Calibri" w:cs="Calibri"/>
          <w:strike/>
          <w:sz w:val="20"/>
          <w:szCs w:val="20"/>
        </w:rPr>
        <w:t>l</w:t>
      </w:r>
      <w:r w:rsidR="00705C60" w:rsidRPr="000179C9">
        <w:rPr>
          <w:rFonts w:ascii="Calibri" w:hAnsi="Calibri" w:cs="Calibri"/>
          <w:strike/>
          <w:sz w:val="20"/>
          <w:szCs w:val="20"/>
        </w:rPr>
        <w:t xml:space="preserve"> s</w:t>
      </w:r>
      <w:r w:rsidR="00997DC1" w:rsidRPr="000179C9">
        <w:rPr>
          <w:rFonts w:ascii="Calibri" w:hAnsi="Calibri" w:cs="Calibri"/>
          <w:strike/>
          <w:sz w:val="20"/>
          <w:szCs w:val="20"/>
        </w:rPr>
        <w:t>uch as a significant reduction or increase in hours, or a shift that dramatically alters the employee</w:t>
      </w:r>
      <w:r w:rsidR="00176998" w:rsidRPr="000179C9">
        <w:rPr>
          <w:rFonts w:ascii="Calibri" w:hAnsi="Calibri" w:cs="Calibri"/>
          <w:strike/>
          <w:sz w:val="20"/>
          <w:szCs w:val="20"/>
        </w:rPr>
        <w:t>s</w:t>
      </w:r>
      <w:r w:rsidR="00997DC1" w:rsidRPr="000179C9">
        <w:rPr>
          <w:rFonts w:ascii="Calibri" w:hAnsi="Calibri" w:cs="Calibri"/>
          <w:strike/>
          <w:sz w:val="20"/>
          <w:szCs w:val="20"/>
        </w:rPr>
        <w:t xml:space="preserve"> work-life balance</w:t>
      </w:r>
      <w:r w:rsidR="0026699D" w:rsidRPr="000179C9">
        <w:rPr>
          <w:rFonts w:ascii="Calibri" w:hAnsi="Calibri" w:cs="Calibri"/>
          <w:strike/>
          <w:sz w:val="20"/>
          <w:szCs w:val="20"/>
        </w:rPr>
        <w:t xml:space="preserve">, </w:t>
      </w:r>
      <w:r w:rsidR="00997DC1" w:rsidRPr="000179C9">
        <w:rPr>
          <w:rFonts w:ascii="Calibri" w:hAnsi="Calibri" w:cs="Calibri"/>
          <w:strike/>
          <w:sz w:val="20"/>
          <w:szCs w:val="20"/>
        </w:rPr>
        <w:t>the employee may view the modification as a fundamental breach of their contract. In such cases, the employee may claim that the breach made it impossible for them to continue in the role.</w:t>
      </w:r>
    </w:p>
    <w:p w14:paraId="10C08D18" w14:textId="434249B3" w:rsidR="00997DC1" w:rsidRPr="002E7BC6" w:rsidRDefault="00176998" w:rsidP="00997DC1">
      <w:pPr>
        <w:pStyle w:val="NormalWeb"/>
        <w:rPr>
          <w:rFonts w:ascii="Calibri" w:hAnsi="Calibri" w:cs="Calibri"/>
          <w:strike/>
          <w:sz w:val="20"/>
          <w:szCs w:val="20"/>
        </w:rPr>
      </w:pPr>
      <w:r w:rsidRPr="002E7BC6">
        <w:rPr>
          <w:rFonts w:ascii="Calibri" w:hAnsi="Calibri" w:cs="Calibri"/>
          <w:strike/>
          <w:sz w:val="20"/>
          <w:szCs w:val="20"/>
        </w:rPr>
        <w:lastRenderedPageBreak/>
        <w:t>If</w:t>
      </w:r>
      <w:r w:rsidR="00997DC1" w:rsidRPr="002E7BC6">
        <w:rPr>
          <w:rFonts w:ascii="Calibri" w:hAnsi="Calibri" w:cs="Calibri"/>
          <w:strike/>
          <w:sz w:val="20"/>
          <w:szCs w:val="20"/>
        </w:rPr>
        <w:t xml:space="preserve"> the employer is making changes to the contract due to operational needs (for example, restructuring or changes in work demands</w:t>
      </w:r>
      <w:r w:rsidRPr="002E7BC6">
        <w:rPr>
          <w:rFonts w:ascii="Calibri" w:hAnsi="Calibri" w:cs="Calibri"/>
          <w:strike/>
          <w:sz w:val="20"/>
          <w:szCs w:val="20"/>
        </w:rPr>
        <w:t xml:space="preserve"> or rotas</w:t>
      </w:r>
      <w:r w:rsidR="00997DC1" w:rsidRPr="002E7BC6">
        <w:rPr>
          <w:rFonts w:ascii="Calibri" w:hAnsi="Calibri" w:cs="Calibri"/>
          <w:strike/>
          <w:sz w:val="20"/>
          <w:szCs w:val="20"/>
        </w:rPr>
        <w:t xml:space="preserve">), the change must be reasonable. The employee should be provided with </w:t>
      </w:r>
      <w:r w:rsidRPr="002E7BC6">
        <w:rPr>
          <w:rFonts w:ascii="Calibri" w:hAnsi="Calibri" w:cs="Calibri"/>
          <w:strike/>
          <w:sz w:val="20"/>
          <w:szCs w:val="20"/>
        </w:rPr>
        <w:t xml:space="preserve">enough </w:t>
      </w:r>
      <w:r w:rsidR="00997DC1" w:rsidRPr="002E7BC6">
        <w:rPr>
          <w:rFonts w:ascii="Calibri" w:hAnsi="Calibri" w:cs="Calibri"/>
          <w:strike/>
          <w:sz w:val="20"/>
          <w:szCs w:val="20"/>
        </w:rPr>
        <w:t>notice and the opportunity to discuss the change.</w:t>
      </w:r>
      <w:r w:rsidRPr="002E7BC6">
        <w:rPr>
          <w:rFonts w:ascii="Calibri" w:hAnsi="Calibri" w:cs="Calibri"/>
          <w:strike/>
          <w:sz w:val="20"/>
          <w:szCs w:val="20"/>
        </w:rPr>
        <w:t xml:space="preserve"> F</w:t>
      </w:r>
      <w:r w:rsidR="00997DC1" w:rsidRPr="002E7BC6">
        <w:rPr>
          <w:rFonts w:ascii="Calibri" w:hAnsi="Calibri" w:cs="Calibri"/>
          <w:strike/>
          <w:sz w:val="20"/>
          <w:szCs w:val="20"/>
        </w:rPr>
        <w:t>ailure to do so could lead to the employee feeling that their contractual rights have been disregarded, leading to constructive dismissal.</w:t>
      </w:r>
      <w:r w:rsidR="00A00D17" w:rsidRPr="002E7BC6">
        <w:rPr>
          <w:rFonts w:ascii="Calibri" w:hAnsi="Calibri" w:cs="Calibri"/>
          <w:strike/>
          <w:sz w:val="20"/>
          <w:szCs w:val="20"/>
        </w:rPr>
        <w:t xml:space="preserve"> </w:t>
      </w:r>
      <w:r w:rsidR="00C10E16" w:rsidRPr="002E7BC6">
        <w:rPr>
          <w:rFonts w:ascii="Calibri" w:hAnsi="Calibri" w:cs="Calibri"/>
          <w:strike/>
          <w:sz w:val="20"/>
          <w:szCs w:val="20"/>
        </w:rPr>
        <w:t>(Employers direct, 2025)</w:t>
      </w:r>
    </w:p>
    <w:p w14:paraId="45F17D1A" w14:textId="7478137E" w:rsidR="00997DC1" w:rsidRPr="00997DC1" w:rsidRDefault="00997DC1" w:rsidP="00997DC1">
      <w:pPr>
        <w:pStyle w:val="NormalWeb"/>
        <w:rPr>
          <w:rFonts w:ascii="Calibri" w:hAnsi="Calibri" w:cs="Calibri"/>
          <w:sz w:val="20"/>
          <w:szCs w:val="20"/>
        </w:rPr>
      </w:pPr>
      <w:r w:rsidRPr="00997DC1">
        <w:rPr>
          <w:rFonts w:ascii="Calibri" w:hAnsi="Calibri" w:cs="Calibri"/>
          <w:sz w:val="20"/>
          <w:szCs w:val="20"/>
        </w:rPr>
        <w:t xml:space="preserve">If the employer insists on changing the contract, they may need to offer the employee alternative terms, such as compensation, to avoid breaching the contract. Without </w:t>
      </w:r>
      <w:r w:rsidR="00176998">
        <w:rPr>
          <w:rFonts w:ascii="Calibri" w:hAnsi="Calibri" w:cs="Calibri"/>
          <w:sz w:val="20"/>
          <w:szCs w:val="20"/>
        </w:rPr>
        <w:t>this</w:t>
      </w:r>
      <w:r w:rsidRPr="00997DC1">
        <w:rPr>
          <w:rFonts w:ascii="Calibri" w:hAnsi="Calibri" w:cs="Calibri"/>
          <w:sz w:val="20"/>
          <w:szCs w:val="20"/>
        </w:rPr>
        <w:t>, the employee may feel that their only option is to resign.</w:t>
      </w:r>
      <w:r w:rsidR="00FB2B14">
        <w:rPr>
          <w:rFonts w:ascii="Calibri" w:hAnsi="Calibri" w:cs="Calibri"/>
          <w:sz w:val="20"/>
          <w:szCs w:val="20"/>
        </w:rPr>
        <w:t xml:space="preserve"> (GOV.UK, 2025)</w:t>
      </w:r>
    </w:p>
    <w:p w14:paraId="5C592ECD" w14:textId="51CBBDD2" w:rsidR="00997DC1" w:rsidRPr="00997DC1" w:rsidRDefault="00176998" w:rsidP="00997DC1">
      <w:pPr>
        <w:pStyle w:val="NormalWeb"/>
        <w:rPr>
          <w:rFonts w:ascii="Calibri" w:hAnsi="Calibri" w:cs="Calibri"/>
          <w:sz w:val="20"/>
          <w:szCs w:val="20"/>
        </w:rPr>
      </w:pPr>
      <w:r>
        <w:rPr>
          <w:rFonts w:ascii="Calibri" w:hAnsi="Calibri" w:cs="Calibri"/>
          <w:sz w:val="20"/>
          <w:szCs w:val="20"/>
        </w:rPr>
        <w:t>Any</w:t>
      </w:r>
      <w:r w:rsidR="00997DC1" w:rsidRPr="00997DC1">
        <w:rPr>
          <w:rFonts w:ascii="Calibri" w:hAnsi="Calibri" w:cs="Calibri"/>
          <w:sz w:val="20"/>
          <w:szCs w:val="20"/>
        </w:rPr>
        <w:t xml:space="preserve"> constructive dismissal claim must be made within three months</w:t>
      </w:r>
      <w:r>
        <w:rPr>
          <w:rFonts w:ascii="Calibri" w:hAnsi="Calibri" w:cs="Calibri"/>
          <w:sz w:val="20"/>
          <w:szCs w:val="20"/>
        </w:rPr>
        <w:t xml:space="preserve"> less one day</w:t>
      </w:r>
      <w:r w:rsidR="00997DC1" w:rsidRPr="00997DC1">
        <w:rPr>
          <w:rFonts w:ascii="Calibri" w:hAnsi="Calibri" w:cs="Calibri"/>
          <w:sz w:val="20"/>
          <w:szCs w:val="20"/>
        </w:rPr>
        <w:t xml:space="preserve"> of the resignation or the last incident leading to the resignation. It is essential that the </w:t>
      </w:r>
      <w:r w:rsidR="00705C60" w:rsidRPr="00997DC1">
        <w:rPr>
          <w:rFonts w:ascii="Calibri" w:hAnsi="Calibri" w:cs="Calibri"/>
          <w:sz w:val="20"/>
          <w:szCs w:val="20"/>
        </w:rPr>
        <w:t>employees</w:t>
      </w:r>
      <w:r w:rsidR="00997DC1" w:rsidRPr="00997DC1">
        <w:rPr>
          <w:rFonts w:ascii="Calibri" w:hAnsi="Calibri" w:cs="Calibri"/>
          <w:sz w:val="20"/>
          <w:szCs w:val="20"/>
        </w:rPr>
        <w:t xml:space="preserve"> resignation is linked directly to the breach of contract and that they make the claim within the statutory time limit. If the claim is made outside this period, it may be dismissed</w:t>
      </w:r>
      <w:r>
        <w:rPr>
          <w:rFonts w:ascii="Calibri" w:hAnsi="Calibri" w:cs="Calibri"/>
          <w:sz w:val="20"/>
          <w:szCs w:val="20"/>
        </w:rPr>
        <w:t>.</w:t>
      </w:r>
      <w:r w:rsidR="00DA1799">
        <w:rPr>
          <w:rFonts w:ascii="Calibri" w:hAnsi="Calibri" w:cs="Calibri"/>
          <w:sz w:val="20"/>
          <w:szCs w:val="20"/>
        </w:rPr>
        <w:t xml:space="preserve"> (ACAS, 2024)</w:t>
      </w:r>
    </w:p>
    <w:p w14:paraId="64655EF0" w14:textId="42168593" w:rsidR="00997DC1" w:rsidRPr="00997DC1" w:rsidRDefault="00176998" w:rsidP="00997DC1">
      <w:pPr>
        <w:pStyle w:val="NormalWeb"/>
        <w:rPr>
          <w:rFonts w:ascii="Calibri" w:hAnsi="Calibri" w:cs="Calibri"/>
          <w:sz w:val="20"/>
          <w:szCs w:val="20"/>
        </w:rPr>
      </w:pPr>
      <w:r>
        <w:rPr>
          <w:rFonts w:ascii="Calibri" w:hAnsi="Calibri" w:cs="Calibri"/>
          <w:sz w:val="20"/>
          <w:szCs w:val="20"/>
        </w:rPr>
        <w:t>The</w:t>
      </w:r>
      <w:r w:rsidR="00997DC1" w:rsidRPr="00997DC1">
        <w:rPr>
          <w:rFonts w:ascii="Calibri" w:hAnsi="Calibri" w:cs="Calibri"/>
          <w:sz w:val="20"/>
          <w:szCs w:val="20"/>
        </w:rPr>
        <w:t xml:space="preserve"> Trust should assess whether the change to the </w:t>
      </w:r>
      <w:r w:rsidR="00705C60" w:rsidRPr="00997DC1">
        <w:rPr>
          <w:rFonts w:ascii="Calibri" w:hAnsi="Calibri" w:cs="Calibri"/>
          <w:sz w:val="20"/>
          <w:szCs w:val="20"/>
        </w:rPr>
        <w:t>radiographers</w:t>
      </w:r>
      <w:r w:rsidR="00997DC1" w:rsidRPr="00997DC1">
        <w:rPr>
          <w:rFonts w:ascii="Calibri" w:hAnsi="Calibri" w:cs="Calibri"/>
          <w:sz w:val="20"/>
          <w:szCs w:val="20"/>
        </w:rPr>
        <w:t xml:space="preserve"> hours was properly communicated and whether the employee was consulted about the change. If the </w:t>
      </w:r>
      <w:r w:rsidR="00705C60" w:rsidRPr="00997DC1">
        <w:rPr>
          <w:rFonts w:ascii="Calibri" w:hAnsi="Calibri" w:cs="Calibri"/>
          <w:sz w:val="20"/>
          <w:szCs w:val="20"/>
        </w:rPr>
        <w:t>radiographers</w:t>
      </w:r>
      <w:r w:rsidR="00997DC1" w:rsidRPr="00997DC1">
        <w:rPr>
          <w:rFonts w:ascii="Calibri" w:hAnsi="Calibri" w:cs="Calibri"/>
          <w:sz w:val="20"/>
          <w:szCs w:val="20"/>
        </w:rPr>
        <w:t xml:space="preserve"> resignation was directly linked to a breach of contract, they may be entitled to claim. However, the claim must be made within the time limits set by the Employment Tribunal</w:t>
      </w:r>
      <w:r w:rsidR="00705C60">
        <w:rPr>
          <w:rFonts w:ascii="Calibri" w:hAnsi="Calibri" w:cs="Calibri"/>
          <w:sz w:val="20"/>
          <w:szCs w:val="20"/>
        </w:rPr>
        <w:t>.</w:t>
      </w:r>
      <w:r w:rsidR="00C1774D">
        <w:rPr>
          <w:rFonts w:ascii="Calibri" w:hAnsi="Calibri" w:cs="Calibri"/>
          <w:sz w:val="20"/>
          <w:szCs w:val="20"/>
        </w:rPr>
        <w:t xml:space="preserve"> (ACAS,2024)</w:t>
      </w:r>
    </w:p>
    <w:p w14:paraId="4892145E" w14:textId="4877DEF3" w:rsidR="00176998" w:rsidRDefault="00997DC1" w:rsidP="00176998">
      <w:pPr>
        <w:pStyle w:val="NormalWeb"/>
        <w:rPr>
          <w:rFonts w:ascii="Calibri" w:hAnsi="Calibri" w:cs="Calibri"/>
          <w:sz w:val="20"/>
          <w:szCs w:val="20"/>
        </w:rPr>
      </w:pPr>
      <w:r w:rsidRPr="00997DC1">
        <w:rPr>
          <w:rFonts w:ascii="Calibri" w:hAnsi="Calibri" w:cs="Calibri"/>
          <w:sz w:val="20"/>
          <w:szCs w:val="20"/>
        </w:rPr>
        <w:t xml:space="preserve">As a preventative measure, it is </w:t>
      </w:r>
      <w:r w:rsidR="00176998">
        <w:rPr>
          <w:rFonts w:ascii="Calibri" w:hAnsi="Calibri" w:cs="Calibri"/>
          <w:sz w:val="20"/>
          <w:szCs w:val="20"/>
        </w:rPr>
        <w:t>important</w:t>
      </w:r>
      <w:r w:rsidRPr="00997DC1">
        <w:rPr>
          <w:rFonts w:ascii="Calibri" w:hAnsi="Calibri" w:cs="Calibri"/>
          <w:sz w:val="20"/>
          <w:szCs w:val="20"/>
        </w:rPr>
        <w:t xml:space="preserve"> for the Trust to ensure that any contract variations are handled carefully, ensuring proper communication, consultation, and agreement from employees</w:t>
      </w:r>
      <w:r w:rsidR="00176998">
        <w:rPr>
          <w:rFonts w:ascii="Calibri" w:hAnsi="Calibri" w:cs="Calibri"/>
          <w:sz w:val="20"/>
          <w:szCs w:val="20"/>
        </w:rPr>
        <w:t>.</w:t>
      </w:r>
      <w:r w:rsidR="005A34DA">
        <w:rPr>
          <w:rFonts w:ascii="Calibri" w:hAnsi="Calibri" w:cs="Calibri"/>
          <w:sz w:val="20"/>
          <w:szCs w:val="20"/>
        </w:rPr>
        <w:t xml:space="preserve"> </w:t>
      </w:r>
      <w:r w:rsidR="005A207D">
        <w:rPr>
          <w:rFonts w:ascii="Calibri" w:hAnsi="Calibri" w:cs="Calibri"/>
          <w:sz w:val="20"/>
          <w:szCs w:val="20"/>
        </w:rPr>
        <w:t>(Citizens Advice, n,d. Claiming constructive dismissal)</w:t>
      </w:r>
      <w:r w:rsidR="005A207D">
        <w:rPr>
          <w:rStyle w:val="Strong"/>
          <w:rFonts w:eastAsiaTheme="majorEastAsia"/>
        </w:rPr>
        <w:t>.</w:t>
      </w:r>
    </w:p>
    <w:p w14:paraId="5553BF7B" w14:textId="77777777" w:rsidR="004D5EBF" w:rsidRDefault="004D5EBF" w:rsidP="00920013">
      <w:pPr>
        <w:spacing w:line="240" w:lineRule="auto"/>
        <w:rPr>
          <w:rFonts w:ascii="Calibri" w:hAnsi="Calibri" w:cs="Calibri"/>
          <w:sz w:val="20"/>
          <w:szCs w:val="20"/>
        </w:rPr>
      </w:pPr>
    </w:p>
    <w:p w14:paraId="6F733405" w14:textId="77777777" w:rsidR="004D5EBF" w:rsidRDefault="004D5EBF" w:rsidP="00920013">
      <w:pPr>
        <w:spacing w:line="240" w:lineRule="auto"/>
        <w:rPr>
          <w:rFonts w:ascii="Calibri" w:hAnsi="Calibri" w:cs="Calibri"/>
          <w:sz w:val="20"/>
          <w:szCs w:val="20"/>
        </w:rPr>
      </w:pPr>
    </w:p>
    <w:p w14:paraId="520E4076" w14:textId="77777777" w:rsidR="004D5EBF" w:rsidRDefault="004D5EBF" w:rsidP="00920013">
      <w:pPr>
        <w:spacing w:line="240" w:lineRule="auto"/>
        <w:rPr>
          <w:rFonts w:ascii="Calibri" w:hAnsi="Calibri" w:cs="Calibri"/>
          <w:sz w:val="20"/>
          <w:szCs w:val="20"/>
        </w:rPr>
      </w:pPr>
    </w:p>
    <w:p w14:paraId="66654E2C" w14:textId="319F946F" w:rsidR="00920013" w:rsidRPr="00176998" w:rsidRDefault="00176998" w:rsidP="00920013">
      <w:pPr>
        <w:spacing w:line="240" w:lineRule="auto"/>
        <w:rPr>
          <w:rFonts w:ascii="Calibri" w:hAnsi="Calibri" w:cs="Calibri"/>
          <w:b/>
          <w:bCs/>
          <w:sz w:val="20"/>
          <w:szCs w:val="20"/>
        </w:rPr>
      </w:pPr>
      <w:r w:rsidRPr="00176998">
        <w:rPr>
          <w:rFonts w:ascii="Calibri" w:hAnsi="Calibri" w:cs="Calibri"/>
          <w:sz w:val="20"/>
          <w:szCs w:val="20"/>
        </w:rPr>
        <w:t>AC3.2</w:t>
      </w:r>
    </w:p>
    <w:p w14:paraId="4F8D67A3" w14:textId="4EFF62FF" w:rsidR="00176998" w:rsidRPr="00611ECE" w:rsidRDefault="00176998" w:rsidP="00176998">
      <w:pPr>
        <w:pStyle w:val="NormalWeb"/>
        <w:rPr>
          <w:rFonts w:ascii="Calibri" w:hAnsi="Calibri" w:cs="Calibri"/>
          <w:sz w:val="20"/>
          <w:szCs w:val="20"/>
        </w:rPr>
      </w:pPr>
      <w:r w:rsidRPr="00611ECE">
        <w:rPr>
          <w:rFonts w:ascii="Calibri" w:hAnsi="Calibri" w:cs="Calibri"/>
          <w:sz w:val="20"/>
          <w:szCs w:val="20"/>
        </w:rPr>
        <w:t xml:space="preserve">The senior managers approach to handling the reorganisation and redundancies raises concerns about the legal requirements around redundancy procedures. </w:t>
      </w:r>
      <w:r w:rsidR="00F54868">
        <w:rPr>
          <w:rFonts w:ascii="Calibri" w:hAnsi="Calibri" w:cs="Calibri"/>
          <w:sz w:val="20"/>
          <w:szCs w:val="20"/>
        </w:rPr>
        <w:t>I</w:t>
      </w:r>
      <w:r w:rsidRPr="00611ECE">
        <w:rPr>
          <w:rFonts w:ascii="Calibri" w:hAnsi="Calibri" w:cs="Calibri"/>
          <w:sz w:val="20"/>
          <w:szCs w:val="20"/>
        </w:rPr>
        <w:t>t’s important to understand that redundancy processes need to comply with employment law to avoid any legal issues.</w:t>
      </w:r>
    </w:p>
    <w:p w14:paraId="7ECDC0E3" w14:textId="4E2B8F62" w:rsidR="00176998" w:rsidRPr="000179C9" w:rsidRDefault="00176998" w:rsidP="00176998">
      <w:pPr>
        <w:pStyle w:val="NormalWeb"/>
        <w:rPr>
          <w:rFonts w:ascii="Calibri" w:hAnsi="Calibri" w:cs="Calibri"/>
          <w:color w:val="FF0000"/>
          <w:sz w:val="20"/>
          <w:szCs w:val="20"/>
        </w:rPr>
      </w:pPr>
      <w:r w:rsidRPr="00176998">
        <w:rPr>
          <w:rFonts w:ascii="Calibri" w:hAnsi="Calibri" w:cs="Calibri"/>
          <w:sz w:val="20"/>
          <w:szCs w:val="20"/>
        </w:rPr>
        <w:t>Under UK law, particularly the Employment Rights Act 1996, employees who are being made redundant must be consulted properly</w:t>
      </w:r>
      <w:r w:rsidR="000179C9">
        <w:rPr>
          <w:rFonts w:ascii="Calibri" w:hAnsi="Calibri" w:cs="Calibri"/>
          <w:sz w:val="20"/>
          <w:szCs w:val="20"/>
        </w:rPr>
        <w:t>.</w:t>
      </w:r>
      <w:r w:rsidRPr="00176998">
        <w:rPr>
          <w:rFonts w:ascii="Calibri" w:hAnsi="Calibri" w:cs="Calibri"/>
          <w:sz w:val="20"/>
          <w:szCs w:val="20"/>
        </w:rPr>
        <w:t xml:space="preserve"> </w:t>
      </w:r>
      <w:r w:rsidRPr="000179C9">
        <w:rPr>
          <w:rFonts w:ascii="Calibri" w:hAnsi="Calibri" w:cs="Calibri"/>
          <w:strike/>
          <w:sz w:val="20"/>
          <w:szCs w:val="20"/>
        </w:rPr>
        <w:t>even if the redundancy is due to poor performance.</w:t>
      </w:r>
      <w:r w:rsidRPr="00176998">
        <w:rPr>
          <w:rFonts w:ascii="Calibri" w:hAnsi="Calibri" w:cs="Calibri"/>
          <w:sz w:val="20"/>
          <w:szCs w:val="20"/>
        </w:rPr>
        <w:t xml:space="preserve"> Consultation is a key part of the redundancy process. Employees must have the chance to discuss the situation, consider alternatives to redundancy, </w:t>
      </w:r>
      <w:r w:rsidR="00F54868">
        <w:rPr>
          <w:rFonts w:ascii="Calibri" w:hAnsi="Calibri" w:cs="Calibri"/>
          <w:sz w:val="20"/>
          <w:szCs w:val="20"/>
        </w:rPr>
        <w:t>h</w:t>
      </w:r>
      <w:r w:rsidRPr="00176998">
        <w:rPr>
          <w:rFonts w:ascii="Calibri" w:hAnsi="Calibri" w:cs="Calibri"/>
          <w:sz w:val="20"/>
          <w:szCs w:val="20"/>
        </w:rPr>
        <w:t xml:space="preserve">ave input into the selection process. The consultation needs to be meaningful and happen within a reasonable timeframe. </w:t>
      </w:r>
      <w:r w:rsidR="00F54868">
        <w:rPr>
          <w:rFonts w:ascii="Calibri" w:hAnsi="Calibri" w:cs="Calibri"/>
          <w:sz w:val="20"/>
          <w:szCs w:val="20"/>
        </w:rPr>
        <w:t xml:space="preserve">Employees should </w:t>
      </w:r>
      <w:r w:rsidRPr="00176998">
        <w:rPr>
          <w:rFonts w:ascii="Calibri" w:hAnsi="Calibri" w:cs="Calibri"/>
          <w:sz w:val="20"/>
          <w:szCs w:val="20"/>
        </w:rPr>
        <w:t>be given the opportunity to raise concerns and suggest other options.</w:t>
      </w:r>
      <w:r w:rsidR="000179C9">
        <w:rPr>
          <w:rFonts w:ascii="Calibri" w:hAnsi="Calibri" w:cs="Calibri"/>
          <w:sz w:val="20"/>
          <w:szCs w:val="20"/>
        </w:rPr>
        <w:t xml:space="preserve"> </w:t>
      </w:r>
      <w:r w:rsidR="000179C9">
        <w:rPr>
          <w:rFonts w:ascii="Calibri" w:hAnsi="Calibri" w:cs="Calibri"/>
          <w:color w:val="FF0000"/>
          <w:sz w:val="20"/>
          <w:szCs w:val="20"/>
        </w:rPr>
        <w:t xml:space="preserve">However, it is important to note that an employee can not be subject to a redundancy due to poor performance. </w:t>
      </w:r>
      <w:r w:rsidR="00A560EA">
        <w:rPr>
          <w:rFonts w:ascii="Calibri" w:hAnsi="Calibri" w:cs="Calibri"/>
          <w:color w:val="FF0000"/>
          <w:sz w:val="20"/>
          <w:szCs w:val="20"/>
        </w:rPr>
        <w:t xml:space="preserve">(Springhouse law, 2025) </w:t>
      </w:r>
    </w:p>
    <w:p w14:paraId="366DBB27" w14:textId="3B83E519" w:rsidR="00176998" w:rsidRPr="006F76E4" w:rsidRDefault="00176998" w:rsidP="00176998">
      <w:pPr>
        <w:pStyle w:val="NormalWeb"/>
        <w:rPr>
          <w:rFonts w:ascii="Calibri" w:hAnsi="Calibri" w:cs="Calibri"/>
          <w:strike/>
          <w:sz w:val="20"/>
          <w:szCs w:val="20"/>
        </w:rPr>
      </w:pPr>
      <w:r w:rsidRPr="006F76E4">
        <w:rPr>
          <w:rFonts w:ascii="Calibri" w:hAnsi="Calibri" w:cs="Calibri"/>
          <w:strike/>
          <w:sz w:val="20"/>
          <w:szCs w:val="20"/>
        </w:rPr>
        <w:t xml:space="preserve">For bigger redundancies, if 50 or more jobs are being lost, the employer </w:t>
      </w:r>
      <w:r w:rsidR="00705C60" w:rsidRPr="006F76E4">
        <w:rPr>
          <w:rFonts w:ascii="Calibri" w:hAnsi="Calibri" w:cs="Calibri"/>
          <w:strike/>
          <w:sz w:val="20"/>
          <w:szCs w:val="20"/>
        </w:rPr>
        <w:t>must</w:t>
      </w:r>
      <w:r w:rsidRPr="006F76E4">
        <w:rPr>
          <w:rFonts w:ascii="Calibri" w:hAnsi="Calibri" w:cs="Calibri"/>
          <w:strike/>
          <w:sz w:val="20"/>
          <w:szCs w:val="20"/>
        </w:rPr>
        <w:t xml:space="preserve"> do collective consultation with union representatives or employee representatives if there’s no union. This consultation must start at least 30 days before the first dismissal if 20 or more employees are affected. The consultation must genuinely cover things like why redundancies are happening, how people will be chosen for redundancy, if there are any other ways to avoid it. If the employer doesn’t do this consultation properly, they could face protective awards, which are payments to the affected employees for up to 90 days if the process wasn’t done right.</w:t>
      </w:r>
      <w:r w:rsidR="00264EBF" w:rsidRPr="006F76E4">
        <w:rPr>
          <w:rFonts w:ascii="Calibri" w:hAnsi="Calibri" w:cs="Calibri"/>
          <w:strike/>
          <w:sz w:val="20"/>
          <w:szCs w:val="20"/>
        </w:rPr>
        <w:t xml:space="preserve"> (GOV.UK, </w:t>
      </w:r>
      <w:r w:rsidR="00D83340" w:rsidRPr="006F76E4">
        <w:rPr>
          <w:rFonts w:ascii="Calibri" w:hAnsi="Calibri" w:cs="Calibri"/>
          <w:strike/>
          <w:sz w:val="20"/>
          <w:szCs w:val="20"/>
        </w:rPr>
        <w:t>2025)</w:t>
      </w:r>
    </w:p>
    <w:p w14:paraId="2AB19638" w14:textId="4F7C15ED" w:rsidR="00176998" w:rsidRPr="0009511B" w:rsidRDefault="00176998" w:rsidP="00176998">
      <w:pPr>
        <w:pStyle w:val="NormalWeb"/>
        <w:rPr>
          <w:rFonts w:ascii="Calibri" w:hAnsi="Calibri" w:cs="Calibri"/>
          <w:strike/>
          <w:sz w:val="20"/>
          <w:szCs w:val="20"/>
        </w:rPr>
      </w:pPr>
      <w:r w:rsidRPr="0009511B">
        <w:rPr>
          <w:rFonts w:ascii="Calibri" w:hAnsi="Calibri" w:cs="Calibri"/>
          <w:strike/>
          <w:sz w:val="20"/>
          <w:szCs w:val="20"/>
        </w:rPr>
        <w:t>The selection process for redundancy also must be fair. Employers should use clear and objective goals when picking who will be made redundant, such as skills, experience, qualifications, and attendance. The process must be applied consistently. If employees are selected for redundancy based on other factors, like personal bias or just because they’re the "poorest performers," the employer could face claims of unfair dismissal. Employees should also have the chance to challenge their selection and explain why they think they shouldn’t be made redundant. Employers should also consider offering employees alternative roles within the company if they are available.</w:t>
      </w:r>
      <w:r w:rsidR="005A207D" w:rsidRPr="0009511B">
        <w:rPr>
          <w:rFonts w:ascii="Calibri" w:hAnsi="Calibri" w:cs="Calibri"/>
          <w:strike/>
          <w:sz w:val="20"/>
          <w:szCs w:val="20"/>
        </w:rPr>
        <w:t xml:space="preserve"> (ACAS. n.d. Advice.)</w:t>
      </w:r>
      <w:r w:rsidR="005A207D" w:rsidRPr="0009511B">
        <w:rPr>
          <w:rStyle w:val="Heading1Char"/>
          <w:strike/>
        </w:rPr>
        <w:t xml:space="preserve"> </w:t>
      </w:r>
    </w:p>
    <w:p w14:paraId="79DCAE05" w14:textId="4269A4E9" w:rsidR="00176998" w:rsidRPr="0009511B" w:rsidRDefault="00176998" w:rsidP="00176998">
      <w:pPr>
        <w:pStyle w:val="NormalWeb"/>
        <w:rPr>
          <w:rFonts w:ascii="Calibri" w:hAnsi="Calibri" w:cs="Calibri"/>
          <w:strike/>
          <w:sz w:val="20"/>
          <w:szCs w:val="20"/>
        </w:rPr>
      </w:pPr>
      <w:r w:rsidRPr="0009511B">
        <w:rPr>
          <w:rFonts w:ascii="Calibri" w:hAnsi="Calibri" w:cs="Calibri"/>
          <w:strike/>
          <w:sz w:val="20"/>
          <w:szCs w:val="20"/>
        </w:rPr>
        <w:lastRenderedPageBreak/>
        <w:t>If an employee feels they’ve been unfairly selected for redundancy, they can appeal the decision within the company. If that doesn’t work, they can take the matter to an employment tribunal. The tribunal will look at whether the redundancy process was fair, whether the consultation was proper, whether the selection criteria were followed, and whether alternatives were considered.</w:t>
      </w:r>
      <w:r w:rsidR="009913D1" w:rsidRPr="0009511B">
        <w:rPr>
          <w:rFonts w:ascii="Calibri" w:hAnsi="Calibri" w:cs="Calibri"/>
          <w:strike/>
          <w:sz w:val="20"/>
          <w:szCs w:val="20"/>
        </w:rPr>
        <w:t xml:space="preserve"> (GOV.UK,2025)</w:t>
      </w:r>
    </w:p>
    <w:p w14:paraId="220CE131" w14:textId="258D782F" w:rsidR="00176998" w:rsidRPr="00176998" w:rsidRDefault="00176998" w:rsidP="00176998">
      <w:pPr>
        <w:pStyle w:val="NormalWeb"/>
        <w:rPr>
          <w:rFonts w:ascii="Calibri" w:hAnsi="Calibri" w:cs="Calibri"/>
          <w:sz w:val="20"/>
          <w:szCs w:val="20"/>
        </w:rPr>
      </w:pPr>
      <w:r w:rsidRPr="0089210B">
        <w:rPr>
          <w:rFonts w:ascii="Calibri" w:hAnsi="Calibri" w:cs="Calibri"/>
          <w:strike/>
          <w:sz w:val="20"/>
          <w:szCs w:val="20"/>
        </w:rPr>
        <w:t>To get the redundancy process right,</w:t>
      </w:r>
      <w:r w:rsidRPr="00176998">
        <w:rPr>
          <w:rFonts w:ascii="Calibri" w:hAnsi="Calibri" w:cs="Calibri"/>
          <w:sz w:val="20"/>
          <w:szCs w:val="20"/>
        </w:rPr>
        <w:t xml:space="preserve"> </w:t>
      </w:r>
      <w:r w:rsidR="0089210B">
        <w:rPr>
          <w:rFonts w:ascii="Calibri" w:hAnsi="Calibri" w:cs="Calibri"/>
          <w:sz w:val="20"/>
          <w:szCs w:val="20"/>
        </w:rPr>
        <w:t>T</w:t>
      </w:r>
      <w:r w:rsidRPr="00176998">
        <w:rPr>
          <w:rFonts w:ascii="Calibri" w:hAnsi="Calibri" w:cs="Calibri"/>
          <w:sz w:val="20"/>
          <w:szCs w:val="20"/>
        </w:rPr>
        <w:t xml:space="preserve">he senior manager must make sure that proper consultation is done, both individually and with employee representatives. The selection process </w:t>
      </w:r>
      <w:r w:rsidR="00206A60" w:rsidRPr="00176998">
        <w:rPr>
          <w:rFonts w:ascii="Calibri" w:hAnsi="Calibri" w:cs="Calibri"/>
          <w:sz w:val="20"/>
          <w:szCs w:val="20"/>
        </w:rPr>
        <w:t>must</w:t>
      </w:r>
      <w:r w:rsidRPr="00176998">
        <w:rPr>
          <w:rFonts w:ascii="Calibri" w:hAnsi="Calibri" w:cs="Calibri"/>
          <w:sz w:val="20"/>
          <w:szCs w:val="20"/>
        </w:rPr>
        <w:t xml:space="preserve"> be fair, clear, and based on objective </w:t>
      </w:r>
      <w:r>
        <w:rPr>
          <w:rFonts w:ascii="Calibri" w:hAnsi="Calibri" w:cs="Calibri"/>
          <w:sz w:val="20"/>
          <w:szCs w:val="20"/>
        </w:rPr>
        <w:t>targets</w:t>
      </w:r>
      <w:r w:rsidRPr="00176998">
        <w:rPr>
          <w:rFonts w:ascii="Calibri" w:hAnsi="Calibri" w:cs="Calibri"/>
          <w:sz w:val="20"/>
          <w:szCs w:val="20"/>
        </w:rPr>
        <w:t>. Rushing through or skipping these legal steps could lead to legal challenges, like unfair dismissal claims or tribunal cases</w:t>
      </w:r>
      <w:r w:rsidR="00206A60">
        <w:rPr>
          <w:rFonts w:ascii="Calibri" w:hAnsi="Calibri" w:cs="Calibri"/>
          <w:sz w:val="20"/>
          <w:szCs w:val="20"/>
        </w:rPr>
        <w:t>.</w:t>
      </w:r>
    </w:p>
    <w:p w14:paraId="6327D384"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Employees who have been with the company for at least two years are entitled to statutory redundancy pay. The amount depends on their age, length of service, and how much they earn (subject to a cap). Employers need to make sure that the redundancy pay is calculated correctly and paid on time.</w:t>
      </w:r>
    </w:p>
    <w:p w14:paraId="036D6C6B" w14:textId="6D1E193D" w:rsidR="00176998" w:rsidRDefault="004D5EBF" w:rsidP="00176998">
      <w:pPr>
        <w:pStyle w:val="NormalWeb"/>
        <w:rPr>
          <w:rFonts w:ascii="Calibri" w:hAnsi="Calibri" w:cs="Calibri"/>
          <w:sz w:val="20"/>
          <w:szCs w:val="20"/>
        </w:rPr>
      </w:pPr>
      <w:r>
        <w:rPr>
          <w:rFonts w:ascii="Calibri" w:hAnsi="Calibri" w:cs="Calibri"/>
          <w:sz w:val="20"/>
          <w:szCs w:val="20"/>
        </w:rPr>
        <w:t xml:space="preserve">Employees </w:t>
      </w:r>
      <w:r w:rsidRPr="00176998">
        <w:rPr>
          <w:rFonts w:ascii="Calibri" w:hAnsi="Calibri" w:cs="Calibri"/>
          <w:sz w:val="20"/>
          <w:szCs w:val="20"/>
        </w:rPr>
        <w:t>are</w:t>
      </w:r>
      <w:r w:rsidR="00176998" w:rsidRPr="00176998">
        <w:rPr>
          <w:rFonts w:ascii="Calibri" w:hAnsi="Calibri" w:cs="Calibri"/>
          <w:sz w:val="20"/>
          <w:szCs w:val="20"/>
        </w:rPr>
        <w:t xml:space="preserve"> entitled to a minimum notice period depending on how long they’ve been with the company. This ranges from one week’s notice for each full year of service, up to a maximum of 12 weeks.</w:t>
      </w:r>
      <w:r w:rsidR="005A207D">
        <w:rPr>
          <w:rFonts w:ascii="Calibri" w:hAnsi="Calibri" w:cs="Calibri"/>
          <w:sz w:val="20"/>
          <w:szCs w:val="20"/>
        </w:rPr>
        <w:t xml:space="preserve"> (CIPD, n.d. Redundancy factsheet)</w:t>
      </w:r>
      <w:r w:rsidR="005A34DA">
        <w:rPr>
          <w:rFonts w:ascii="Calibri" w:hAnsi="Calibri" w:cs="Calibri"/>
          <w:sz w:val="20"/>
          <w:szCs w:val="20"/>
        </w:rPr>
        <w:t xml:space="preserve"> </w:t>
      </w:r>
    </w:p>
    <w:p w14:paraId="2658A2D5" w14:textId="7433A35B" w:rsidR="00BB3C17" w:rsidRPr="00BB3C17" w:rsidRDefault="00BB3C17" w:rsidP="00BB3C17">
      <w:pPr>
        <w:spacing w:before="100" w:beforeAutospacing="1" w:after="100" w:afterAutospacing="1" w:line="240" w:lineRule="auto"/>
        <w:rPr>
          <w:rFonts w:ascii="Calibri" w:eastAsia="Times New Roman" w:hAnsi="Calibri" w:cs="Calibri"/>
          <w:color w:val="FF0000"/>
          <w:sz w:val="20"/>
          <w:szCs w:val="20"/>
          <w:lang w:eastAsia="en-GB"/>
        </w:rPr>
      </w:pPr>
      <w:r w:rsidRPr="00BB3C17">
        <w:rPr>
          <w:rFonts w:ascii="Calibri" w:eastAsia="Times New Roman" w:hAnsi="Calibri" w:cs="Calibri"/>
          <w:color w:val="FF0000"/>
          <w:sz w:val="20"/>
          <w:szCs w:val="20"/>
          <w:lang w:eastAsia="en-GB"/>
        </w:rPr>
        <w:t>If the senior manager wants to move quickly with redundancies, it's crucial to follow the legal steps to avoid any issues. Under the Employment Rights Act 1996, proper consultation is a must, even if it's down to poor performance. Employees need the chance to discuss the situation, consider alternatives, and have input on how the selection is made. If more than 50 roles are being cut, the manager needs to start a consultation with unions or employee reps at least 30 days before dismissals. Not doing this properly could lead to compensation for affected employees.</w:t>
      </w:r>
      <w:r w:rsidR="009F1BDD">
        <w:rPr>
          <w:rFonts w:ascii="Calibri" w:eastAsia="Times New Roman" w:hAnsi="Calibri" w:cs="Calibri"/>
          <w:color w:val="FF0000"/>
          <w:sz w:val="20"/>
          <w:szCs w:val="20"/>
          <w:lang w:eastAsia="en-GB"/>
        </w:rPr>
        <w:t xml:space="preserve"> </w:t>
      </w:r>
      <w:r w:rsidR="009F1BDD" w:rsidRPr="00F96648">
        <w:rPr>
          <w:rFonts w:ascii="Calibri" w:hAnsi="Calibri" w:cs="Calibri"/>
          <w:color w:val="FF0000"/>
          <w:sz w:val="20"/>
          <w:szCs w:val="20"/>
        </w:rPr>
        <w:t>(Employment Rights Act 1996, 1996)</w:t>
      </w:r>
    </w:p>
    <w:p w14:paraId="316B98A0" w14:textId="11B98C0B" w:rsidR="00BB3C17" w:rsidRPr="00BB3C17" w:rsidRDefault="00BB3C17" w:rsidP="00BB3C17">
      <w:pPr>
        <w:spacing w:before="100" w:beforeAutospacing="1" w:after="100" w:afterAutospacing="1" w:line="240" w:lineRule="auto"/>
        <w:rPr>
          <w:rFonts w:ascii="Calibri" w:eastAsia="Times New Roman" w:hAnsi="Calibri" w:cs="Calibri"/>
          <w:color w:val="FF0000"/>
          <w:sz w:val="20"/>
          <w:szCs w:val="20"/>
          <w:lang w:eastAsia="en-GB"/>
        </w:rPr>
      </w:pPr>
      <w:r w:rsidRPr="00BB3C17">
        <w:rPr>
          <w:rFonts w:ascii="Calibri" w:eastAsia="Times New Roman" w:hAnsi="Calibri" w:cs="Calibri"/>
          <w:color w:val="FF0000"/>
          <w:sz w:val="20"/>
          <w:szCs w:val="20"/>
          <w:lang w:eastAsia="en-GB"/>
        </w:rPr>
        <w:t>The selection process needs to be fair, using clear and objective criteria like skills, experience, and qualifications. Rushing through decisions or picking based solely on performance without clear reasons could lead to claims of unfair dismissal. Employees with two or more years service are also entitled to redundancy pay and notice periods, which need to be sorted correctly to avoid legal trouble.</w:t>
      </w:r>
    </w:p>
    <w:p w14:paraId="2049B631" w14:textId="14B38796" w:rsidR="003B0C9E" w:rsidRPr="00176998" w:rsidRDefault="00176998" w:rsidP="00176998">
      <w:pPr>
        <w:pStyle w:val="NormalWeb"/>
        <w:rPr>
          <w:rFonts w:ascii="Calibri" w:hAnsi="Calibri" w:cs="Calibri"/>
          <w:sz w:val="20"/>
          <w:szCs w:val="20"/>
        </w:rPr>
      </w:pPr>
      <w:r w:rsidRPr="00176998">
        <w:rPr>
          <w:rFonts w:ascii="Calibri" w:hAnsi="Calibri" w:cs="Calibri"/>
          <w:sz w:val="20"/>
          <w:szCs w:val="20"/>
        </w:rPr>
        <w:t>AC 3.3</w:t>
      </w:r>
    </w:p>
    <w:p w14:paraId="524C1486" w14:textId="4D33278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potential merger of the two pharmacy operations brings up some important legal </w:t>
      </w:r>
      <w:r w:rsidR="00206A60">
        <w:rPr>
          <w:rFonts w:ascii="Calibri" w:hAnsi="Calibri" w:cs="Calibri"/>
          <w:sz w:val="20"/>
          <w:szCs w:val="20"/>
        </w:rPr>
        <w:t>criteria</w:t>
      </w:r>
      <w:r w:rsidRPr="00176998">
        <w:rPr>
          <w:rFonts w:ascii="Calibri" w:hAnsi="Calibri" w:cs="Calibri"/>
          <w:sz w:val="20"/>
          <w:szCs w:val="20"/>
        </w:rPr>
        <w:t xml:space="preserve"> under the Transfer of Undertakings (Protection of Employment) Regulations 2006, TUPE</w:t>
      </w:r>
      <w:r w:rsidR="00206A60">
        <w:rPr>
          <w:rFonts w:ascii="Calibri" w:hAnsi="Calibri" w:cs="Calibri"/>
          <w:sz w:val="20"/>
          <w:szCs w:val="20"/>
        </w:rPr>
        <w:t>.</w:t>
      </w:r>
      <w:r w:rsidRPr="00176998">
        <w:rPr>
          <w:rFonts w:ascii="Calibri" w:hAnsi="Calibri" w:cs="Calibri"/>
          <w:sz w:val="20"/>
          <w:szCs w:val="20"/>
        </w:rPr>
        <w:t xml:space="preserve"> TUPE is there to protect employees rights when part or all of a business is transferred to a new employer.</w:t>
      </w:r>
      <w:r w:rsidR="005A207D">
        <w:rPr>
          <w:rFonts w:ascii="Calibri" w:hAnsi="Calibri" w:cs="Calibri"/>
          <w:sz w:val="20"/>
          <w:szCs w:val="20"/>
        </w:rPr>
        <w:t xml:space="preserve"> (ACAS, n.d. TUPE)</w:t>
      </w:r>
      <w:r w:rsidR="005A34DA">
        <w:rPr>
          <w:rFonts w:ascii="Calibri" w:hAnsi="Calibri" w:cs="Calibri"/>
          <w:sz w:val="20"/>
          <w:szCs w:val="20"/>
        </w:rPr>
        <w:t xml:space="preserve"> </w:t>
      </w:r>
    </w:p>
    <w:p w14:paraId="0C69BB52" w14:textId="702593C6"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If the merger goes ahead, it’s likely that the employees affected by the transfer will be covered by TUPE. This means they’ll automatically transfer to the new, centralised pharmacy operation. The new employer will have to keep the employees</w:t>
      </w:r>
      <w:r w:rsidR="00D7707C">
        <w:rPr>
          <w:rFonts w:ascii="Calibri" w:hAnsi="Calibri" w:cs="Calibri"/>
          <w:sz w:val="20"/>
          <w:szCs w:val="20"/>
        </w:rPr>
        <w:t xml:space="preserve"> </w:t>
      </w:r>
      <w:r w:rsidRPr="00176998">
        <w:rPr>
          <w:rFonts w:ascii="Calibri" w:hAnsi="Calibri" w:cs="Calibri"/>
          <w:sz w:val="20"/>
          <w:szCs w:val="20"/>
        </w:rPr>
        <w:t>existing terms and conditions, like their salary, benefits, and any other contractual rights. The new employer will also take on any liabilities the old employer had, like ongoing disputes or any unused holiday entitlements.</w:t>
      </w:r>
      <w:r w:rsidR="00206A60">
        <w:rPr>
          <w:rFonts w:ascii="Calibri" w:hAnsi="Calibri" w:cs="Calibri"/>
          <w:sz w:val="20"/>
          <w:szCs w:val="20"/>
        </w:rPr>
        <w:t xml:space="preserve"> </w:t>
      </w:r>
      <w:r w:rsidRPr="00176998">
        <w:rPr>
          <w:rFonts w:ascii="Calibri" w:hAnsi="Calibri" w:cs="Calibri"/>
          <w:sz w:val="20"/>
          <w:szCs w:val="20"/>
        </w:rPr>
        <w:t xml:space="preserve">As well as protecting the </w:t>
      </w:r>
      <w:r w:rsidR="00206A60" w:rsidRPr="00176998">
        <w:rPr>
          <w:rFonts w:ascii="Calibri" w:hAnsi="Calibri" w:cs="Calibri"/>
          <w:sz w:val="20"/>
          <w:szCs w:val="20"/>
        </w:rPr>
        <w:t>employee’s</w:t>
      </w:r>
      <w:r w:rsidR="00D7707C">
        <w:rPr>
          <w:rFonts w:ascii="Calibri" w:hAnsi="Calibri" w:cs="Calibri"/>
          <w:sz w:val="20"/>
          <w:szCs w:val="20"/>
        </w:rPr>
        <w:t xml:space="preserve"> </w:t>
      </w:r>
      <w:r w:rsidRPr="00176998">
        <w:rPr>
          <w:rFonts w:ascii="Calibri" w:hAnsi="Calibri" w:cs="Calibri"/>
          <w:sz w:val="20"/>
          <w:szCs w:val="20"/>
        </w:rPr>
        <w:t>terms and conditions, TUPE also requires that employees are properly informed and consulted about the transfer. The employer needs to give them the details about why the transfer is happening, when it will likely take place, and what it means for their job. This consultation needs to happen before the transfer, it can involve union reps or employee representatives</w:t>
      </w:r>
      <w:r w:rsidR="00206A60">
        <w:rPr>
          <w:rFonts w:ascii="Calibri" w:hAnsi="Calibri" w:cs="Calibri"/>
          <w:sz w:val="20"/>
          <w:szCs w:val="20"/>
        </w:rPr>
        <w:t>.</w:t>
      </w:r>
      <w:r w:rsidR="00FD24F1">
        <w:rPr>
          <w:rFonts w:ascii="Calibri" w:hAnsi="Calibri" w:cs="Calibri"/>
          <w:sz w:val="20"/>
          <w:szCs w:val="20"/>
        </w:rPr>
        <w:t xml:space="preserve"> (ACAS, 2024)</w:t>
      </w:r>
    </w:p>
    <w:p w14:paraId="4F43FAF3" w14:textId="381E5461" w:rsidR="00176998" w:rsidRPr="008240F4" w:rsidRDefault="00176998" w:rsidP="00176998">
      <w:pPr>
        <w:pStyle w:val="NormalWeb"/>
        <w:rPr>
          <w:rFonts w:ascii="Calibri" w:hAnsi="Calibri" w:cs="Calibri"/>
          <w:strike/>
          <w:sz w:val="20"/>
          <w:szCs w:val="20"/>
        </w:rPr>
      </w:pPr>
      <w:r w:rsidRPr="008240F4">
        <w:rPr>
          <w:rFonts w:ascii="Calibri" w:hAnsi="Calibri" w:cs="Calibri"/>
          <w:strike/>
          <w:sz w:val="20"/>
          <w:szCs w:val="20"/>
        </w:rPr>
        <w:t>Employees do have the right to object to the transfer if they don’t want to go with the new employer. If they choose to object, they can resign, this won’t affect their right to redundancy pay or any compensation they might be entitled to.</w:t>
      </w:r>
      <w:r w:rsidR="00FD48DD" w:rsidRPr="008240F4">
        <w:rPr>
          <w:rFonts w:ascii="Calibri" w:hAnsi="Calibri" w:cs="Calibri"/>
          <w:strike/>
          <w:sz w:val="20"/>
          <w:szCs w:val="20"/>
        </w:rPr>
        <w:t xml:space="preserve"> I</w:t>
      </w:r>
      <w:r w:rsidRPr="008240F4">
        <w:rPr>
          <w:rFonts w:ascii="Calibri" w:hAnsi="Calibri" w:cs="Calibri"/>
          <w:strike/>
          <w:sz w:val="20"/>
          <w:szCs w:val="20"/>
        </w:rPr>
        <w:t xml:space="preserve">t’s important to know that just because an employee objects, it doesn’t stop the transfer from going ahead. It just means they’re </w:t>
      </w:r>
      <w:r w:rsidR="00FD48DD" w:rsidRPr="008240F4">
        <w:rPr>
          <w:rFonts w:ascii="Calibri" w:hAnsi="Calibri" w:cs="Calibri"/>
          <w:strike/>
          <w:sz w:val="20"/>
          <w:szCs w:val="20"/>
        </w:rPr>
        <w:t>no longer interested</w:t>
      </w:r>
      <w:r w:rsidRPr="008240F4">
        <w:rPr>
          <w:rFonts w:ascii="Calibri" w:hAnsi="Calibri" w:cs="Calibri"/>
          <w:strike/>
          <w:sz w:val="20"/>
          <w:szCs w:val="20"/>
        </w:rPr>
        <w:t xml:space="preserve"> and resigning instead of staying with the new employer.</w:t>
      </w:r>
      <w:r w:rsidR="00347296" w:rsidRPr="008240F4">
        <w:rPr>
          <w:rFonts w:ascii="Calibri" w:hAnsi="Calibri" w:cs="Calibri"/>
          <w:strike/>
          <w:sz w:val="20"/>
          <w:szCs w:val="20"/>
        </w:rPr>
        <w:t xml:space="preserve"> (ACAS, 2024)</w:t>
      </w:r>
    </w:p>
    <w:p w14:paraId="7DFF2506" w14:textId="227931C3" w:rsidR="00176998" w:rsidRPr="00176998" w:rsidRDefault="00FD48DD" w:rsidP="00176998">
      <w:pPr>
        <w:pStyle w:val="NormalWeb"/>
        <w:rPr>
          <w:rFonts w:ascii="Calibri" w:hAnsi="Calibri" w:cs="Calibri"/>
          <w:sz w:val="20"/>
          <w:szCs w:val="20"/>
        </w:rPr>
      </w:pPr>
      <w:r>
        <w:rPr>
          <w:rFonts w:ascii="Calibri" w:hAnsi="Calibri" w:cs="Calibri"/>
          <w:sz w:val="20"/>
          <w:szCs w:val="20"/>
        </w:rPr>
        <w:t>I</w:t>
      </w:r>
      <w:r w:rsidR="00176998" w:rsidRPr="00176998">
        <w:rPr>
          <w:rFonts w:ascii="Calibri" w:hAnsi="Calibri" w:cs="Calibri"/>
          <w:sz w:val="20"/>
          <w:szCs w:val="20"/>
        </w:rPr>
        <w:t xml:space="preserve">f the merger happens, the employees involved will have their rights protected under TUPE, including keeping their terms and conditions and being properly consulted. It’s </w:t>
      </w:r>
      <w:r w:rsidR="00206A60" w:rsidRPr="00176998">
        <w:rPr>
          <w:rFonts w:ascii="Calibri" w:hAnsi="Calibri" w:cs="Calibri"/>
          <w:sz w:val="20"/>
          <w:szCs w:val="20"/>
        </w:rPr>
        <w:t>important</w:t>
      </w:r>
      <w:r w:rsidR="00176998" w:rsidRPr="00176998">
        <w:rPr>
          <w:rFonts w:ascii="Calibri" w:hAnsi="Calibri" w:cs="Calibri"/>
          <w:sz w:val="20"/>
          <w:szCs w:val="20"/>
        </w:rPr>
        <w:t xml:space="preserve"> that the </w:t>
      </w:r>
      <w:r w:rsidR="00176998" w:rsidRPr="009C71CC">
        <w:rPr>
          <w:rFonts w:ascii="Calibri" w:hAnsi="Calibri" w:cs="Calibri"/>
          <w:strike/>
          <w:sz w:val="20"/>
          <w:szCs w:val="20"/>
        </w:rPr>
        <w:t>company</w:t>
      </w:r>
      <w:r w:rsidR="00176998" w:rsidRPr="00176998">
        <w:rPr>
          <w:rFonts w:ascii="Calibri" w:hAnsi="Calibri" w:cs="Calibri"/>
          <w:sz w:val="20"/>
          <w:szCs w:val="20"/>
        </w:rPr>
        <w:t xml:space="preserve"> </w:t>
      </w:r>
      <w:r w:rsidR="009C71CC">
        <w:rPr>
          <w:rFonts w:ascii="Calibri" w:hAnsi="Calibri" w:cs="Calibri"/>
          <w:color w:val="FF0000"/>
          <w:sz w:val="20"/>
          <w:szCs w:val="20"/>
        </w:rPr>
        <w:t xml:space="preserve">NHS </w:t>
      </w:r>
      <w:r w:rsidR="00176998" w:rsidRPr="00176998">
        <w:rPr>
          <w:rFonts w:ascii="Calibri" w:hAnsi="Calibri" w:cs="Calibri"/>
          <w:sz w:val="20"/>
          <w:szCs w:val="20"/>
        </w:rPr>
        <w:t xml:space="preserve">follows the </w:t>
      </w:r>
      <w:r w:rsidR="00176998" w:rsidRPr="00176998">
        <w:rPr>
          <w:rFonts w:ascii="Calibri" w:hAnsi="Calibri" w:cs="Calibri"/>
          <w:sz w:val="20"/>
          <w:szCs w:val="20"/>
        </w:rPr>
        <w:lastRenderedPageBreak/>
        <w:t>right procedures to stay on the right side of the law and avoid any potential legal problems.</w:t>
      </w:r>
      <w:r w:rsidR="005A207D">
        <w:rPr>
          <w:rFonts w:ascii="Calibri" w:hAnsi="Calibri" w:cs="Calibri"/>
          <w:sz w:val="20"/>
          <w:szCs w:val="20"/>
        </w:rPr>
        <w:t xml:space="preserve"> (CIPD, n.d. Tupe factsheet)</w:t>
      </w:r>
      <w:r w:rsidR="005A34DA">
        <w:rPr>
          <w:rFonts w:ascii="Calibri" w:hAnsi="Calibri" w:cs="Calibri"/>
          <w:sz w:val="20"/>
          <w:szCs w:val="20"/>
        </w:rPr>
        <w:t xml:space="preserve"> </w:t>
      </w:r>
    </w:p>
    <w:p w14:paraId="44B657E1" w14:textId="717AA397" w:rsidR="0011065F" w:rsidRPr="006147D5" w:rsidRDefault="0011065F" w:rsidP="0011065F">
      <w:pPr>
        <w:spacing w:before="100" w:beforeAutospacing="1" w:after="100" w:afterAutospacing="1" w:line="240" w:lineRule="auto"/>
        <w:rPr>
          <w:rFonts w:ascii="Calibri" w:eastAsia="Times New Roman" w:hAnsi="Calibri" w:cs="Calibri"/>
          <w:color w:val="FF0000"/>
          <w:sz w:val="20"/>
          <w:szCs w:val="20"/>
          <w:lang w:eastAsia="en-GB"/>
        </w:rPr>
      </w:pPr>
      <w:r w:rsidRPr="0011065F">
        <w:rPr>
          <w:rFonts w:ascii="Calibri" w:eastAsia="Times New Roman" w:hAnsi="Calibri" w:cs="Calibri"/>
          <w:color w:val="FF0000"/>
          <w:sz w:val="20"/>
          <w:szCs w:val="20"/>
          <w:lang w:eastAsia="en-GB"/>
        </w:rPr>
        <w:t>It’s als</w:t>
      </w:r>
      <w:r w:rsidR="0068731C">
        <w:rPr>
          <w:rFonts w:ascii="Calibri" w:eastAsia="Times New Roman" w:hAnsi="Calibri" w:cs="Calibri"/>
          <w:color w:val="FF0000"/>
          <w:sz w:val="20"/>
          <w:szCs w:val="20"/>
          <w:lang w:eastAsia="en-GB"/>
        </w:rPr>
        <w:t>o</w:t>
      </w:r>
      <w:r w:rsidRPr="0011065F">
        <w:rPr>
          <w:rFonts w:ascii="Calibri" w:eastAsia="Times New Roman" w:hAnsi="Calibri" w:cs="Calibri"/>
          <w:color w:val="FF0000"/>
          <w:sz w:val="20"/>
          <w:szCs w:val="20"/>
          <w:lang w:eastAsia="en-GB"/>
        </w:rPr>
        <w:t xml:space="preserve"> important to mention the duty to properly consult with staff before any transfer takes place. Under TUPE, both Trusts will need to inform and consult with affected employees through recognised trade unions or elected employee representatives – and since this is the NHS, it’s very likely the unions will be involved. Staff should be told about the reasons for the transfer, when it’s expected to happen, and how it might affect them. Th</w:t>
      </w:r>
      <w:r w:rsidRPr="006147D5">
        <w:rPr>
          <w:rFonts w:ascii="Calibri" w:eastAsia="Times New Roman" w:hAnsi="Calibri" w:cs="Calibri"/>
          <w:color w:val="FF0000"/>
          <w:sz w:val="20"/>
          <w:szCs w:val="20"/>
          <w:lang w:eastAsia="en-GB"/>
        </w:rPr>
        <w:t>is consultation isn’t just a formality – it’s a legal requirement, and it needs to happen early enough to allow meaningful discussion and for staff to raise any concerns. Not doing it properly can lead to claims and fines, so it’s something that needs to be taken seriously from the start.</w:t>
      </w:r>
      <w:r w:rsidR="006147D5" w:rsidRPr="006147D5">
        <w:rPr>
          <w:rFonts w:ascii="Calibri" w:eastAsia="Times New Roman" w:hAnsi="Calibri" w:cs="Calibri"/>
          <w:color w:val="FF0000"/>
          <w:sz w:val="20"/>
          <w:szCs w:val="20"/>
          <w:lang w:eastAsia="en-GB"/>
        </w:rPr>
        <w:t xml:space="preserve"> </w:t>
      </w:r>
      <w:r w:rsidR="006147D5" w:rsidRPr="006147D5">
        <w:rPr>
          <w:rFonts w:ascii="Calibri" w:hAnsi="Calibri" w:cs="Calibri"/>
          <w:color w:val="FF0000"/>
          <w:sz w:val="20"/>
          <w:szCs w:val="20"/>
        </w:rPr>
        <w:t>(Encyclopaedia Britannica, 2025)</w:t>
      </w:r>
    </w:p>
    <w:p w14:paraId="611376C4" w14:textId="77777777" w:rsidR="00176998" w:rsidRDefault="00176998" w:rsidP="00176998">
      <w:pPr>
        <w:pStyle w:val="NormalWeb"/>
        <w:rPr>
          <w:rFonts w:ascii="Calibri" w:hAnsi="Calibri" w:cs="Calibri"/>
          <w:sz w:val="20"/>
          <w:szCs w:val="20"/>
        </w:rPr>
      </w:pPr>
    </w:p>
    <w:p w14:paraId="1D23A6BC" w14:textId="77777777" w:rsidR="00176998" w:rsidRDefault="00176998" w:rsidP="00176998">
      <w:pPr>
        <w:pStyle w:val="NormalWeb"/>
        <w:rPr>
          <w:rFonts w:ascii="Calibri" w:hAnsi="Calibri" w:cs="Calibri"/>
          <w:sz w:val="20"/>
          <w:szCs w:val="20"/>
        </w:rPr>
      </w:pPr>
    </w:p>
    <w:p w14:paraId="1B7FBEDD" w14:textId="77777777" w:rsidR="00176998" w:rsidRDefault="00176998" w:rsidP="00176998">
      <w:pPr>
        <w:pStyle w:val="NormalWeb"/>
        <w:rPr>
          <w:rFonts w:ascii="Calibri" w:hAnsi="Calibri" w:cs="Calibri"/>
          <w:sz w:val="20"/>
          <w:szCs w:val="20"/>
        </w:rPr>
      </w:pPr>
    </w:p>
    <w:p w14:paraId="7460B7BA" w14:textId="77777777" w:rsidR="00176998" w:rsidRDefault="00176998" w:rsidP="00176998">
      <w:pPr>
        <w:pStyle w:val="NormalWeb"/>
        <w:rPr>
          <w:rFonts w:ascii="Calibri" w:hAnsi="Calibri" w:cs="Calibri"/>
          <w:sz w:val="20"/>
          <w:szCs w:val="20"/>
        </w:rPr>
      </w:pPr>
    </w:p>
    <w:p w14:paraId="59EEB243" w14:textId="77777777" w:rsidR="00176998" w:rsidRDefault="00176998" w:rsidP="00176998">
      <w:pPr>
        <w:pStyle w:val="NormalWeb"/>
        <w:rPr>
          <w:rFonts w:ascii="Calibri" w:hAnsi="Calibri" w:cs="Calibri"/>
          <w:sz w:val="20"/>
          <w:szCs w:val="20"/>
        </w:rPr>
      </w:pPr>
    </w:p>
    <w:p w14:paraId="7DE4D74D" w14:textId="77777777" w:rsidR="00176998" w:rsidRDefault="00176998" w:rsidP="00176998">
      <w:pPr>
        <w:pStyle w:val="NormalWeb"/>
        <w:rPr>
          <w:rFonts w:ascii="Calibri" w:hAnsi="Calibri" w:cs="Calibri"/>
          <w:sz w:val="20"/>
          <w:szCs w:val="20"/>
        </w:rPr>
      </w:pPr>
    </w:p>
    <w:p w14:paraId="0421496F" w14:textId="77777777" w:rsidR="005E0F53" w:rsidRDefault="005E0F53" w:rsidP="003B0C9E">
      <w:pPr>
        <w:spacing w:line="240" w:lineRule="auto"/>
        <w:rPr>
          <w:rFonts w:ascii="Calibri" w:hAnsi="Calibri" w:cs="Calibri"/>
          <w:sz w:val="20"/>
          <w:szCs w:val="20"/>
        </w:rPr>
      </w:pPr>
    </w:p>
    <w:p w14:paraId="150BD815" w14:textId="77777777" w:rsidR="005E0F53" w:rsidRDefault="005E0F53" w:rsidP="003B0C9E">
      <w:pPr>
        <w:spacing w:line="240" w:lineRule="auto"/>
        <w:rPr>
          <w:rFonts w:ascii="Calibri" w:hAnsi="Calibri" w:cs="Calibri"/>
          <w:sz w:val="20"/>
          <w:szCs w:val="20"/>
        </w:rPr>
      </w:pPr>
    </w:p>
    <w:p w14:paraId="37E6FDCF" w14:textId="77777777" w:rsidR="005E0F53" w:rsidRDefault="005E0F53" w:rsidP="003B0C9E">
      <w:pPr>
        <w:spacing w:line="240" w:lineRule="auto"/>
        <w:rPr>
          <w:rFonts w:ascii="Calibri" w:hAnsi="Calibri" w:cs="Calibri"/>
          <w:sz w:val="20"/>
          <w:szCs w:val="20"/>
        </w:rPr>
      </w:pPr>
    </w:p>
    <w:p w14:paraId="2A24B401" w14:textId="77777777" w:rsidR="005E0F53" w:rsidRDefault="005E0F53" w:rsidP="003B0C9E">
      <w:pPr>
        <w:spacing w:line="240" w:lineRule="auto"/>
        <w:rPr>
          <w:rFonts w:ascii="Calibri" w:hAnsi="Calibri" w:cs="Calibri"/>
          <w:sz w:val="20"/>
          <w:szCs w:val="20"/>
        </w:rPr>
      </w:pPr>
    </w:p>
    <w:p w14:paraId="5A517641" w14:textId="33A3B35D" w:rsidR="003B0C9E" w:rsidRPr="00176998" w:rsidRDefault="00176998" w:rsidP="003B0C9E">
      <w:pPr>
        <w:spacing w:line="240" w:lineRule="auto"/>
        <w:rPr>
          <w:rFonts w:ascii="Calibri" w:hAnsi="Calibri" w:cs="Calibri"/>
          <w:b/>
          <w:bCs/>
          <w:sz w:val="20"/>
          <w:szCs w:val="20"/>
        </w:rPr>
      </w:pPr>
      <w:r w:rsidRPr="00176998">
        <w:rPr>
          <w:rFonts w:ascii="Calibri" w:hAnsi="Calibri" w:cs="Calibri"/>
          <w:sz w:val="20"/>
          <w:szCs w:val="20"/>
        </w:rPr>
        <w:t>AC</w:t>
      </w:r>
      <w:r>
        <w:rPr>
          <w:rFonts w:ascii="Calibri" w:hAnsi="Calibri" w:cs="Calibri"/>
          <w:sz w:val="20"/>
          <w:szCs w:val="20"/>
        </w:rPr>
        <w:t>4.1</w:t>
      </w:r>
    </w:p>
    <w:p w14:paraId="19A8F6FE" w14:textId="77777777" w:rsidR="00176998" w:rsidRPr="00610ED9" w:rsidRDefault="00176998" w:rsidP="00176998">
      <w:pPr>
        <w:pStyle w:val="NormalWeb"/>
        <w:rPr>
          <w:rFonts w:ascii="Calibri" w:hAnsi="Calibri" w:cs="Calibri"/>
          <w:strike/>
          <w:sz w:val="20"/>
          <w:szCs w:val="20"/>
        </w:rPr>
      </w:pPr>
      <w:r w:rsidRPr="00610ED9">
        <w:rPr>
          <w:rFonts w:ascii="Calibri" w:hAnsi="Calibri" w:cs="Calibri"/>
          <w:strike/>
          <w:sz w:val="20"/>
          <w:szCs w:val="20"/>
        </w:rPr>
        <w:t>When it comes to calculating holiday pay for casual or bank staff, such as the nurse bank staff in your department, there are specific regulatory requirements that must be followed to ensure the process is fair and lawful.</w:t>
      </w:r>
    </w:p>
    <w:p w14:paraId="02183B27" w14:textId="068211BF"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Under UK employment law, outlined by the Working Time Regulations 1998, all workers are entitled to a minimum of 5.6 weeks of paid holiday per year, which equates to 28 days for a full-time worker. For casual or bank staff, holiday pay is calculated a bit differently since they may not have a regular, fixed salary.</w:t>
      </w:r>
      <w:r w:rsidR="004E3631">
        <w:rPr>
          <w:rFonts w:ascii="Calibri" w:hAnsi="Calibri" w:cs="Calibri"/>
          <w:sz w:val="20"/>
          <w:szCs w:val="20"/>
        </w:rPr>
        <w:t xml:space="preserve"> (ACAS, 2024)</w:t>
      </w:r>
    </w:p>
    <w:p w14:paraId="76A20894" w14:textId="2D8AB2B0" w:rsidR="00176998" w:rsidRPr="00176998" w:rsidRDefault="00206A60" w:rsidP="00176998">
      <w:pPr>
        <w:pStyle w:val="NormalWeb"/>
        <w:rPr>
          <w:rFonts w:ascii="Calibri" w:hAnsi="Calibri" w:cs="Calibri"/>
          <w:sz w:val="20"/>
          <w:szCs w:val="20"/>
        </w:rPr>
      </w:pPr>
      <w:r>
        <w:rPr>
          <w:rFonts w:ascii="Calibri" w:hAnsi="Calibri" w:cs="Calibri"/>
          <w:sz w:val="20"/>
          <w:szCs w:val="20"/>
        </w:rPr>
        <w:t>H</w:t>
      </w:r>
      <w:r w:rsidR="00176998" w:rsidRPr="00176998">
        <w:rPr>
          <w:rFonts w:ascii="Calibri" w:hAnsi="Calibri" w:cs="Calibri"/>
          <w:sz w:val="20"/>
          <w:szCs w:val="20"/>
        </w:rPr>
        <w:t xml:space="preserve">oliday pay for casual workers should be calculated based on their average earnings over a specific reference period. </w:t>
      </w:r>
      <w:r w:rsidR="00FD48DD">
        <w:rPr>
          <w:rFonts w:ascii="Calibri" w:hAnsi="Calibri" w:cs="Calibri"/>
          <w:sz w:val="20"/>
          <w:szCs w:val="20"/>
        </w:rPr>
        <w:t>L</w:t>
      </w:r>
      <w:r w:rsidR="00176998" w:rsidRPr="00176998">
        <w:rPr>
          <w:rFonts w:ascii="Calibri" w:hAnsi="Calibri" w:cs="Calibri"/>
          <w:sz w:val="20"/>
          <w:szCs w:val="20"/>
        </w:rPr>
        <w:t>ooking at what the worker has earned in the previous 52 weeks of work (or fewer weeks if they haven't worked for a full year), including any overtime, commission, or other pay, not just their basic hourly rate. This ensures the holiday pay reflects the actual work done by the employee, especially for those working irregular hours or varying shifts.</w:t>
      </w:r>
      <w:r>
        <w:rPr>
          <w:rFonts w:ascii="Calibri" w:hAnsi="Calibri" w:cs="Calibri"/>
          <w:sz w:val="20"/>
          <w:szCs w:val="20"/>
        </w:rPr>
        <w:t xml:space="preserve"> </w:t>
      </w:r>
      <w:r w:rsidR="007E2CAF">
        <w:rPr>
          <w:rFonts w:ascii="Calibri" w:hAnsi="Calibri" w:cs="Calibri"/>
          <w:sz w:val="20"/>
          <w:szCs w:val="20"/>
        </w:rPr>
        <w:t>(Daniels, K, CIPD)</w:t>
      </w:r>
    </w:p>
    <w:p w14:paraId="41300590" w14:textId="087714CF" w:rsidR="00176998" w:rsidRPr="004A2DA6" w:rsidRDefault="007E2CAF" w:rsidP="00176998">
      <w:pPr>
        <w:pStyle w:val="NormalWeb"/>
        <w:rPr>
          <w:rFonts w:ascii="Calibri" w:hAnsi="Calibri" w:cs="Calibri"/>
          <w:strike/>
          <w:sz w:val="20"/>
          <w:szCs w:val="20"/>
        </w:rPr>
      </w:pPr>
      <w:r w:rsidRPr="004A2DA6">
        <w:rPr>
          <w:rFonts w:ascii="Calibri" w:hAnsi="Calibri" w:cs="Calibri"/>
          <w:strike/>
          <w:sz w:val="20"/>
          <w:szCs w:val="20"/>
        </w:rPr>
        <w:t>O</w:t>
      </w:r>
      <w:r w:rsidR="00176998" w:rsidRPr="004A2DA6">
        <w:rPr>
          <w:rFonts w:ascii="Calibri" w:hAnsi="Calibri" w:cs="Calibri"/>
          <w:strike/>
          <w:sz w:val="20"/>
          <w:szCs w:val="20"/>
        </w:rPr>
        <w:t>vertime pay, bonus payments, or any other additional earnings should be considered in the calculation of holiday pay. For example, if the nurse works overtime or gets a bonus, extra income should be included when working out their holiday pay. This makes sure the holiday pay accurately reflects the full amount the worker has earned, not just their basic rate.</w:t>
      </w:r>
      <w:r w:rsidR="005A34DA" w:rsidRPr="004A2DA6">
        <w:rPr>
          <w:rFonts w:ascii="Calibri" w:hAnsi="Calibri" w:cs="Calibri"/>
          <w:strike/>
          <w:sz w:val="20"/>
          <w:szCs w:val="20"/>
        </w:rPr>
        <w:t xml:space="preserve"> (GOV.UK)</w:t>
      </w:r>
    </w:p>
    <w:p w14:paraId="6E0EA6B4" w14:textId="763DEB2E" w:rsidR="00176998" w:rsidRPr="00176998" w:rsidRDefault="00FD48DD" w:rsidP="00176998">
      <w:pPr>
        <w:pStyle w:val="NormalWeb"/>
        <w:rPr>
          <w:rFonts w:ascii="Calibri" w:hAnsi="Calibri" w:cs="Calibri"/>
          <w:sz w:val="20"/>
          <w:szCs w:val="20"/>
        </w:rPr>
      </w:pPr>
      <w:r>
        <w:rPr>
          <w:rFonts w:ascii="Calibri" w:hAnsi="Calibri" w:cs="Calibri"/>
          <w:sz w:val="20"/>
          <w:szCs w:val="20"/>
        </w:rPr>
        <w:t>M</w:t>
      </w:r>
      <w:r w:rsidR="00176998" w:rsidRPr="00176998">
        <w:rPr>
          <w:rFonts w:ascii="Calibri" w:hAnsi="Calibri" w:cs="Calibri"/>
          <w:sz w:val="20"/>
          <w:szCs w:val="20"/>
        </w:rPr>
        <w:t>any employers calculate holiday pay by adding a holiday entitlement</w:t>
      </w:r>
      <w:r>
        <w:rPr>
          <w:rFonts w:ascii="Calibri" w:hAnsi="Calibri" w:cs="Calibri"/>
          <w:sz w:val="20"/>
          <w:szCs w:val="20"/>
        </w:rPr>
        <w:t xml:space="preserve"> </w:t>
      </w:r>
      <w:r w:rsidR="00176998" w:rsidRPr="00176998">
        <w:rPr>
          <w:rFonts w:ascii="Calibri" w:hAnsi="Calibri" w:cs="Calibri"/>
          <w:sz w:val="20"/>
          <w:szCs w:val="20"/>
        </w:rPr>
        <w:t xml:space="preserve">percentage on top of the </w:t>
      </w:r>
      <w:r w:rsidR="007E2CAF" w:rsidRPr="00176998">
        <w:rPr>
          <w:rFonts w:ascii="Calibri" w:hAnsi="Calibri" w:cs="Calibri"/>
          <w:sz w:val="20"/>
          <w:szCs w:val="20"/>
        </w:rPr>
        <w:t>workers’</w:t>
      </w:r>
      <w:r w:rsidR="00176998" w:rsidRPr="00176998">
        <w:rPr>
          <w:rFonts w:ascii="Calibri" w:hAnsi="Calibri" w:cs="Calibri"/>
          <w:sz w:val="20"/>
          <w:szCs w:val="20"/>
        </w:rPr>
        <w:t xml:space="preserve"> pay. For example, the statutory holiday entitlement is 12.07% of the total hours worked. This means if a bank staff nurse works 100 hours, their holiday pay would be calculated as 12.07% of those 100 hours' earnings. Some employers pay this holiday entitlement as a separate payment when the worker takes time off, while others may include it in the hourly rate.</w:t>
      </w:r>
      <w:r w:rsidR="007E2CAF">
        <w:rPr>
          <w:rFonts w:ascii="Calibri" w:hAnsi="Calibri" w:cs="Calibri"/>
          <w:sz w:val="20"/>
          <w:szCs w:val="20"/>
        </w:rPr>
        <w:t xml:space="preserve"> </w:t>
      </w:r>
      <w:r w:rsidR="00176998" w:rsidRPr="00176998">
        <w:rPr>
          <w:rFonts w:ascii="Calibri" w:hAnsi="Calibri" w:cs="Calibri"/>
          <w:sz w:val="20"/>
          <w:szCs w:val="20"/>
        </w:rPr>
        <w:t xml:space="preserve">It’s important that the calculation of holiday pay is done fairly and accurately, ensuring that workers aren’t underpaid for their holiday entitlement. If holiday pay is not calculated correctly, </w:t>
      </w:r>
      <w:r w:rsidR="00176998" w:rsidRPr="00176998">
        <w:rPr>
          <w:rFonts w:ascii="Calibri" w:hAnsi="Calibri" w:cs="Calibri"/>
          <w:sz w:val="20"/>
          <w:szCs w:val="20"/>
        </w:rPr>
        <w:lastRenderedPageBreak/>
        <w:t>workers could potentially make claims for the underpayment of holiday pay, and the department could face legal issues.</w:t>
      </w:r>
      <w:r w:rsidR="00C91957">
        <w:rPr>
          <w:rFonts w:ascii="Calibri" w:hAnsi="Calibri" w:cs="Calibri"/>
          <w:sz w:val="20"/>
          <w:szCs w:val="20"/>
        </w:rPr>
        <w:t xml:space="preserve"> (ACAS, 2025)</w:t>
      </w:r>
    </w:p>
    <w:p w14:paraId="431E335D" w14:textId="55D1FE6B" w:rsidR="00176998" w:rsidRPr="00A4106E" w:rsidRDefault="00176998" w:rsidP="00176998">
      <w:pPr>
        <w:pStyle w:val="NormalWeb"/>
        <w:rPr>
          <w:rFonts w:ascii="Calibri" w:hAnsi="Calibri" w:cs="Calibri"/>
          <w:strike/>
          <w:sz w:val="20"/>
          <w:szCs w:val="20"/>
        </w:rPr>
      </w:pPr>
      <w:r w:rsidRPr="00A4106E">
        <w:rPr>
          <w:rFonts w:ascii="Calibri" w:hAnsi="Calibri" w:cs="Calibri"/>
          <w:strike/>
          <w:sz w:val="20"/>
          <w:szCs w:val="20"/>
        </w:rPr>
        <w:t>To ensure fairness and compliance, your colleague should regularly review the hours worked by the bank staff and ensure holiday pay is calculated according to their actual earnings. It’s also a good idea to keep clear records of hours worked and holiday pay for each worker to avoid any disputes down the line. If there are any concerns about how holiday pay is being calculated or paid, it’s important to address them quickly to avoid potential claims</w:t>
      </w:r>
      <w:r w:rsidR="007E2CAF" w:rsidRPr="00A4106E">
        <w:rPr>
          <w:rFonts w:ascii="Calibri" w:hAnsi="Calibri" w:cs="Calibri"/>
          <w:strike/>
          <w:sz w:val="20"/>
          <w:szCs w:val="20"/>
        </w:rPr>
        <w:t>.</w:t>
      </w:r>
      <w:r w:rsidR="009F5892" w:rsidRPr="00A4106E">
        <w:rPr>
          <w:rFonts w:ascii="Calibri" w:hAnsi="Calibri" w:cs="Calibri"/>
          <w:strike/>
          <w:sz w:val="20"/>
          <w:szCs w:val="20"/>
        </w:rPr>
        <w:t xml:space="preserve"> (ACAS, n.d. Bank holidays and holiday entitlements)</w:t>
      </w:r>
      <w:r w:rsidR="005A34DA" w:rsidRPr="00A4106E">
        <w:rPr>
          <w:rFonts w:ascii="Calibri" w:hAnsi="Calibri" w:cs="Calibri"/>
          <w:strike/>
          <w:sz w:val="20"/>
          <w:szCs w:val="20"/>
        </w:rPr>
        <w:t xml:space="preserve"> </w:t>
      </w:r>
    </w:p>
    <w:p w14:paraId="0C008DD4" w14:textId="28D277C6" w:rsidR="003B0C9E" w:rsidRDefault="003B0C9E" w:rsidP="00176998">
      <w:pPr>
        <w:pStyle w:val="NormalWeb"/>
        <w:rPr>
          <w:rFonts w:ascii="Calibri" w:hAnsi="Calibri" w:cs="Calibri"/>
          <w:sz w:val="20"/>
          <w:szCs w:val="20"/>
        </w:rPr>
      </w:pPr>
    </w:p>
    <w:p w14:paraId="130C9D28" w14:textId="77777777" w:rsidR="00176998" w:rsidRDefault="00176998" w:rsidP="00176998">
      <w:pPr>
        <w:pStyle w:val="NormalWeb"/>
        <w:rPr>
          <w:rFonts w:ascii="Calibri" w:hAnsi="Calibri" w:cs="Calibri"/>
          <w:sz w:val="20"/>
          <w:szCs w:val="20"/>
        </w:rPr>
      </w:pPr>
    </w:p>
    <w:p w14:paraId="1E6A7508" w14:textId="77777777" w:rsidR="00176998" w:rsidRDefault="00176998" w:rsidP="00176998">
      <w:pPr>
        <w:pStyle w:val="NormalWeb"/>
        <w:rPr>
          <w:rFonts w:ascii="Calibri" w:hAnsi="Calibri" w:cs="Calibri"/>
          <w:sz w:val="20"/>
          <w:szCs w:val="20"/>
        </w:rPr>
      </w:pPr>
    </w:p>
    <w:p w14:paraId="4622F6AD" w14:textId="77777777" w:rsidR="00176998" w:rsidRDefault="00176998" w:rsidP="00176998">
      <w:pPr>
        <w:pStyle w:val="NormalWeb"/>
        <w:rPr>
          <w:rFonts w:ascii="Calibri" w:hAnsi="Calibri" w:cs="Calibri"/>
          <w:sz w:val="20"/>
          <w:szCs w:val="20"/>
        </w:rPr>
      </w:pPr>
    </w:p>
    <w:p w14:paraId="24FD0240" w14:textId="77777777" w:rsidR="00176998" w:rsidRDefault="00176998" w:rsidP="00176998">
      <w:pPr>
        <w:pStyle w:val="NormalWeb"/>
        <w:rPr>
          <w:rFonts w:ascii="Calibri" w:hAnsi="Calibri" w:cs="Calibri"/>
          <w:sz w:val="20"/>
          <w:szCs w:val="20"/>
        </w:rPr>
      </w:pPr>
    </w:p>
    <w:p w14:paraId="157D9850" w14:textId="77777777" w:rsidR="00176998" w:rsidRDefault="00176998" w:rsidP="00176998">
      <w:pPr>
        <w:pStyle w:val="NormalWeb"/>
        <w:rPr>
          <w:rFonts w:ascii="Calibri" w:hAnsi="Calibri" w:cs="Calibri"/>
          <w:sz w:val="20"/>
          <w:szCs w:val="20"/>
        </w:rPr>
      </w:pPr>
    </w:p>
    <w:p w14:paraId="73928151" w14:textId="77777777" w:rsidR="00176998" w:rsidRDefault="00176998" w:rsidP="00176998">
      <w:pPr>
        <w:pStyle w:val="NormalWeb"/>
        <w:rPr>
          <w:rFonts w:ascii="Calibri" w:hAnsi="Calibri" w:cs="Calibri"/>
          <w:sz w:val="20"/>
          <w:szCs w:val="20"/>
        </w:rPr>
      </w:pPr>
    </w:p>
    <w:p w14:paraId="3EE24E70" w14:textId="77777777" w:rsidR="004D5EBF" w:rsidRDefault="004D5EBF" w:rsidP="003B0C9E">
      <w:pPr>
        <w:spacing w:line="240" w:lineRule="auto"/>
        <w:rPr>
          <w:rFonts w:ascii="Calibri" w:hAnsi="Calibri" w:cs="Calibri"/>
          <w:sz w:val="20"/>
          <w:szCs w:val="20"/>
        </w:rPr>
      </w:pPr>
    </w:p>
    <w:p w14:paraId="022D2E16" w14:textId="77777777" w:rsidR="004D5EBF" w:rsidRDefault="004D5EBF" w:rsidP="003B0C9E">
      <w:pPr>
        <w:spacing w:line="240" w:lineRule="auto"/>
        <w:rPr>
          <w:rFonts w:ascii="Calibri" w:hAnsi="Calibri" w:cs="Calibri"/>
          <w:sz w:val="20"/>
          <w:szCs w:val="20"/>
        </w:rPr>
      </w:pPr>
    </w:p>
    <w:p w14:paraId="6A295AC4" w14:textId="77777777" w:rsidR="004D5EBF" w:rsidRDefault="004D5EBF" w:rsidP="003B0C9E">
      <w:pPr>
        <w:spacing w:line="240" w:lineRule="auto"/>
        <w:rPr>
          <w:rFonts w:ascii="Calibri" w:hAnsi="Calibri" w:cs="Calibri"/>
          <w:sz w:val="20"/>
          <w:szCs w:val="20"/>
        </w:rPr>
      </w:pPr>
    </w:p>
    <w:p w14:paraId="49374EF7" w14:textId="77777777" w:rsidR="004D5EBF" w:rsidRDefault="004D5EBF" w:rsidP="003B0C9E">
      <w:pPr>
        <w:spacing w:line="240" w:lineRule="auto"/>
        <w:rPr>
          <w:rFonts w:ascii="Calibri" w:hAnsi="Calibri" w:cs="Calibri"/>
          <w:sz w:val="20"/>
          <w:szCs w:val="20"/>
        </w:rPr>
      </w:pPr>
    </w:p>
    <w:p w14:paraId="661E9910" w14:textId="77777777" w:rsidR="004D5EBF" w:rsidRDefault="004D5EBF" w:rsidP="003B0C9E">
      <w:pPr>
        <w:spacing w:line="240" w:lineRule="auto"/>
        <w:rPr>
          <w:rFonts w:ascii="Calibri" w:hAnsi="Calibri" w:cs="Calibri"/>
          <w:sz w:val="20"/>
          <w:szCs w:val="20"/>
        </w:rPr>
      </w:pPr>
    </w:p>
    <w:p w14:paraId="3BDF2D30" w14:textId="0AE805A4" w:rsidR="003B0C9E" w:rsidRPr="00176998" w:rsidRDefault="00176998" w:rsidP="003B0C9E">
      <w:pPr>
        <w:spacing w:line="240" w:lineRule="auto"/>
        <w:rPr>
          <w:rFonts w:ascii="Calibri" w:hAnsi="Calibri" w:cs="Calibri"/>
          <w:b/>
          <w:bCs/>
          <w:sz w:val="20"/>
          <w:szCs w:val="20"/>
        </w:rPr>
      </w:pPr>
      <w:r>
        <w:rPr>
          <w:rFonts w:ascii="Calibri" w:hAnsi="Calibri" w:cs="Calibri"/>
          <w:sz w:val="20"/>
          <w:szCs w:val="20"/>
        </w:rPr>
        <w:t>AC</w:t>
      </w:r>
      <w:r w:rsidRPr="00176998">
        <w:rPr>
          <w:rFonts w:ascii="Calibri" w:hAnsi="Calibri" w:cs="Calibri"/>
          <w:sz w:val="20"/>
          <w:szCs w:val="20"/>
        </w:rPr>
        <w:t>4.</w:t>
      </w:r>
      <w:r>
        <w:rPr>
          <w:rFonts w:ascii="Calibri" w:hAnsi="Calibri" w:cs="Calibri"/>
          <w:sz w:val="20"/>
          <w:szCs w:val="20"/>
        </w:rPr>
        <w:t>2</w:t>
      </w:r>
    </w:p>
    <w:p w14:paraId="4F6F83D8" w14:textId="76CEB36D"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Maternity leave and shared parental leave (SPL) both give parents time off after the baby is born, they work a bit differently,</w:t>
      </w:r>
      <w:r w:rsidR="00FD48DD">
        <w:rPr>
          <w:rFonts w:ascii="Calibri" w:hAnsi="Calibri" w:cs="Calibri"/>
          <w:sz w:val="20"/>
          <w:szCs w:val="20"/>
        </w:rPr>
        <w:t xml:space="preserve"> </w:t>
      </w:r>
      <w:r w:rsidRPr="00176998">
        <w:rPr>
          <w:rFonts w:ascii="Calibri" w:hAnsi="Calibri" w:cs="Calibri"/>
          <w:sz w:val="20"/>
          <w:szCs w:val="20"/>
        </w:rPr>
        <w:t>the choice between them depends on what suits you and your partner best.</w:t>
      </w:r>
    </w:p>
    <w:p w14:paraId="0421D767" w14:textId="77777777"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Maternity leave is for the mother, and she’s entitled to up to 52 weeks off. This includes 26 weeks of ordinary maternity leave and an additional 26 weeks of additional maternity leave if needed. During maternity leave, the mother gets statutory maternity pay (SMP) for up to 39 weeks. For the first six weeks, she gets 90% of her average weekly earnings, and then it’s a flat rate for the remaining weeks. How much SMP someone gets depends on their earnings and how long they’ve been employed by the company.</w:t>
      </w:r>
    </w:p>
    <w:p w14:paraId="21514D68" w14:textId="3EFF75C4"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Paternity leave, which is for the father or the partner, gives them the right to </w:t>
      </w:r>
      <w:r>
        <w:rPr>
          <w:rStyle w:val="Strong"/>
          <w:rFonts w:ascii="Calibri" w:eastAsiaTheme="majorEastAsia" w:hAnsi="Calibri" w:cs="Calibri"/>
          <w:b w:val="0"/>
          <w:bCs w:val="0"/>
          <w:sz w:val="20"/>
          <w:szCs w:val="20"/>
        </w:rPr>
        <w:t>two weeks off</w:t>
      </w:r>
      <w:r w:rsidRPr="00176998">
        <w:rPr>
          <w:rFonts w:ascii="Calibri" w:hAnsi="Calibri" w:cs="Calibri"/>
          <w:sz w:val="20"/>
          <w:szCs w:val="20"/>
        </w:rPr>
        <w:t xml:space="preserve"> around the time of the birth. During paternity leave, they are entitled to statutory paternity pay (SPP), which is the same as statutory maternity pay (a flat rate or 90% of earnings, depending on the circumstances). Paternity leave is shorter than maternity leave, but it gives the partner some time to support the mother and bond with the baby.</w:t>
      </w:r>
      <w:r w:rsidR="009F5892">
        <w:rPr>
          <w:rFonts w:ascii="Calibri" w:hAnsi="Calibri" w:cs="Calibri"/>
          <w:sz w:val="20"/>
          <w:szCs w:val="20"/>
        </w:rPr>
        <w:t xml:space="preserve"> (ACAS, n.d. Paternity rights, leave and pay)</w:t>
      </w:r>
      <w:r w:rsidR="005A34DA">
        <w:rPr>
          <w:rFonts w:ascii="Calibri" w:hAnsi="Calibri" w:cs="Calibri"/>
          <w:sz w:val="20"/>
          <w:szCs w:val="20"/>
        </w:rPr>
        <w:t xml:space="preserve"> </w:t>
      </w:r>
    </w:p>
    <w:p w14:paraId="47135118" w14:textId="58348FC2"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Shared parental leave allows both parents to share time off after the birth, but it works a little differently. The mother </w:t>
      </w:r>
      <w:r w:rsidR="003C4487" w:rsidRPr="00176998">
        <w:rPr>
          <w:rFonts w:ascii="Calibri" w:hAnsi="Calibri" w:cs="Calibri"/>
          <w:sz w:val="20"/>
          <w:szCs w:val="20"/>
        </w:rPr>
        <w:t>must</w:t>
      </w:r>
      <w:r w:rsidRPr="00176998">
        <w:rPr>
          <w:rFonts w:ascii="Calibri" w:hAnsi="Calibri" w:cs="Calibri"/>
          <w:sz w:val="20"/>
          <w:szCs w:val="20"/>
        </w:rPr>
        <w:t xml:space="preserve"> take at least two weeks off after giving birth as maternity leave, she can choose to give up the rest of her leave so the partner can take it. Both parents can take SPL at the same time or split it up</w:t>
      </w:r>
      <w:r w:rsidR="003C4487">
        <w:rPr>
          <w:rFonts w:ascii="Calibri" w:hAnsi="Calibri" w:cs="Calibri"/>
          <w:sz w:val="20"/>
          <w:szCs w:val="20"/>
        </w:rPr>
        <w:t xml:space="preserve">. </w:t>
      </w:r>
      <w:r w:rsidRPr="00176998">
        <w:rPr>
          <w:rFonts w:ascii="Calibri" w:hAnsi="Calibri" w:cs="Calibri"/>
          <w:sz w:val="20"/>
          <w:szCs w:val="20"/>
        </w:rPr>
        <w:t>The total amount of SPL is 50 weeks, but how much you get depends on how much maternity leave the mother gives up. The pay during SPL is usually a bit lower than maternity pay,</w:t>
      </w:r>
      <w:r w:rsidR="003C4487">
        <w:rPr>
          <w:rFonts w:ascii="Calibri" w:hAnsi="Calibri" w:cs="Calibri"/>
          <w:sz w:val="20"/>
          <w:szCs w:val="20"/>
        </w:rPr>
        <w:t xml:space="preserve"> </w:t>
      </w:r>
      <w:r w:rsidRPr="00176998">
        <w:rPr>
          <w:rFonts w:ascii="Calibri" w:hAnsi="Calibri" w:cs="Calibri"/>
          <w:sz w:val="20"/>
          <w:szCs w:val="20"/>
        </w:rPr>
        <w:t>it’s based on statutory paternity pay, which is less than SMP.</w:t>
      </w:r>
      <w:r w:rsidR="009F5892">
        <w:rPr>
          <w:rFonts w:ascii="Calibri" w:hAnsi="Calibri" w:cs="Calibri"/>
          <w:sz w:val="20"/>
          <w:szCs w:val="20"/>
        </w:rPr>
        <w:t xml:space="preserve"> (CIPD, n.d. Maternity and paternity rights factsheet)</w:t>
      </w:r>
      <w:r w:rsidR="007E2CAF">
        <w:rPr>
          <w:rFonts w:ascii="Calibri" w:hAnsi="Calibri" w:cs="Calibri"/>
          <w:sz w:val="20"/>
          <w:szCs w:val="20"/>
        </w:rPr>
        <w:t xml:space="preserve"> </w:t>
      </w:r>
    </w:p>
    <w:p w14:paraId="5F92330B" w14:textId="5C263638" w:rsidR="00176998" w:rsidRPr="00176998" w:rsidRDefault="00176998" w:rsidP="00176998">
      <w:pPr>
        <w:pStyle w:val="NormalWeb"/>
        <w:rPr>
          <w:rFonts w:ascii="Calibri" w:hAnsi="Calibri" w:cs="Calibri"/>
          <w:sz w:val="20"/>
          <w:szCs w:val="20"/>
        </w:rPr>
      </w:pPr>
      <w:r w:rsidRPr="00176998">
        <w:rPr>
          <w:rFonts w:ascii="Calibri" w:hAnsi="Calibri" w:cs="Calibri"/>
          <w:sz w:val="20"/>
          <w:szCs w:val="20"/>
        </w:rPr>
        <w:t xml:space="preserve">The main principles behind these rights are to ensure that parents have the time they need to care for and bond with their child without worrying about losing their job. The rights vary a bit depending on your specific </w:t>
      </w:r>
      <w:r w:rsidRPr="00176998">
        <w:rPr>
          <w:rFonts w:ascii="Calibri" w:hAnsi="Calibri" w:cs="Calibri"/>
          <w:sz w:val="20"/>
          <w:szCs w:val="20"/>
        </w:rPr>
        <w:lastRenderedPageBreak/>
        <w:t>situation but the key is that you have the right to take time off, with pay, and have your job protected while you’re away.</w:t>
      </w:r>
    </w:p>
    <w:p w14:paraId="06BD1F0A" w14:textId="6F1D0453" w:rsidR="00176998" w:rsidRPr="00CF5A6C" w:rsidRDefault="003C4487" w:rsidP="00176998">
      <w:pPr>
        <w:pStyle w:val="NormalWeb"/>
        <w:rPr>
          <w:rFonts w:ascii="Calibri" w:hAnsi="Calibri" w:cs="Calibri"/>
          <w:strike/>
          <w:sz w:val="20"/>
          <w:szCs w:val="20"/>
        </w:rPr>
      </w:pPr>
      <w:r w:rsidRPr="00CF5A6C">
        <w:rPr>
          <w:rFonts w:ascii="Calibri" w:hAnsi="Calibri" w:cs="Calibri"/>
          <w:strike/>
          <w:sz w:val="20"/>
          <w:szCs w:val="20"/>
        </w:rPr>
        <w:t>M</w:t>
      </w:r>
      <w:r w:rsidR="00176998" w:rsidRPr="00CF5A6C">
        <w:rPr>
          <w:rFonts w:ascii="Calibri" w:hAnsi="Calibri" w:cs="Calibri"/>
          <w:strike/>
          <w:sz w:val="20"/>
          <w:szCs w:val="20"/>
        </w:rPr>
        <w:t xml:space="preserve">aternity leave is for the mum, paternity leave is for the dad or partner, shared parental leave allows both parents to split their time off as they see fit. Adoption leave is very similar to maternity leave but for adoptive parents. </w:t>
      </w:r>
      <w:r w:rsidRPr="00CF5A6C">
        <w:rPr>
          <w:rFonts w:ascii="Calibri" w:hAnsi="Calibri" w:cs="Calibri"/>
          <w:strike/>
          <w:sz w:val="20"/>
          <w:szCs w:val="20"/>
        </w:rPr>
        <w:t>All</w:t>
      </w:r>
      <w:r w:rsidR="00176998" w:rsidRPr="00CF5A6C">
        <w:rPr>
          <w:rFonts w:ascii="Calibri" w:hAnsi="Calibri" w:cs="Calibri"/>
          <w:strike/>
          <w:sz w:val="20"/>
          <w:szCs w:val="20"/>
        </w:rPr>
        <w:t xml:space="preserve"> these rights are designed to help parents have time to care for their children without losing their employment rights.</w:t>
      </w:r>
      <w:r w:rsidR="005A34DA" w:rsidRPr="00CF5A6C">
        <w:rPr>
          <w:rFonts w:ascii="Calibri" w:hAnsi="Calibri" w:cs="Calibri"/>
          <w:strike/>
          <w:sz w:val="20"/>
          <w:szCs w:val="20"/>
        </w:rPr>
        <w:t xml:space="preserve"> (GOV.UK)</w:t>
      </w:r>
    </w:p>
    <w:p w14:paraId="376673F6" w14:textId="77777777" w:rsidR="00176998" w:rsidRPr="00176998" w:rsidRDefault="00176998" w:rsidP="003B0C9E">
      <w:pPr>
        <w:pStyle w:val="Listparag"/>
        <w:spacing w:after="0" w:line="240" w:lineRule="auto"/>
        <w:rPr>
          <w:rFonts w:ascii="Calibri" w:hAnsi="Calibri" w:cs="Calibri"/>
          <w:sz w:val="20"/>
          <w:szCs w:val="20"/>
        </w:rPr>
      </w:pPr>
    </w:p>
    <w:p w14:paraId="7D0BCA27" w14:textId="77777777" w:rsidR="00176998" w:rsidRDefault="00176998" w:rsidP="003B0C9E">
      <w:pPr>
        <w:pStyle w:val="Listparag"/>
        <w:spacing w:after="0" w:line="240" w:lineRule="auto"/>
        <w:rPr>
          <w:rFonts w:ascii="Trebuchet MS" w:hAnsi="Trebuchet MS"/>
        </w:rPr>
      </w:pPr>
    </w:p>
    <w:p w14:paraId="0258677D" w14:textId="77777777" w:rsidR="00176998" w:rsidRDefault="00176998" w:rsidP="003B0C9E">
      <w:pPr>
        <w:pStyle w:val="Listparag"/>
        <w:spacing w:after="0" w:line="240" w:lineRule="auto"/>
        <w:rPr>
          <w:rFonts w:ascii="Trebuchet MS" w:hAnsi="Trebuchet MS"/>
        </w:rPr>
      </w:pPr>
    </w:p>
    <w:p w14:paraId="14A6A80A" w14:textId="77777777" w:rsidR="00176998" w:rsidRDefault="00176998" w:rsidP="003B0C9E">
      <w:pPr>
        <w:pStyle w:val="Listparag"/>
        <w:spacing w:after="0" w:line="240" w:lineRule="auto"/>
        <w:rPr>
          <w:rFonts w:ascii="Trebuchet MS" w:hAnsi="Trebuchet MS"/>
        </w:rPr>
      </w:pPr>
    </w:p>
    <w:p w14:paraId="23BBD233" w14:textId="77777777" w:rsidR="00176998" w:rsidRDefault="00176998" w:rsidP="003B0C9E">
      <w:pPr>
        <w:pStyle w:val="Listparag"/>
        <w:spacing w:after="0" w:line="240" w:lineRule="auto"/>
        <w:rPr>
          <w:rFonts w:ascii="Trebuchet MS" w:hAnsi="Trebuchet MS"/>
        </w:rPr>
      </w:pPr>
    </w:p>
    <w:p w14:paraId="5F9AD429" w14:textId="77777777" w:rsidR="00176998" w:rsidRDefault="00176998" w:rsidP="003B0C9E">
      <w:pPr>
        <w:pStyle w:val="Listparag"/>
        <w:spacing w:after="0" w:line="240" w:lineRule="auto"/>
        <w:rPr>
          <w:rFonts w:ascii="Trebuchet MS" w:hAnsi="Trebuchet MS"/>
        </w:rPr>
      </w:pPr>
    </w:p>
    <w:p w14:paraId="4EDA6C54" w14:textId="77777777" w:rsidR="00176998" w:rsidRDefault="00176998" w:rsidP="003B0C9E">
      <w:pPr>
        <w:pStyle w:val="Listparag"/>
        <w:spacing w:after="0" w:line="240" w:lineRule="auto"/>
        <w:rPr>
          <w:rFonts w:ascii="Trebuchet MS" w:hAnsi="Trebuchet MS"/>
        </w:rPr>
      </w:pPr>
    </w:p>
    <w:p w14:paraId="7B0A5B85" w14:textId="77777777" w:rsidR="00176998" w:rsidRDefault="00176998" w:rsidP="003B0C9E">
      <w:pPr>
        <w:pStyle w:val="Listparag"/>
        <w:spacing w:after="0" w:line="240" w:lineRule="auto"/>
        <w:rPr>
          <w:rFonts w:ascii="Trebuchet MS" w:hAnsi="Trebuchet MS"/>
        </w:rPr>
      </w:pPr>
    </w:p>
    <w:p w14:paraId="7B1E12B4" w14:textId="77777777" w:rsidR="00176998" w:rsidRDefault="00176998" w:rsidP="003B0C9E">
      <w:pPr>
        <w:pStyle w:val="Listparag"/>
        <w:spacing w:after="0" w:line="240" w:lineRule="auto"/>
        <w:rPr>
          <w:rFonts w:ascii="Trebuchet MS" w:hAnsi="Trebuchet MS"/>
        </w:rPr>
      </w:pPr>
    </w:p>
    <w:p w14:paraId="32239FCD" w14:textId="77777777" w:rsidR="00176998" w:rsidRDefault="00176998" w:rsidP="003B0C9E">
      <w:pPr>
        <w:pStyle w:val="Listparag"/>
        <w:spacing w:after="0" w:line="240" w:lineRule="auto"/>
        <w:rPr>
          <w:rFonts w:ascii="Trebuchet MS" w:hAnsi="Trebuchet MS"/>
        </w:rPr>
      </w:pPr>
    </w:p>
    <w:p w14:paraId="385C04A1" w14:textId="77777777" w:rsidR="00176998" w:rsidRDefault="00176998" w:rsidP="003B0C9E">
      <w:pPr>
        <w:pStyle w:val="Listparag"/>
        <w:spacing w:after="0" w:line="240" w:lineRule="auto"/>
        <w:rPr>
          <w:rFonts w:ascii="Trebuchet MS" w:hAnsi="Trebuchet MS"/>
        </w:rPr>
      </w:pPr>
    </w:p>
    <w:p w14:paraId="7B799A08" w14:textId="77777777" w:rsidR="00176998" w:rsidRDefault="00176998" w:rsidP="003B0C9E">
      <w:pPr>
        <w:pStyle w:val="Listparag"/>
        <w:spacing w:after="0" w:line="240" w:lineRule="auto"/>
        <w:rPr>
          <w:rFonts w:ascii="Trebuchet MS" w:hAnsi="Trebuchet MS"/>
        </w:rPr>
      </w:pPr>
    </w:p>
    <w:p w14:paraId="2673BD79" w14:textId="77777777" w:rsidR="00176998" w:rsidRDefault="00176998" w:rsidP="003B0C9E">
      <w:pPr>
        <w:pStyle w:val="Listparag"/>
        <w:spacing w:after="0" w:line="240" w:lineRule="auto"/>
        <w:rPr>
          <w:rFonts w:ascii="Trebuchet MS" w:hAnsi="Trebuchet MS"/>
        </w:rPr>
      </w:pPr>
    </w:p>
    <w:p w14:paraId="34F1B077" w14:textId="77777777" w:rsidR="00176998" w:rsidRDefault="00176998" w:rsidP="003B0C9E">
      <w:pPr>
        <w:pStyle w:val="Listparag"/>
        <w:spacing w:after="0" w:line="240" w:lineRule="auto"/>
        <w:rPr>
          <w:rFonts w:ascii="Trebuchet MS" w:hAnsi="Trebuchet MS"/>
        </w:rPr>
      </w:pPr>
    </w:p>
    <w:p w14:paraId="54BCBD62" w14:textId="77777777" w:rsidR="00176998" w:rsidRDefault="00176998" w:rsidP="003B0C9E">
      <w:pPr>
        <w:pStyle w:val="Listparag"/>
        <w:spacing w:after="0" w:line="240" w:lineRule="auto"/>
        <w:rPr>
          <w:rFonts w:ascii="Trebuchet MS" w:hAnsi="Trebuchet MS"/>
        </w:rPr>
      </w:pPr>
    </w:p>
    <w:p w14:paraId="12BD9B53" w14:textId="77777777" w:rsidR="0048735B" w:rsidRDefault="0048735B" w:rsidP="003B0C9E">
      <w:pPr>
        <w:pStyle w:val="Listparag"/>
        <w:spacing w:after="0" w:line="240" w:lineRule="auto"/>
        <w:rPr>
          <w:rFonts w:ascii="Trebuchet MS" w:hAnsi="Trebuchet MS"/>
        </w:rPr>
      </w:pPr>
    </w:p>
    <w:p w14:paraId="7758B524" w14:textId="77777777" w:rsidR="007E2CAF" w:rsidRDefault="007E2CAF" w:rsidP="003B0C9E">
      <w:pPr>
        <w:pStyle w:val="Listparag"/>
        <w:spacing w:after="0" w:line="240" w:lineRule="auto"/>
        <w:rPr>
          <w:rFonts w:ascii="Trebuchet MS" w:hAnsi="Trebuchet MS"/>
        </w:rPr>
      </w:pPr>
    </w:p>
    <w:p w14:paraId="69C6416B" w14:textId="77777777" w:rsidR="007E2CAF" w:rsidRDefault="007E2CAF" w:rsidP="003B0C9E">
      <w:pPr>
        <w:pStyle w:val="Listparag"/>
        <w:spacing w:after="0" w:line="240" w:lineRule="auto"/>
        <w:rPr>
          <w:rFonts w:ascii="Trebuchet MS" w:hAnsi="Trebuchet MS"/>
        </w:rPr>
      </w:pPr>
    </w:p>
    <w:p w14:paraId="2DA09830" w14:textId="77777777" w:rsidR="007E2CAF" w:rsidRDefault="007E2CAF" w:rsidP="003B0C9E">
      <w:pPr>
        <w:pStyle w:val="Listparag"/>
        <w:spacing w:after="0" w:line="240" w:lineRule="auto"/>
        <w:rPr>
          <w:rFonts w:ascii="Trebuchet MS" w:hAnsi="Trebuchet MS"/>
        </w:rPr>
      </w:pPr>
    </w:p>
    <w:p w14:paraId="34682274" w14:textId="77777777" w:rsidR="007E2CAF" w:rsidRDefault="007E2CAF" w:rsidP="003B0C9E">
      <w:pPr>
        <w:pStyle w:val="Listparag"/>
        <w:spacing w:after="0" w:line="240" w:lineRule="auto"/>
        <w:rPr>
          <w:rFonts w:ascii="Trebuchet MS" w:hAnsi="Trebuchet MS"/>
        </w:rPr>
      </w:pPr>
    </w:p>
    <w:p w14:paraId="334E61B9" w14:textId="77777777" w:rsidR="004D5EBF" w:rsidRDefault="004D5EBF" w:rsidP="003B0C9E">
      <w:pPr>
        <w:pStyle w:val="Listparag"/>
        <w:spacing w:after="0" w:line="240" w:lineRule="auto"/>
        <w:rPr>
          <w:rFonts w:ascii="Calibri" w:hAnsi="Calibri" w:cs="Calibri"/>
          <w:sz w:val="20"/>
          <w:szCs w:val="20"/>
        </w:rPr>
      </w:pPr>
    </w:p>
    <w:p w14:paraId="6353D51E" w14:textId="1A4DBCBD" w:rsidR="003B0C9E" w:rsidRPr="00176998" w:rsidRDefault="00176998" w:rsidP="003B0C9E">
      <w:pPr>
        <w:pStyle w:val="Listparag"/>
        <w:spacing w:after="0" w:line="240" w:lineRule="auto"/>
        <w:rPr>
          <w:rFonts w:ascii="Calibri" w:hAnsi="Calibri" w:cs="Calibri"/>
          <w:sz w:val="20"/>
          <w:szCs w:val="20"/>
        </w:rPr>
      </w:pPr>
      <w:r w:rsidRPr="00176998">
        <w:rPr>
          <w:rFonts w:ascii="Calibri" w:hAnsi="Calibri" w:cs="Calibri"/>
          <w:sz w:val="20"/>
          <w:szCs w:val="20"/>
        </w:rPr>
        <w:t>AC 4.</w:t>
      </w:r>
      <w:r>
        <w:rPr>
          <w:rFonts w:ascii="Calibri" w:hAnsi="Calibri" w:cs="Calibri"/>
          <w:sz w:val="20"/>
          <w:szCs w:val="20"/>
        </w:rPr>
        <w:t>3</w:t>
      </w:r>
    </w:p>
    <w:p w14:paraId="12B56B86" w14:textId="77777777"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I understand your concerns about the request to work from home three days a week, but it's important to remember the legal side of flexible working requests.</w:t>
      </w:r>
    </w:p>
    <w:p w14:paraId="54EAB491" w14:textId="0973F396"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 xml:space="preserve">Under the Employment Rights Act 1996, </w:t>
      </w:r>
      <w:r w:rsidR="003E4694">
        <w:rPr>
          <w:rFonts w:ascii="Calibri" w:eastAsia="Times New Roman" w:hAnsi="Calibri" w:cs="Calibri"/>
          <w:sz w:val="20"/>
          <w:szCs w:val="20"/>
          <w:lang w:eastAsia="en-GB"/>
        </w:rPr>
        <w:t>all employees have a day one right to apply for flexible working but can only request two in one year</w:t>
      </w:r>
      <w:r w:rsidRPr="00176998">
        <w:rPr>
          <w:rFonts w:ascii="Calibri" w:eastAsia="Times New Roman" w:hAnsi="Calibri" w:cs="Calibri"/>
          <w:sz w:val="20"/>
          <w:szCs w:val="20"/>
          <w:lang w:eastAsia="en-GB"/>
        </w:rPr>
        <w:t xml:space="preserve">, including working from home. However, they don’t automatically have the right to have their request granted. What this means is that the employer </w:t>
      </w:r>
      <w:r w:rsidR="007E2CAF" w:rsidRPr="00176998">
        <w:rPr>
          <w:rFonts w:ascii="Calibri" w:eastAsia="Times New Roman" w:hAnsi="Calibri" w:cs="Calibri"/>
          <w:sz w:val="20"/>
          <w:szCs w:val="20"/>
          <w:lang w:eastAsia="en-GB"/>
        </w:rPr>
        <w:t>must</w:t>
      </w:r>
      <w:r w:rsidRPr="00176998">
        <w:rPr>
          <w:rFonts w:ascii="Calibri" w:eastAsia="Times New Roman" w:hAnsi="Calibri" w:cs="Calibri"/>
          <w:sz w:val="20"/>
          <w:szCs w:val="20"/>
          <w:lang w:eastAsia="en-GB"/>
        </w:rPr>
        <w:t xml:space="preserve"> carefully consider the request and respond within t</w:t>
      </w:r>
      <w:r w:rsidR="0048735B">
        <w:rPr>
          <w:rFonts w:ascii="Calibri" w:eastAsia="Times New Roman" w:hAnsi="Calibri" w:cs="Calibri"/>
          <w:sz w:val="20"/>
          <w:szCs w:val="20"/>
          <w:lang w:eastAsia="en-GB"/>
        </w:rPr>
        <w:t>wo</w:t>
      </w:r>
      <w:r w:rsidRPr="00176998">
        <w:rPr>
          <w:rFonts w:ascii="Calibri" w:eastAsia="Times New Roman" w:hAnsi="Calibri" w:cs="Calibri"/>
          <w:sz w:val="20"/>
          <w:szCs w:val="20"/>
          <w:lang w:eastAsia="en-GB"/>
        </w:rPr>
        <w:t xml:space="preserve"> months. The request should be made in writing and should include details like how it would work, and how it might affect the team or the business.</w:t>
      </w:r>
      <w:r w:rsidR="005A34DA">
        <w:rPr>
          <w:rFonts w:ascii="Calibri" w:eastAsia="Times New Roman" w:hAnsi="Calibri" w:cs="Calibri"/>
          <w:sz w:val="20"/>
          <w:szCs w:val="20"/>
          <w:lang w:eastAsia="en-GB"/>
        </w:rPr>
        <w:t xml:space="preserve"> </w:t>
      </w:r>
      <w:r w:rsidR="00901B6C">
        <w:rPr>
          <w:rFonts w:ascii="Calibri" w:eastAsia="Times New Roman" w:hAnsi="Calibri" w:cs="Calibri"/>
          <w:sz w:val="20"/>
          <w:szCs w:val="20"/>
          <w:lang w:eastAsia="en-GB"/>
        </w:rPr>
        <w:t>(CIPD, n.d. Flexible working factsheet)</w:t>
      </w:r>
    </w:p>
    <w:p w14:paraId="4B1E040E" w14:textId="548FD42F"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If you decide to turn down the request, you must be able to provide a valid business reason. Some acceptable reasons might include worries about increased costs, how it could affect performance, the difficulty of reorganising work, or concerns about the quality of service – which is something you’ve raised. However, whatever reason you give, it needs to be reasonable and justifiable to avoid potential claims of unfair treatment. It’s important that your response is not just personal preference but backed up by business-related concerns.</w:t>
      </w:r>
      <w:r w:rsidR="004B790D">
        <w:rPr>
          <w:rFonts w:ascii="Calibri" w:eastAsia="Times New Roman" w:hAnsi="Calibri" w:cs="Calibri"/>
          <w:sz w:val="20"/>
          <w:szCs w:val="20"/>
          <w:lang w:eastAsia="en-GB"/>
        </w:rPr>
        <w:t xml:space="preserve"> </w:t>
      </w:r>
      <w:r w:rsidR="0019393C">
        <w:rPr>
          <w:rFonts w:ascii="Calibri" w:eastAsia="Times New Roman" w:hAnsi="Calibri" w:cs="Calibri"/>
          <w:sz w:val="20"/>
          <w:szCs w:val="20"/>
          <w:lang w:eastAsia="en-GB"/>
        </w:rPr>
        <w:t>(Citizens advice, 2025)</w:t>
      </w:r>
    </w:p>
    <w:p w14:paraId="598E5DB5" w14:textId="2CBAF3A4"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 xml:space="preserve">Another thing to keep in mind is that consistency is key. Any decision you make </w:t>
      </w:r>
      <w:r w:rsidR="007E2CAF" w:rsidRPr="00176998">
        <w:rPr>
          <w:rFonts w:ascii="Calibri" w:eastAsia="Times New Roman" w:hAnsi="Calibri" w:cs="Calibri"/>
          <w:sz w:val="20"/>
          <w:szCs w:val="20"/>
          <w:lang w:eastAsia="en-GB"/>
        </w:rPr>
        <w:t>must</w:t>
      </w:r>
      <w:r w:rsidRPr="00176998">
        <w:rPr>
          <w:rFonts w:ascii="Calibri" w:eastAsia="Times New Roman" w:hAnsi="Calibri" w:cs="Calibri"/>
          <w:sz w:val="20"/>
          <w:szCs w:val="20"/>
          <w:lang w:eastAsia="en-GB"/>
        </w:rPr>
        <w:t xml:space="preserve"> be applied fairly and consistently across the team. If the request is turned down, the employee has the right to appeal the decision, so we’d need to follow the proper process if that happens.</w:t>
      </w:r>
    </w:p>
    <w:p w14:paraId="45ADD3AD" w14:textId="08D067B3" w:rsidR="00176998" w:rsidRPr="00176998" w:rsidRDefault="00176998" w:rsidP="00176998">
      <w:pPr>
        <w:spacing w:before="100" w:beforeAutospacing="1" w:after="100" w:afterAutospacing="1" w:line="240" w:lineRule="auto"/>
        <w:rPr>
          <w:rFonts w:ascii="Calibri" w:eastAsia="Times New Roman" w:hAnsi="Calibri" w:cs="Calibri"/>
          <w:sz w:val="20"/>
          <w:szCs w:val="20"/>
          <w:lang w:eastAsia="en-GB"/>
        </w:rPr>
      </w:pPr>
      <w:r w:rsidRPr="00176998">
        <w:rPr>
          <w:rFonts w:ascii="Calibri" w:eastAsia="Times New Roman" w:hAnsi="Calibri" w:cs="Calibri"/>
          <w:sz w:val="20"/>
          <w:szCs w:val="20"/>
          <w:lang w:eastAsia="en-GB"/>
        </w:rPr>
        <w:t>To sum it up, while you can refuse the request, it must be based on a clear, business-related reason, and the decision must be made in a fair and consistent manner.</w:t>
      </w:r>
      <w:r w:rsidR="002C3E81">
        <w:rPr>
          <w:rFonts w:ascii="Calibri" w:eastAsia="Times New Roman" w:hAnsi="Calibri" w:cs="Calibri"/>
          <w:sz w:val="20"/>
          <w:szCs w:val="20"/>
          <w:lang w:eastAsia="en-GB"/>
        </w:rPr>
        <w:t xml:space="preserve">  (ACAS n.d, Flexible working).</w:t>
      </w:r>
    </w:p>
    <w:p w14:paraId="6DACDBB0" w14:textId="6F59E5EC" w:rsidR="005E0F53" w:rsidRPr="005E0F53" w:rsidRDefault="005E0F53" w:rsidP="005E0F53">
      <w:pPr>
        <w:pBdr>
          <w:bottom w:val="single" w:sz="6" w:space="1" w:color="auto"/>
        </w:pBdr>
        <w:spacing w:line="240" w:lineRule="auto"/>
        <w:rPr>
          <w:rFonts w:ascii="Calibri" w:hAnsi="Calibri" w:cs="Calibri"/>
          <w:color w:val="FF0000"/>
          <w:sz w:val="20"/>
          <w:szCs w:val="20"/>
        </w:rPr>
      </w:pPr>
      <w:r w:rsidRPr="005E0F53">
        <w:rPr>
          <w:rFonts w:ascii="Calibri" w:hAnsi="Calibri" w:cs="Calibri"/>
          <w:color w:val="FF0000"/>
          <w:sz w:val="20"/>
          <w:szCs w:val="20"/>
        </w:rPr>
        <w:lastRenderedPageBreak/>
        <w:t>I understand your concern that agreeing to this request might lead to more staff asking for the same, but it's important to remember that each flexible working request must be considered individually. You're not setting a precedent by agreeing to one request – you're simply following the legal requirement to assess each case on its own merits. If future requests come in, you can assess them based on the specific role, team needs, and business impact at the time. If allowing multiple people to work from home would genuinely affect service quality, that would be a valid reason to refuse. The key is to be consistent and fair in how each request is handled, not to avoid them altogether out of fear of more applications.</w:t>
      </w:r>
      <w:r w:rsidR="00B7004E">
        <w:rPr>
          <w:rFonts w:ascii="Calibri" w:hAnsi="Calibri" w:cs="Calibri"/>
          <w:color w:val="FF0000"/>
          <w:sz w:val="20"/>
          <w:szCs w:val="20"/>
        </w:rPr>
        <w:t xml:space="preserve"> (ACAS, 202</w:t>
      </w:r>
      <w:r w:rsidR="00702927">
        <w:rPr>
          <w:rFonts w:ascii="Calibri" w:hAnsi="Calibri" w:cs="Calibri"/>
          <w:color w:val="FF0000"/>
          <w:sz w:val="20"/>
          <w:szCs w:val="20"/>
        </w:rPr>
        <w:t>5)</w:t>
      </w:r>
      <w:r w:rsidR="00176998" w:rsidRPr="005E0F53">
        <w:rPr>
          <w:rFonts w:ascii="Calibri" w:eastAsia="Times New Roman" w:hAnsi="Calibri" w:cs="Calibri"/>
          <w:vanish/>
          <w:color w:val="FF0000"/>
          <w:sz w:val="20"/>
          <w:szCs w:val="20"/>
          <w:lang w:eastAsia="en-GB"/>
        </w:rPr>
        <w:t>Top of Form</w:t>
      </w:r>
    </w:p>
    <w:p w14:paraId="793E9D5B" w14:textId="77777777" w:rsidR="005E0F53" w:rsidRDefault="005E0F53" w:rsidP="005E0F53">
      <w:pPr>
        <w:pBdr>
          <w:bottom w:val="single" w:sz="6" w:space="1" w:color="auto"/>
        </w:pBdr>
        <w:spacing w:line="240" w:lineRule="auto"/>
        <w:rPr>
          <w:rFonts w:ascii="Calibri" w:hAnsi="Calibri" w:cs="Calibri"/>
          <w:sz w:val="20"/>
          <w:szCs w:val="20"/>
        </w:rPr>
      </w:pPr>
    </w:p>
    <w:p w14:paraId="73BB3E1B" w14:textId="77777777" w:rsidR="005E0F53" w:rsidRDefault="005E0F53" w:rsidP="005E0F53">
      <w:pPr>
        <w:pBdr>
          <w:bottom w:val="single" w:sz="6" w:space="1" w:color="auto"/>
        </w:pBdr>
        <w:spacing w:line="240" w:lineRule="auto"/>
        <w:rPr>
          <w:rFonts w:ascii="Calibri" w:hAnsi="Calibri" w:cs="Calibri"/>
          <w:sz w:val="20"/>
          <w:szCs w:val="20"/>
        </w:rPr>
      </w:pPr>
    </w:p>
    <w:p w14:paraId="53661F21" w14:textId="77777777" w:rsidR="005E0F53" w:rsidRDefault="005E0F53" w:rsidP="005E0F53">
      <w:pPr>
        <w:pBdr>
          <w:bottom w:val="single" w:sz="6" w:space="1" w:color="auto"/>
        </w:pBdr>
        <w:spacing w:line="240" w:lineRule="auto"/>
        <w:rPr>
          <w:rFonts w:ascii="Calibri" w:hAnsi="Calibri" w:cs="Calibri"/>
          <w:sz w:val="20"/>
          <w:szCs w:val="20"/>
        </w:rPr>
      </w:pPr>
    </w:p>
    <w:p w14:paraId="19E73DE0" w14:textId="77777777" w:rsidR="005E0F53" w:rsidRDefault="005E0F53" w:rsidP="005E0F53">
      <w:pPr>
        <w:pBdr>
          <w:bottom w:val="single" w:sz="6" w:space="1" w:color="auto"/>
        </w:pBdr>
        <w:spacing w:line="240" w:lineRule="auto"/>
        <w:rPr>
          <w:rFonts w:ascii="Calibri" w:hAnsi="Calibri" w:cs="Calibri"/>
          <w:sz w:val="20"/>
          <w:szCs w:val="20"/>
        </w:rPr>
      </w:pPr>
    </w:p>
    <w:p w14:paraId="6B418F24" w14:textId="77777777" w:rsidR="005E0F53" w:rsidRDefault="005E0F53" w:rsidP="005E0F53">
      <w:pPr>
        <w:pBdr>
          <w:bottom w:val="single" w:sz="6" w:space="1" w:color="auto"/>
        </w:pBdr>
        <w:spacing w:line="240" w:lineRule="auto"/>
        <w:rPr>
          <w:rFonts w:ascii="Calibri" w:hAnsi="Calibri" w:cs="Calibri"/>
          <w:sz w:val="20"/>
          <w:szCs w:val="20"/>
        </w:rPr>
      </w:pPr>
    </w:p>
    <w:p w14:paraId="7660FB79" w14:textId="77777777" w:rsidR="005E0F53" w:rsidRDefault="005E0F53" w:rsidP="005E0F53">
      <w:pPr>
        <w:pBdr>
          <w:bottom w:val="single" w:sz="6" w:space="1" w:color="auto"/>
        </w:pBdr>
        <w:spacing w:line="240" w:lineRule="auto"/>
        <w:rPr>
          <w:rFonts w:ascii="Calibri" w:hAnsi="Calibri" w:cs="Calibri"/>
          <w:sz w:val="20"/>
          <w:szCs w:val="20"/>
        </w:rPr>
      </w:pPr>
    </w:p>
    <w:p w14:paraId="651EC0D9" w14:textId="77777777" w:rsidR="005E0F53" w:rsidRDefault="005E0F53" w:rsidP="005E0F53">
      <w:pPr>
        <w:pBdr>
          <w:bottom w:val="single" w:sz="6" w:space="1" w:color="auto"/>
        </w:pBdr>
        <w:spacing w:line="240" w:lineRule="auto"/>
        <w:rPr>
          <w:rFonts w:ascii="Calibri" w:hAnsi="Calibri" w:cs="Calibri"/>
          <w:sz w:val="20"/>
          <w:szCs w:val="20"/>
        </w:rPr>
      </w:pPr>
    </w:p>
    <w:p w14:paraId="13B07920" w14:textId="77777777" w:rsidR="005E0F53" w:rsidRDefault="005E0F53" w:rsidP="005E0F53">
      <w:pPr>
        <w:pBdr>
          <w:bottom w:val="single" w:sz="6" w:space="1" w:color="auto"/>
        </w:pBdr>
        <w:spacing w:line="240" w:lineRule="auto"/>
        <w:rPr>
          <w:rFonts w:ascii="Calibri" w:hAnsi="Calibri" w:cs="Calibri"/>
          <w:sz w:val="20"/>
          <w:szCs w:val="20"/>
        </w:rPr>
      </w:pPr>
    </w:p>
    <w:p w14:paraId="1203FA46" w14:textId="77777777" w:rsidR="005E0F53" w:rsidRDefault="005E0F53" w:rsidP="005E0F53">
      <w:pPr>
        <w:pBdr>
          <w:bottom w:val="single" w:sz="6" w:space="1" w:color="auto"/>
        </w:pBdr>
        <w:spacing w:line="240" w:lineRule="auto"/>
        <w:rPr>
          <w:rFonts w:ascii="Calibri" w:hAnsi="Calibri" w:cs="Calibri"/>
          <w:sz w:val="20"/>
          <w:szCs w:val="20"/>
        </w:rPr>
      </w:pPr>
    </w:p>
    <w:p w14:paraId="7CB8639B" w14:textId="77777777" w:rsidR="005E0F53" w:rsidRDefault="005E0F53" w:rsidP="005E0F53">
      <w:pPr>
        <w:pBdr>
          <w:bottom w:val="single" w:sz="6" w:space="1" w:color="auto"/>
        </w:pBdr>
        <w:spacing w:line="240" w:lineRule="auto"/>
        <w:rPr>
          <w:rFonts w:ascii="Calibri" w:hAnsi="Calibri" w:cs="Calibri"/>
          <w:sz w:val="20"/>
          <w:szCs w:val="20"/>
        </w:rPr>
      </w:pPr>
    </w:p>
    <w:p w14:paraId="4493EB63" w14:textId="77777777" w:rsidR="005E0F53" w:rsidRDefault="005E0F53" w:rsidP="005E0F53">
      <w:pPr>
        <w:pBdr>
          <w:bottom w:val="single" w:sz="6" w:space="1" w:color="auto"/>
        </w:pBdr>
        <w:spacing w:line="240" w:lineRule="auto"/>
        <w:rPr>
          <w:rFonts w:ascii="Calibri" w:hAnsi="Calibri" w:cs="Calibri"/>
          <w:sz w:val="20"/>
          <w:szCs w:val="20"/>
        </w:rPr>
      </w:pPr>
    </w:p>
    <w:p w14:paraId="7080B5E5" w14:textId="77777777" w:rsidR="005E0F53" w:rsidRDefault="005E0F53" w:rsidP="005E0F53">
      <w:pPr>
        <w:pBdr>
          <w:bottom w:val="single" w:sz="6" w:space="1" w:color="auto"/>
        </w:pBdr>
        <w:spacing w:line="240" w:lineRule="auto"/>
        <w:rPr>
          <w:rFonts w:ascii="Calibri" w:hAnsi="Calibri" w:cs="Calibri"/>
          <w:sz w:val="20"/>
          <w:szCs w:val="20"/>
        </w:rPr>
      </w:pPr>
    </w:p>
    <w:p w14:paraId="79633B84" w14:textId="77777777" w:rsidR="005E0F53" w:rsidRDefault="005E0F53" w:rsidP="005E0F53">
      <w:pPr>
        <w:pBdr>
          <w:bottom w:val="single" w:sz="6" w:space="1" w:color="auto"/>
        </w:pBdr>
        <w:spacing w:line="240" w:lineRule="auto"/>
        <w:rPr>
          <w:rFonts w:ascii="Calibri" w:hAnsi="Calibri" w:cs="Calibri"/>
          <w:sz w:val="20"/>
          <w:szCs w:val="20"/>
        </w:rPr>
      </w:pPr>
    </w:p>
    <w:p w14:paraId="50C8C3AC" w14:textId="77777777" w:rsidR="000B4B6E" w:rsidRDefault="000B4B6E" w:rsidP="005E0F53">
      <w:pPr>
        <w:pBdr>
          <w:bottom w:val="single" w:sz="6" w:space="1" w:color="auto"/>
        </w:pBdr>
        <w:spacing w:line="240" w:lineRule="auto"/>
        <w:rPr>
          <w:rFonts w:ascii="Calibri" w:hAnsi="Calibri" w:cs="Calibri"/>
          <w:sz w:val="20"/>
          <w:szCs w:val="20"/>
        </w:rPr>
      </w:pPr>
    </w:p>
    <w:p w14:paraId="55107844" w14:textId="77777777" w:rsidR="005E0F53" w:rsidRDefault="005E0F53" w:rsidP="005E0F53">
      <w:pPr>
        <w:pBdr>
          <w:bottom w:val="single" w:sz="6" w:space="1" w:color="auto"/>
        </w:pBdr>
        <w:spacing w:line="240" w:lineRule="auto"/>
        <w:rPr>
          <w:rFonts w:ascii="Calibri" w:hAnsi="Calibri" w:cs="Calibri"/>
          <w:sz w:val="20"/>
          <w:szCs w:val="20"/>
        </w:rPr>
      </w:pPr>
    </w:p>
    <w:p w14:paraId="7AD7B39B" w14:textId="77777777" w:rsidR="003B0C9E" w:rsidRDefault="003B0C9E">
      <w:pPr>
        <w:rPr>
          <w:rFonts w:ascii="Calibri" w:hAnsi="Calibri" w:cs="Calibri"/>
          <w:sz w:val="20"/>
          <w:szCs w:val="20"/>
        </w:rPr>
      </w:pPr>
    </w:p>
    <w:p w14:paraId="24AA5866" w14:textId="77777777" w:rsidR="005A34DA" w:rsidRDefault="005A34DA">
      <w:pPr>
        <w:rPr>
          <w:color w:val="000000"/>
          <w:sz w:val="27"/>
          <w:szCs w:val="27"/>
        </w:rPr>
      </w:pPr>
    </w:p>
    <w:p w14:paraId="6E9E85A1" w14:textId="77777777" w:rsidR="00F23768" w:rsidRPr="004D5EBF" w:rsidRDefault="00F23768" w:rsidP="00F23768">
      <w:pPr>
        <w:rPr>
          <w:rFonts w:ascii="Calibri" w:hAnsi="Calibri" w:cs="Calibri"/>
          <w:color w:val="000000"/>
          <w:sz w:val="24"/>
          <w:u w:val="single"/>
        </w:rPr>
      </w:pPr>
      <w:r w:rsidRPr="004D5EBF">
        <w:rPr>
          <w:rFonts w:ascii="Calibri" w:hAnsi="Calibri" w:cs="Calibri"/>
          <w:color w:val="000000"/>
          <w:sz w:val="24"/>
          <w:u w:val="single"/>
        </w:rPr>
        <w:t>Reference list</w:t>
      </w:r>
    </w:p>
    <w:p w14:paraId="52796ED8" w14:textId="77777777" w:rsidR="00F23768" w:rsidRDefault="00F23768" w:rsidP="00F23768">
      <w:pPr>
        <w:rPr>
          <w:rFonts w:ascii="Calibri" w:hAnsi="Calibri" w:cs="Calibri"/>
          <w:color w:val="000000"/>
          <w:sz w:val="20"/>
          <w:szCs w:val="20"/>
        </w:rPr>
      </w:pPr>
    </w:p>
    <w:p w14:paraId="179E29F7"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Acas. Calculating holiday pay. </w:t>
      </w:r>
      <w:r>
        <w:rPr>
          <w:rFonts w:ascii="Calibri" w:hAnsi="Calibri" w:cs="Calibri"/>
          <w:color w:val="000000"/>
          <w:sz w:val="20"/>
          <w:szCs w:val="20"/>
        </w:rPr>
        <w:t xml:space="preserve">Available at </w:t>
      </w:r>
      <w:hyperlink r:id="rId5" w:history="1">
        <w:r w:rsidRPr="00F37E22">
          <w:rPr>
            <w:rStyle w:val="Hyperlink"/>
            <w:rFonts w:ascii="Calibri" w:hAnsi="Calibri" w:cs="Calibri"/>
            <w:sz w:val="20"/>
            <w:szCs w:val="20"/>
          </w:rPr>
          <w:t>https://www.acas.org.uk/checking-holiday-entitlement/calculating-holiday-pay</w:t>
        </w:r>
      </w:hyperlink>
      <w:r w:rsidRPr="0017139F">
        <w:rPr>
          <w:rFonts w:ascii="Calibri" w:hAnsi="Calibri" w:cs="Calibri"/>
          <w:color w:val="000000"/>
          <w:sz w:val="20"/>
          <w:szCs w:val="20"/>
        </w:rPr>
        <w:t>.</w:t>
      </w:r>
      <w:r>
        <w:rPr>
          <w:rFonts w:ascii="Calibri" w:hAnsi="Calibri" w:cs="Calibri"/>
          <w:color w:val="000000"/>
          <w:sz w:val="20"/>
          <w:szCs w:val="20"/>
        </w:rPr>
        <w:t xml:space="preserve"> (Accessed 15/02/2025)</w:t>
      </w:r>
    </w:p>
    <w:p w14:paraId="29BCA5E0" w14:textId="77777777" w:rsidR="00F23768" w:rsidRDefault="00F23768" w:rsidP="00F23768">
      <w:pPr>
        <w:rPr>
          <w:rFonts w:ascii="Calibri" w:hAnsi="Calibri" w:cs="Calibri"/>
          <w:color w:val="000000"/>
          <w:sz w:val="20"/>
          <w:szCs w:val="20"/>
        </w:rPr>
      </w:pPr>
    </w:p>
    <w:p w14:paraId="45343E3E"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Acas</w:t>
      </w:r>
      <w:r>
        <w:rPr>
          <w:rFonts w:ascii="Calibri" w:hAnsi="Calibri" w:cs="Calibri"/>
          <w:color w:val="000000"/>
          <w:sz w:val="20"/>
          <w:szCs w:val="20"/>
        </w:rPr>
        <w:t>.</w:t>
      </w:r>
      <w:r w:rsidRPr="0017139F">
        <w:rPr>
          <w:rFonts w:ascii="Calibri" w:hAnsi="Calibri" w:cs="Calibri"/>
          <w:color w:val="000000"/>
          <w:sz w:val="20"/>
          <w:szCs w:val="20"/>
        </w:rPr>
        <w:t xml:space="preserve"> Constructive dismissal. Available at: - https://www.acas.org.uk/dismissals/constructive-dismissal (Accessed: </w:t>
      </w:r>
      <w:r>
        <w:rPr>
          <w:rFonts w:ascii="Calibri" w:hAnsi="Calibri" w:cs="Calibri"/>
          <w:color w:val="000000"/>
          <w:sz w:val="20"/>
          <w:szCs w:val="20"/>
        </w:rPr>
        <w:t>11/02/2025)</w:t>
      </w:r>
    </w:p>
    <w:p w14:paraId="5E80B094" w14:textId="77777777" w:rsidR="004904C6" w:rsidRDefault="004904C6" w:rsidP="00F23768">
      <w:pPr>
        <w:rPr>
          <w:rFonts w:ascii="Calibri" w:hAnsi="Calibri" w:cs="Calibri"/>
          <w:color w:val="000000"/>
          <w:sz w:val="20"/>
          <w:szCs w:val="20"/>
        </w:rPr>
      </w:pPr>
    </w:p>
    <w:p w14:paraId="322C0117" w14:textId="20083C98" w:rsidR="004904C6" w:rsidRDefault="004904C6" w:rsidP="00F23768">
      <w:pPr>
        <w:rPr>
          <w:rFonts w:ascii="Calibri" w:hAnsi="Calibri" w:cs="Calibri"/>
          <w:sz w:val="20"/>
          <w:szCs w:val="20"/>
        </w:rPr>
      </w:pPr>
      <w:r w:rsidRPr="005B0AE0">
        <w:rPr>
          <w:rFonts w:ascii="Calibri" w:hAnsi="Calibri" w:cs="Calibri"/>
          <w:sz w:val="20"/>
          <w:szCs w:val="20"/>
        </w:rPr>
        <w:t xml:space="preserve">ACAS (2025) 'Duty of care'. Available at: </w:t>
      </w:r>
      <w:hyperlink r:id="rId6" w:tgtFrame="_new" w:history="1">
        <w:r w:rsidRPr="005B0AE0">
          <w:rPr>
            <w:rFonts w:ascii="Calibri" w:hAnsi="Calibri" w:cs="Calibri"/>
            <w:color w:val="0000FF"/>
            <w:sz w:val="20"/>
            <w:szCs w:val="20"/>
            <w:u w:val="single"/>
          </w:rPr>
          <w:t>https://www.acas.org.uk/implied-duties/duty-of-care</w:t>
        </w:r>
      </w:hyperlink>
      <w:r w:rsidRPr="005B0AE0">
        <w:rPr>
          <w:rFonts w:ascii="Calibri" w:hAnsi="Calibri" w:cs="Calibri"/>
          <w:sz w:val="20"/>
          <w:szCs w:val="20"/>
        </w:rPr>
        <w:t xml:space="preserve"> (Accessed: 7 May 2025).</w:t>
      </w:r>
    </w:p>
    <w:p w14:paraId="5A12FCD4" w14:textId="77777777" w:rsidR="00AD000C" w:rsidRDefault="00AD000C" w:rsidP="00F23768">
      <w:pPr>
        <w:rPr>
          <w:rFonts w:ascii="Calibri" w:hAnsi="Calibri" w:cs="Calibri"/>
          <w:sz w:val="20"/>
          <w:szCs w:val="20"/>
        </w:rPr>
      </w:pPr>
    </w:p>
    <w:p w14:paraId="5F634849" w14:textId="072CDC63" w:rsidR="00AD000C" w:rsidRPr="00AD000C" w:rsidRDefault="00AD000C" w:rsidP="00F23768">
      <w:pPr>
        <w:rPr>
          <w:rFonts w:ascii="Calibri" w:hAnsi="Calibri" w:cs="Calibri"/>
          <w:color w:val="000000"/>
          <w:sz w:val="20"/>
          <w:szCs w:val="20"/>
        </w:rPr>
      </w:pPr>
      <w:r w:rsidRPr="00AD000C">
        <w:rPr>
          <w:rFonts w:ascii="Calibri" w:hAnsi="Calibri" w:cs="Calibri"/>
          <w:sz w:val="20"/>
          <w:szCs w:val="20"/>
        </w:rPr>
        <w:t xml:space="preserve">ACAS. (2024) </w:t>
      </w:r>
      <w:r w:rsidRPr="00AD000C">
        <w:rPr>
          <w:rFonts w:ascii="Calibri" w:hAnsi="Calibri" w:cs="Calibri"/>
          <w:i/>
          <w:iCs/>
          <w:sz w:val="20"/>
          <w:szCs w:val="20"/>
        </w:rPr>
        <w:t>Employment tribunal time limits</w:t>
      </w:r>
      <w:r w:rsidRPr="00AD000C">
        <w:rPr>
          <w:rFonts w:ascii="Calibri" w:hAnsi="Calibri" w:cs="Calibri"/>
          <w:sz w:val="20"/>
          <w:szCs w:val="20"/>
        </w:rPr>
        <w:t xml:space="preserve">. Available at: </w:t>
      </w:r>
      <w:hyperlink r:id="rId7" w:tgtFrame="_new" w:history="1">
        <w:r w:rsidRPr="00AD000C">
          <w:rPr>
            <w:rFonts w:ascii="Calibri" w:hAnsi="Calibri" w:cs="Calibri"/>
            <w:color w:val="0000FF"/>
            <w:sz w:val="20"/>
            <w:szCs w:val="20"/>
            <w:u w:val="single"/>
          </w:rPr>
          <w:t>https://www.acas.org.uk/employment-tribunal-time-limits</w:t>
        </w:r>
      </w:hyperlink>
      <w:r w:rsidRPr="00AD000C">
        <w:rPr>
          <w:rFonts w:ascii="Calibri" w:hAnsi="Calibri" w:cs="Calibri"/>
          <w:sz w:val="20"/>
          <w:szCs w:val="20"/>
        </w:rPr>
        <w:t xml:space="preserve"> (Accessed: 7 May 2025).</w:t>
      </w:r>
    </w:p>
    <w:p w14:paraId="0044AF63" w14:textId="77777777" w:rsidR="00F23768" w:rsidRDefault="00F23768" w:rsidP="00F23768">
      <w:pPr>
        <w:rPr>
          <w:rFonts w:ascii="Calibri" w:hAnsi="Calibri" w:cs="Calibri"/>
          <w:color w:val="000000"/>
          <w:sz w:val="20"/>
          <w:szCs w:val="20"/>
        </w:rPr>
      </w:pPr>
    </w:p>
    <w:p w14:paraId="4AFD93EB" w14:textId="2B0F3DAC" w:rsidR="002B3C9B" w:rsidRPr="002B3C9B" w:rsidRDefault="002B3C9B" w:rsidP="00F23768">
      <w:pPr>
        <w:rPr>
          <w:rFonts w:ascii="Calibri" w:hAnsi="Calibri" w:cs="Calibri"/>
          <w:sz w:val="20"/>
          <w:szCs w:val="20"/>
        </w:rPr>
      </w:pPr>
      <w:r w:rsidRPr="002B3C9B">
        <w:rPr>
          <w:rFonts w:ascii="Calibri" w:hAnsi="Calibri" w:cs="Calibri"/>
          <w:sz w:val="20"/>
          <w:szCs w:val="20"/>
        </w:rPr>
        <w:t xml:space="preserve">Acas. (2025). </w:t>
      </w:r>
      <w:r w:rsidRPr="002B3C9B">
        <w:rPr>
          <w:rFonts w:ascii="Calibri" w:hAnsi="Calibri" w:cs="Calibri"/>
          <w:i/>
          <w:iCs/>
          <w:sz w:val="20"/>
          <w:szCs w:val="20"/>
        </w:rPr>
        <w:t>Equal pay</w:t>
      </w:r>
      <w:r w:rsidRPr="002B3C9B">
        <w:rPr>
          <w:rFonts w:ascii="Calibri" w:hAnsi="Calibri" w:cs="Calibri"/>
          <w:sz w:val="20"/>
          <w:szCs w:val="20"/>
        </w:rPr>
        <w:t xml:space="preserve">. Available at: </w:t>
      </w:r>
      <w:hyperlink r:id="rId8" w:tgtFrame="_new" w:history="1">
        <w:r w:rsidRPr="002B3C9B">
          <w:rPr>
            <w:rFonts w:ascii="Calibri" w:hAnsi="Calibri" w:cs="Calibri"/>
            <w:color w:val="0000FF"/>
            <w:sz w:val="20"/>
            <w:szCs w:val="20"/>
            <w:u w:val="single"/>
          </w:rPr>
          <w:t>https://www.acas.org.uk/equal-pay</w:t>
        </w:r>
      </w:hyperlink>
      <w:r w:rsidRPr="002B3C9B">
        <w:rPr>
          <w:rFonts w:ascii="Calibri" w:hAnsi="Calibri" w:cs="Calibri"/>
          <w:sz w:val="20"/>
          <w:szCs w:val="20"/>
        </w:rPr>
        <w:t xml:space="preserve"> [Accessed 7 May 2025].</w:t>
      </w:r>
    </w:p>
    <w:p w14:paraId="430167EF" w14:textId="77777777" w:rsidR="002B3C9B" w:rsidRPr="002B3C9B" w:rsidRDefault="002B3C9B" w:rsidP="00F23768"/>
    <w:p w14:paraId="66091ACA"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Acas</w:t>
      </w:r>
      <w:r>
        <w:rPr>
          <w:rFonts w:ascii="Calibri" w:hAnsi="Calibri" w:cs="Calibri"/>
          <w:color w:val="000000"/>
          <w:sz w:val="20"/>
          <w:szCs w:val="20"/>
        </w:rPr>
        <w:t>.</w:t>
      </w:r>
      <w:r w:rsidRPr="0017139F">
        <w:rPr>
          <w:rFonts w:ascii="Calibri" w:hAnsi="Calibri" w:cs="Calibri"/>
          <w:color w:val="000000"/>
          <w:sz w:val="20"/>
          <w:szCs w:val="20"/>
        </w:rPr>
        <w:t xml:space="preserve"> Flexible working. Available at: https://www.acas.org.uk/flexible-working (Accessed: </w:t>
      </w:r>
      <w:r>
        <w:rPr>
          <w:rFonts w:ascii="Calibri" w:hAnsi="Calibri" w:cs="Calibri"/>
          <w:color w:val="000000"/>
          <w:sz w:val="20"/>
          <w:szCs w:val="20"/>
        </w:rPr>
        <w:t>17/02/2025)</w:t>
      </w:r>
    </w:p>
    <w:p w14:paraId="6FCE984B" w14:textId="77777777" w:rsidR="00D273BE" w:rsidRDefault="00D273BE" w:rsidP="00F23768">
      <w:pPr>
        <w:rPr>
          <w:rFonts w:ascii="Calibri" w:hAnsi="Calibri" w:cs="Calibri"/>
          <w:color w:val="000000"/>
          <w:sz w:val="20"/>
          <w:szCs w:val="20"/>
        </w:rPr>
      </w:pPr>
    </w:p>
    <w:p w14:paraId="04DAFF26" w14:textId="45D3EFA6" w:rsidR="00D273BE" w:rsidRPr="0017139F" w:rsidRDefault="00D273BE" w:rsidP="00F23768">
      <w:pPr>
        <w:rPr>
          <w:rFonts w:ascii="Calibri" w:hAnsi="Calibri" w:cs="Calibri"/>
          <w:color w:val="000000"/>
          <w:sz w:val="20"/>
          <w:szCs w:val="20"/>
        </w:rPr>
      </w:pPr>
      <w:r w:rsidRPr="00D273BE">
        <w:rPr>
          <w:rFonts w:ascii="Calibri" w:hAnsi="Calibri" w:cs="Calibri"/>
          <w:sz w:val="20"/>
          <w:szCs w:val="20"/>
        </w:rPr>
        <w:t xml:space="preserve">ACAS. (2024) </w:t>
      </w:r>
      <w:r w:rsidRPr="00D273BE">
        <w:rPr>
          <w:rFonts w:ascii="Calibri" w:hAnsi="Calibri" w:cs="Calibri"/>
          <w:i/>
          <w:iCs/>
          <w:sz w:val="20"/>
          <w:szCs w:val="20"/>
        </w:rPr>
        <w:t>If employees do not want to transfer</w:t>
      </w:r>
      <w:r w:rsidRPr="00D273BE">
        <w:rPr>
          <w:rFonts w:ascii="Calibri" w:hAnsi="Calibri" w:cs="Calibri"/>
          <w:sz w:val="20"/>
          <w:szCs w:val="20"/>
        </w:rPr>
        <w:t xml:space="preserve">. Available at: </w:t>
      </w:r>
      <w:hyperlink r:id="rId9" w:tgtFrame="_new" w:history="1">
        <w:r w:rsidRPr="00D273BE">
          <w:rPr>
            <w:rFonts w:ascii="Calibri" w:hAnsi="Calibri" w:cs="Calibri"/>
            <w:color w:val="0000FF"/>
            <w:sz w:val="20"/>
            <w:szCs w:val="20"/>
            <w:u w:val="single"/>
          </w:rPr>
          <w:t>https://www.acas.org.uk/tupe/advice-for-employers-and-employees/if-employees-do-not-want-to-transfer</w:t>
        </w:r>
      </w:hyperlink>
      <w:r w:rsidRPr="00D273BE">
        <w:rPr>
          <w:rFonts w:ascii="Calibri" w:hAnsi="Calibri" w:cs="Calibri"/>
          <w:sz w:val="20"/>
          <w:szCs w:val="20"/>
        </w:rPr>
        <w:t xml:space="preserve"> (Accessed: 7 May 2025).</w:t>
      </w:r>
    </w:p>
    <w:p w14:paraId="0655AF93" w14:textId="77777777" w:rsidR="00F23768" w:rsidRDefault="00F23768" w:rsidP="00F23768">
      <w:pPr>
        <w:rPr>
          <w:rFonts w:ascii="Calibri" w:hAnsi="Calibri" w:cs="Calibri"/>
          <w:color w:val="000000"/>
          <w:sz w:val="20"/>
          <w:szCs w:val="20"/>
        </w:rPr>
      </w:pPr>
    </w:p>
    <w:p w14:paraId="203D4364"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Acas</w:t>
      </w:r>
      <w:r>
        <w:rPr>
          <w:rFonts w:ascii="Calibri" w:hAnsi="Calibri" w:cs="Calibri"/>
          <w:color w:val="000000"/>
          <w:sz w:val="20"/>
          <w:szCs w:val="20"/>
        </w:rPr>
        <w:t>.</w:t>
      </w:r>
      <w:r w:rsidRPr="0017139F">
        <w:rPr>
          <w:rFonts w:ascii="Calibri" w:hAnsi="Calibri" w:cs="Calibri"/>
          <w:color w:val="000000"/>
          <w:sz w:val="20"/>
          <w:szCs w:val="20"/>
        </w:rPr>
        <w:t xml:space="preserve"> Shared parental leave and pay. Available at: https://www.acas.org.uk/shared-parental-leave-and-pay (Accessed: </w:t>
      </w:r>
      <w:r>
        <w:rPr>
          <w:rFonts w:ascii="Calibri" w:hAnsi="Calibri" w:cs="Calibri"/>
          <w:color w:val="000000"/>
          <w:sz w:val="20"/>
          <w:szCs w:val="20"/>
        </w:rPr>
        <w:t>14/02/2025)</w:t>
      </w:r>
    </w:p>
    <w:p w14:paraId="694F1483" w14:textId="77777777" w:rsidR="00F23768" w:rsidRDefault="00F23768" w:rsidP="00F23768">
      <w:pPr>
        <w:rPr>
          <w:rFonts w:ascii="Calibri" w:hAnsi="Calibri" w:cs="Calibri"/>
          <w:color w:val="000000"/>
          <w:sz w:val="20"/>
          <w:szCs w:val="20"/>
        </w:rPr>
      </w:pPr>
    </w:p>
    <w:p w14:paraId="19D2E6D8"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Acas</w:t>
      </w:r>
      <w:r>
        <w:rPr>
          <w:rFonts w:ascii="Calibri" w:hAnsi="Calibri" w:cs="Calibri"/>
          <w:color w:val="000000"/>
          <w:sz w:val="20"/>
          <w:szCs w:val="20"/>
        </w:rPr>
        <w:t xml:space="preserve">. </w:t>
      </w:r>
      <w:r w:rsidRPr="0017139F">
        <w:rPr>
          <w:rFonts w:ascii="Calibri" w:hAnsi="Calibri" w:cs="Calibri"/>
          <w:color w:val="000000"/>
          <w:sz w:val="20"/>
          <w:szCs w:val="20"/>
        </w:rPr>
        <w:t xml:space="preserve">TUPE. Available at: https://www.acas.org.uk/tupe (Accessed: </w:t>
      </w:r>
      <w:r>
        <w:rPr>
          <w:rFonts w:ascii="Calibri" w:hAnsi="Calibri" w:cs="Calibri"/>
          <w:color w:val="000000"/>
          <w:sz w:val="20"/>
          <w:szCs w:val="20"/>
        </w:rPr>
        <w:t>14/02/2025)</w:t>
      </w:r>
    </w:p>
    <w:p w14:paraId="721BE8DE" w14:textId="77777777" w:rsidR="00FA61FD" w:rsidRDefault="00FA61FD" w:rsidP="00F23768">
      <w:pPr>
        <w:rPr>
          <w:rFonts w:ascii="Calibri" w:hAnsi="Calibri" w:cs="Calibri"/>
          <w:color w:val="000000"/>
          <w:sz w:val="20"/>
          <w:szCs w:val="20"/>
        </w:rPr>
      </w:pPr>
    </w:p>
    <w:p w14:paraId="215F8EE0" w14:textId="2831EF8A" w:rsidR="00FA61FD" w:rsidRPr="00FA61FD" w:rsidRDefault="00FA61FD" w:rsidP="00F23768">
      <w:pPr>
        <w:rPr>
          <w:rFonts w:ascii="Calibri" w:hAnsi="Calibri" w:cs="Calibri"/>
          <w:color w:val="000000"/>
          <w:sz w:val="20"/>
          <w:szCs w:val="20"/>
        </w:rPr>
      </w:pPr>
      <w:r w:rsidRPr="00FA61FD">
        <w:rPr>
          <w:rFonts w:ascii="Calibri" w:hAnsi="Calibri" w:cs="Calibri"/>
          <w:sz w:val="20"/>
          <w:szCs w:val="20"/>
        </w:rPr>
        <w:t xml:space="preserve">ACAS. (2024) </w:t>
      </w:r>
      <w:r w:rsidRPr="00FA61FD">
        <w:rPr>
          <w:rFonts w:ascii="Calibri" w:hAnsi="Calibri" w:cs="Calibri"/>
          <w:i/>
          <w:iCs/>
          <w:sz w:val="20"/>
          <w:szCs w:val="20"/>
        </w:rPr>
        <w:t>Understanding the Working Time Regulations</w:t>
      </w:r>
      <w:r w:rsidRPr="00FA61FD">
        <w:rPr>
          <w:rFonts w:ascii="Calibri" w:hAnsi="Calibri" w:cs="Calibri"/>
          <w:sz w:val="20"/>
          <w:szCs w:val="20"/>
        </w:rPr>
        <w:t xml:space="preserve">. Available at: </w:t>
      </w:r>
      <w:hyperlink r:id="rId10" w:tgtFrame="_new" w:history="1">
        <w:r w:rsidRPr="00FA61FD">
          <w:rPr>
            <w:rFonts w:ascii="Calibri" w:hAnsi="Calibri" w:cs="Calibri"/>
            <w:color w:val="0000FF"/>
            <w:sz w:val="20"/>
            <w:szCs w:val="20"/>
            <w:u w:val="single"/>
          </w:rPr>
          <w:t>https://www.acas.org.uk/working-time-rules</w:t>
        </w:r>
      </w:hyperlink>
      <w:r w:rsidRPr="00FA61FD">
        <w:rPr>
          <w:rFonts w:ascii="Calibri" w:hAnsi="Calibri" w:cs="Calibri"/>
          <w:sz w:val="20"/>
          <w:szCs w:val="20"/>
        </w:rPr>
        <w:t xml:space="preserve"> (Accessed: 7 May 2025).</w:t>
      </w:r>
    </w:p>
    <w:p w14:paraId="4F50FF2B" w14:textId="77777777" w:rsidR="00A16004" w:rsidRPr="00A16004" w:rsidRDefault="00A16004" w:rsidP="00F23768">
      <w:pPr>
        <w:rPr>
          <w:rFonts w:ascii="Calibri" w:hAnsi="Calibri" w:cs="Calibri"/>
          <w:color w:val="000000"/>
          <w:sz w:val="20"/>
          <w:szCs w:val="20"/>
        </w:rPr>
      </w:pPr>
    </w:p>
    <w:p w14:paraId="249939F6" w14:textId="1CD5B200" w:rsidR="00A16004" w:rsidRPr="00A16004" w:rsidRDefault="00A16004" w:rsidP="00F23768">
      <w:pPr>
        <w:rPr>
          <w:rFonts w:ascii="Calibri" w:hAnsi="Calibri" w:cs="Calibri"/>
          <w:color w:val="000000"/>
          <w:sz w:val="20"/>
          <w:szCs w:val="20"/>
        </w:rPr>
      </w:pPr>
      <w:r w:rsidRPr="00A16004">
        <w:rPr>
          <w:rFonts w:ascii="Calibri" w:hAnsi="Calibri" w:cs="Calibri"/>
          <w:sz w:val="20"/>
          <w:szCs w:val="20"/>
        </w:rPr>
        <w:lastRenderedPageBreak/>
        <w:t xml:space="preserve">ACAS. (2024) </w:t>
      </w:r>
      <w:r w:rsidRPr="00A16004">
        <w:rPr>
          <w:rFonts w:ascii="Calibri" w:hAnsi="Calibri" w:cs="Calibri"/>
          <w:i/>
          <w:iCs/>
          <w:sz w:val="20"/>
          <w:szCs w:val="20"/>
        </w:rPr>
        <w:t>What a TUPE transfer is</w:t>
      </w:r>
      <w:r w:rsidRPr="00A16004">
        <w:rPr>
          <w:rFonts w:ascii="Calibri" w:hAnsi="Calibri" w:cs="Calibri"/>
          <w:sz w:val="20"/>
          <w:szCs w:val="20"/>
        </w:rPr>
        <w:t xml:space="preserve">. Available at: </w:t>
      </w:r>
      <w:hyperlink r:id="rId11" w:tgtFrame="_new" w:history="1">
        <w:r w:rsidRPr="00A16004">
          <w:rPr>
            <w:rFonts w:ascii="Calibri" w:hAnsi="Calibri" w:cs="Calibri"/>
            <w:color w:val="0000FF"/>
            <w:sz w:val="20"/>
            <w:szCs w:val="20"/>
            <w:u w:val="single"/>
          </w:rPr>
          <w:t>https://www.acas.org.uk/tupe/advice-for-employers-and-employees</w:t>
        </w:r>
      </w:hyperlink>
      <w:r w:rsidRPr="00A16004">
        <w:rPr>
          <w:rFonts w:ascii="Calibri" w:hAnsi="Calibri" w:cs="Calibri"/>
          <w:sz w:val="20"/>
          <w:szCs w:val="20"/>
        </w:rPr>
        <w:t xml:space="preserve"> (Accessed: 7 May 2025).</w:t>
      </w:r>
    </w:p>
    <w:p w14:paraId="4AEEAC9B" w14:textId="77777777" w:rsidR="00F23768" w:rsidRDefault="00F23768" w:rsidP="00F23768">
      <w:pPr>
        <w:rPr>
          <w:rFonts w:ascii="Calibri" w:hAnsi="Calibri" w:cs="Calibri"/>
          <w:color w:val="000000"/>
          <w:sz w:val="20"/>
          <w:szCs w:val="20"/>
        </w:rPr>
      </w:pPr>
    </w:p>
    <w:p w14:paraId="4160A2BB"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Acas</w:t>
      </w:r>
      <w:r>
        <w:rPr>
          <w:rFonts w:ascii="Calibri" w:hAnsi="Calibri" w:cs="Calibri"/>
          <w:color w:val="000000"/>
          <w:sz w:val="20"/>
          <w:szCs w:val="20"/>
        </w:rPr>
        <w:t xml:space="preserve">. </w:t>
      </w:r>
      <w:r w:rsidRPr="0017139F">
        <w:rPr>
          <w:rFonts w:ascii="Calibri" w:hAnsi="Calibri" w:cs="Calibri"/>
          <w:color w:val="000000"/>
          <w:sz w:val="20"/>
          <w:szCs w:val="20"/>
        </w:rPr>
        <w:t>Your rights during redundancy. Available at: https://www.acas.org.uk/your-rights-during-</w:t>
      </w:r>
    </w:p>
    <w:p w14:paraId="334FB368"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redundancy?s=04 (Accessed: </w:t>
      </w:r>
      <w:r>
        <w:rPr>
          <w:rFonts w:ascii="Calibri" w:hAnsi="Calibri" w:cs="Calibri"/>
          <w:color w:val="000000"/>
          <w:sz w:val="20"/>
          <w:szCs w:val="20"/>
        </w:rPr>
        <w:t>15/02/2025)</w:t>
      </w:r>
    </w:p>
    <w:p w14:paraId="13A25D99" w14:textId="77777777" w:rsidR="00F23768" w:rsidRPr="0017139F" w:rsidRDefault="00F23768" w:rsidP="00F23768">
      <w:pPr>
        <w:rPr>
          <w:rFonts w:ascii="Calibri" w:hAnsi="Calibri" w:cs="Calibri"/>
          <w:color w:val="000000"/>
          <w:sz w:val="20"/>
          <w:szCs w:val="20"/>
        </w:rPr>
      </w:pPr>
    </w:p>
    <w:p w14:paraId="56ED6EA1"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Chartered Institute of Personnel and Development (CIPD), 2025. Employment law. [online] Available at: https://www.cipd.org/uk/knowledge/employment-law/ </w:t>
      </w:r>
      <w:r>
        <w:rPr>
          <w:rFonts w:ascii="Calibri" w:hAnsi="Calibri" w:cs="Calibri"/>
          <w:color w:val="000000"/>
          <w:sz w:val="20"/>
          <w:szCs w:val="20"/>
        </w:rPr>
        <w:t>(Accessed: 18/02/2025)</w:t>
      </w:r>
    </w:p>
    <w:p w14:paraId="6DB9EB3B" w14:textId="77777777" w:rsidR="00F23768" w:rsidRDefault="00F23768" w:rsidP="00F23768">
      <w:pPr>
        <w:rPr>
          <w:rFonts w:ascii="Calibri" w:hAnsi="Calibri" w:cs="Calibri"/>
          <w:color w:val="000000"/>
          <w:sz w:val="20"/>
          <w:szCs w:val="20"/>
        </w:rPr>
      </w:pPr>
    </w:p>
    <w:p w14:paraId="108220FC" w14:textId="77777777" w:rsidR="00F23768" w:rsidRDefault="00F23768" w:rsidP="00F23768">
      <w:pPr>
        <w:rPr>
          <w:rFonts w:ascii="Calibri" w:hAnsi="Calibri" w:cs="Calibri"/>
          <w:sz w:val="20"/>
          <w:szCs w:val="20"/>
        </w:rPr>
      </w:pPr>
      <w:r w:rsidRPr="00F23768">
        <w:rPr>
          <w:rFonts w:ascii="Calibri" w:hAnsi="Calibri" w:cs="Calibri"/>
          <w:sz w:val="20"/>
          <w:szCs w:val="20"/>
        </w:rPr>
        <w:t>CIPD (</w:t>
      </w:r>
      <w:r>
        <w:rPr>
          <w:rFonts w:ascii="Calibri" w:hAnsi="Calibri" w:cs="Calibri"/>
          <w:sz w:val="20"/>
          <w:szCs w:val="20"/>
        </w:rPr>
        <w:t>2024</w:t>
      </w:r>
      <w:r w:rsidRPr="00F23768">
        <w:rPr>
          <w:rFonts w:ascii="Calibri" w:hAnsi="Calibri" w:cs="Calibri"/>
          <w:sz w:val="20"/>
          <w:szCs w:val="20"/>
        </w:rPr>
        <w:t xml:space="preserve">) </w:t>
      </w:r>
      <w:r w:rsidRPr="00F23768">
        <w:rPr>
          <w:rFonts w:ascii="Calibri" w:hAnsi="Calibri" w:cs="Calibri"/>
          <w:i/>
          <w:iCs/>
          <w:sz w:val="20"/>
          <w:szCs w:val="20"/>
        </w:rPr>
        <w:t>Employment law</w:t>
      </w:r>
      <w:r w:rsidRPr="00F23768">
        <w:rPr>
          <w:rFonts w:ascii="Calibri" w:hAnsi="Calibri" w:cs="Calibri"/>
          <w:sz w:val="20"/>
          <w:szCs w:val="20"/>
        </w:rPr>
        <w:t xml:space="preserve">. Chartered Institute of Personnel and Development. Available at: </w:t>
      </w:r>
      <w:hyperlink r:id="rId12" w:tgtFrame="_new" w:history="1">
        <w:r w:rsidRPr="00F23768">
          <w:rPr>
            <w:rFonts w:ascii="Calibri" w:hAnsi="Calibri" w:cs="Calibri"/>
            <w:color w:val="0000FF"/>
            <w:sz w:val="20"/>
            <w:szCs w:val="20"/>
            <w:u w:val="single"/>
          </w:rPr>
          <w:t>https://www.cipd.org/uk/topics/employment-law/</w:t>
        </w:r>
      </w:hyperlink>
      <w:r w:rsidRPr="00F23768">
        <w:rPr>
          <w:rFonts w:ascii="Calibri" w:hAnsi="Calibri" w:cs="Calibri"/>
          <w:sz w:val="20"/>
          <w:szCs w:val="20"/>
        </w:rPr>
        <w:t xml:space="preserve"> (Accessed: 7 May 2025).</w:t>
      </w:r>
    </w:p>
    <w:p w14:paraId="1E2B3CEA" w14:textId="77777777" w:rsidR="0061738D" w:rsidRDefault="0061738D" w:rsidP="00F23768">
      <w:pPr>
        <w:rPr>
          <w:rFonts w:ascii="Calibri" w:hAnsi="Calibri" w:cs="Calibri"/>
          <w:sz w:val="20"/>
          <w:szCs w:val="20"/>
        </w:rPr>
      </w:pPr>
    </w:p>
    <w:p w14:paraId="748FF708" w14:textId="371931F0" w:rsidR="0061738D" w:rsidRPr="0061738D" w:rsidRDefault="0061738D" w:rsidP="00F23768">
      <w:pPr>
        <w:rPr>
          <w:rFonts w:ascii="Calibri" w:hAnsi="Calibri" w:cs="Calibri"/>
          <w:color w:val="000000"/>
          <w:sz w:val="20"/>
          <w:szCs w:val="20"/>
        </w:rPr>
      </w:pPr>
      <w:r w:rsidRPr="0061738D">
        <w:rPr>
          <w:rFonts w:ascii="Calibri" w:hAnsi="Calibri" w:cs="Calibri"/>
          <w:sz w:val="20"/>
          <w:szCs w:val="20"/>
        </w:rPr>
        <w:t xml:space="preserve">CIPD (2023) 'Employment law: UK, EU and Brexit'. </w:t>
      </w:r>
      <w:r w:rsidRPr="0061738D">
        <w:rPr>
          <w:rFonts w:ascii="Calibri" w:hAnsi="Calibri" w:cs="Calibri"/>
          <w:i/>
          <w:iCs/>
          <w:sz w:val="20"/>
          <w:szCs w:val="20"/>
        </w:rPr>
        <w:t>CIPD</w:t>
      </w:r>
      <w:r w:rsidRPr="0061738D">
        <w:rPr>
          <w:rFonts w:ascii="Calibri" w:hAnsi="Calibri" w:cs="Calibri"/>
          <w:sz w:val="20"/>
          <w:szCs w:val="20"/>
        </w:rPr>
        <w:t xml:space="preserve">. Available at: </w:t>
      </w:r>
      <w:hyperlink r:id="rId13" w:tgtFrame="_new" w:history="1">
        <w:r w:rsidRPr="0061738D">
          <w:rPr>
            <w:rFonts w:ascii="Calibri" w:hAnsi="Calibri" w:cs="Calibri"/>
            <w:color w:val="0000FF"/>
            <w:sz w:val="20"/>
            <w:szCs w:val="20"/>
            <w:u w:val="single"/>
          </w:rPr>
          <w:t>https://prod.cipd.org/uk/knowledge/factsheets/eu-impact-factsheet/</w:t>
        </w:r>
      </w:hyperlink>
      <w:r w:rsidRPr="0061738D">
        <w:rPr>
          <w:rFonts w:ascii="Calibri" w:hAnsi="Calibri" w:cs="Calibri"/>
          <w:sz w:val="20"/>
          <w:szCs w:val="20"/>
        </w:rPr>
        <w:t xml:space="preserve"> (Accessed: 7 May 2025).</w:t>
      </w:r>
    </w:p>
    <w:p w14:paraId="6B382269" w14:textId="77777777" w:rsidR="00F23768" w:rsidRDefault="00F23768" w:rsidP="00F23768">
      <w:pPr>
        <w:rPr>
          <w:rFonts w:ascii="Calibri" w:hAnsi="Calibri" w:cs="Calibri"/>
          <w:color w:val="000000"/>
          <w:sz w:val="20"/>
          <w:szCs w:val="20"/>
        </w:rPr>
      </w:pPr>
    </w:p>
    <w:p w14:paraId="638CFF31"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 xml:space="preserve">Equal pay. Available at: </w:t>
      </w:r>
      <w:hyperlink r:id="rId14" w:history="1">
        <w:r w:rsidRPr="00F37E22">
          <w:rPr>
            <w:rStyle w:val="Hyperlink"/>
            <w:rFonts w:ascii="Calibri" w:hAnsi="Calibri" w:cs="Calibri"/>
            <w:sz w:val="20"/>
            <w:szCs w:val="20"/>
          </w:rPr>
          <w:t>https://www.cipd.org/uk/knowledge/employment-law/equal-pay</w:t>
        </w:r>
      </w:hyperlink>
      <w:r>
        <w:rPr>
          <w:rFonts w:ascii="Calibri" w:hAnsi="Calibri" w:cs="Calibri"/>
          <w:color w:val="000000"/>
          <w:sz w:val="20"/>
          <w:szCs w:val="20"/>
        </w:rPr>
        <w:t xml:space="preserve"> (Accessed: 18/02/2025)</w:t>
      </w:r>
    </w:p>
    <w:p w14:paraId="3326EE1E" w14:textId="77777777" w:rsidR="00F23768" w:rsidRDefault="00F23768" w:rsidP="00F23768">
      <w:pPr>
        <w:rPr>
          <w:rFonts w:ascii="Calibri" w:hAnsi="Calibri" w:cs="Calibri"/>
          <w:color w:val="000000"/>
          <w:sz w:val="20"/>
          <w:szCs w:val="20"/>
        </w:rPr>
      </w:pPr>
    </w:p>
    <w:p w14:paraId="7789BD47"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 xml:space="preserve">Flexible working. Available at: https://www.cipd.org/uk/knowledge/employment-law/flexible-working/ </w:t>
      </w:r>
      <w:r>
        <w:rPr>
          <w:rFonts w:ascii="Calibri" w:hAnsi="Calibri" w:cs="Calibri"/>
          <w:color w:val="000000"/>
          <w:sz w:val="20"/>
          <w:szCs w:val="20"/>
        </w:rPr>
        <w:t>(Accessed: 24/02/2025)</w:t>
      </w:r>
    </w:p>
    <w:p w14:paraId="7A2F3876" w14:textId="77777777" w:rsidR="00F23768" w:rsidRPr="0017139F" w:rsidRDefault="00F23768" w:rsidP="00F23768">
      <w:pPr>
        <w:rPr>
          <w:rFonts w:ascii="Calibri" w:hAnsi="Calibri" w:cs="Calibri"/>
          <w:color w:val="000000"/>
          <w:sz w:val="20"/>
          <w:szCs w:val="20"/>
        </w:rPr>
      </w:pPr>
    </w:p>
    <w:p w14:paraId="009607D3"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CIP</w:t>
      </w:r>
      <w:r>
        <w:rPr>
          <w:rFonts w:ascii="Calibri" w:hAnsi="Calibri" w:cs="Calibri"/>
          <w:color w:val="000000"/>
          <w:sz w:val="20"/>
          <w:szCs w:val="20"/>
        </w:rPr>
        <w:t>D.</w:t>
      </w:r>
      <w:r w:rsidRPr="0017139F">
        <w:rPr>
          <w:rFonts w:ascii="Calibri" w:hAnsi="Calibri" w:cs="Calibri"/>
          <w:color w:val="000000"/>
          <w:sz w:val="20"/>
          <w:szCs w:val="20"/>
        </w:rPr>
        <w:t xml:space="preserve"> Redundancy factsheet. Available at: https://www.cipd.org/uk/knowledge/factsheets/redundancy-factsheet/ </w:t>
      </w:r>
      <w:r>
        <w:rPr>
          <w:rFonts w:ascii="Calibri" w:hAnsi="Calibri" w:cs="Calibri"/>
          <w:color w:val="000000"/>
          <w:sz w:val="20"/>
          <w:szCs w:val="20"/>
        </w:rPr>
        <w:t>(Accessed: 24/02/2025)</w:t>
      </w:r>
    </w:p>
    <w:p w14:paraId="16B6CDFF" w14:textId="77777777" w:rsidR="00F23768" w:rsidRDefault="00F23768" w:rsidP="00F23768">
      <w:pPr>
        <w:rPr>
          <w:rFonts w:ascii="Calibri" w:hAnsi="Calibri" w:cs="Calibri"/>
          <w:color w:val="000000"/>
          <w:sz w:val="20"/>
          <w:szCs w:val="20"/>
        </w:rPr>
      </w:pPr>
    </w:p>
    <w:p w14:paraId="7E0966C8"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CIPD</w:t>
      </w:r>
      <w:r>
        <w:rPr>
          <w:rFonts w:ascii="Calibri" w:hAnsi="Calibri" w:cs="Calibri"/>
          <w:color w:val="000000"/>
          <w:sz w:val="20"/>
          <w:szCs w:val="20"/>
        </w:rPr>
        <w:t xml:space="preserve">. </w:t>
      </w:r>
      <w:r w:rsidRPr="0017139F">
        <w:rPr>
          <w:rFonts w:ascii="Calibri" w:hAnsi="Calibri" w:cs="Calibri"/>
          <w:color w:val="000000"/>
          <w:sz w:val="20"/>
          <w:szCs w:val="20"/>
        </w:rPr>
        <w:t>TUPE factsheet. Available at: https://www.cipd.org/uk/knowledge/factsheets/tupe-factsheet/ (Accessed</w:t>
      </w:r>
      <w:r>
        <w:rPr>
          <w:rFonts w:ascii="Calibri" w:hAnsi="Calibri" w:cs="Calibri"/>
          <w:color w:val="000000"/>
          <w:sz w:val="20"/>
          <w:szCs w:val="20"/>
        </w:rPr>
        <w:t>: 17/02/2025)</w:t>
      </w:r>
    </w:p>
    <w:p w14:paraId="2A00A310" w14:textId="77777777" w:rsidR="0097610B" w:rsidRDefault="0097610B" w:rsidP="00F23768">
      <w:pPr>
        <w:rPr>
          <w:rFonts w:ascii="Calibri" w:hAnsi="Calibri" w:cs="Calibri"/>
          <w:color w:val="000000"/>
          <w:sz w:val="20"/>
          <w:szCs w:val="20"/>
        </w:rPr>
      </w:pPr>
    </w:p>
    <w:p w14:paraId="402ED561" w14:textId="6D8F5C47" w:rsidR="0097610B" w:rsidRPr="00457C96" w:rsidRDefault="0097610B" w:rsidP="00F23768">
      <w:pPr>
        <w:rPr>
          <w:rFonts w:ascii="Calibri" w:hAnsi="Calibri" w:cs="Calibri"/>
          <w:color w:val="000000"/>
          <w:sz w:val="20"/>
          <w:szCs w:val="20"/>
        </w:rPr>
      </w:pPr>
      <w:r w:rsidRPr="00457C96">
        <w:rPr>
          <w:rFonts w:ascii="Calibri" w:hAnsi="Calibri" w:cs="Calibri"/>
          <w:sz w:val="20"/>
          <w:szCs w:val="20"/>
        </w:rPr>
        <w:t xml:space="preserve">Citizens Advice. (2025) </w:t>
      </w:r>
      <w:r w:rsidRPr="00457C96">
        <w:rPr>
          <w:rFonts w:ascii="Calibri" w:hAnsi="Calibri" w:cs="Calibri"/>
          <w:i/>
          <w:iCs/>
          <w:sz w:val="20"/>
          <w:szCs w:val="20"/>
        </w:rPr>
        <w:t>Check if your problem at work is discrimination</w:t>
      </w:r>
      <w:r w:rsidRPr="00457C96">
        <w:rPr>
          <w:rFonts w:ascii="Calibri" w:hAnsi="Calibri" w:cs="Calibri"/>
          <w:sz w:val="20"/>
          <w:szCs w:val="20"/>
        </w:rPr>
        <w:t xml:space="preserve">. Available at: </w:t>
      </w:r>
      <w:hyperlink r:id="rId15" w:tgtFrame="_new" w:history="1">
        <w:r w:rsidRPr="00457C96">
          <w:rPr>
            <w:rFonts w:ascii="Calibri" w:hAnsi="Calibri" w:cs="Calibri"/>
            <w:color w:val="0000FF"/>
            <w:sz w:val="20"/>
            <w:szCs w:val="20"/>
            <w:u w:val="single"/>
          </w:rPr>
          <w:t>https://www.citizensadvice.org.uk/work/discrimination-at-work/dealing-with-discrimination-at-work/checking-if-its-discrimination/check-if-your-problem-at-work-is-discrimination/</w:t>
        </w:r>
      </w:hyperlink>
      <w:r w:rsidRPr="00457C96">
        <w:rPr>
          <w:rFonts w:ascii="Calibri" w:hAnsi="Calibri" w:cs="Calibri"/>
          <w:sz w:val="20"/>
          <w:szCs w:val="20"/>
        </w:rPr>
        <w:t xml:space="preserve"> (Accessed: 7 May 2025).</w:t>
      </w:r>
    </w:p>
    <w:p w14:paraId="49B9065F" w14:textId="77777777" w:rsidR="00F23768" w:rsidRPr="0017139F" w:rsidRDefault="00F23768" w:rsidP="00F23768">
      <w:pPr>
        <w:rPr>
          <w:rFonts w:ascii="Calibri" w:hAnsi="Calibri" w:cs="Calibri"/>
          <w:color w:val="000000"/>
          <w:sz w:val="20"/>
          <w:szCs w:val="20"/>
        </w:rPr>
      </w:pPr>
    </w:p>
    <w:p w14:paraId="5A36488C"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Citizens Advice</w:t>
      </w:r>
      <w:r>
        <w:rPr>
          <w:rFonts w:ascii="Calibri" w:hAnsi="Calibri" w:cs="Calibri"/>
          <w:color w:val="000000"/>
          <w:sz w:val="20"/>
          <w:szCs w:val="20"/>
        </w:rPr>
        <w:t xml:space="preserve">. </w:t>
      </w:r>
      <w:r w:rsidRPr="0017139F">
        <w:rPr>
          <w:rFonts w:ascii="Calibri" w:hAnsi="Calibri" w:cs="Calibri"/>
          <w:color w:val="000000"/>
          <w:sz w:val="20"/>
          <w:szCs w:val="20"/>
        </w:rPr>
        <w:t xml:space="preserve">Claiming constructive dismissal. Available at: https://www.citizensadvice.org.uk/work/dismissal/check-your-rights-if-youre-dismissed/claiming-constructive-dismissal/ </w:t>
      </w:r>
      <w:r>
        <w:rPr>
          <w:rFonts w:ascii="Calibri" w:hAnsi="Calibri" w:cs="Calibri"/>
          <w:color w:val="000000"/>
          <w:sz w:val="20"/>
          <w:szCs w:val="20"/>
        </w:rPr>
        <w:t>(Accessed: 14/02/2025)</w:t>
      </w:r>
    </w:p>
    <w:p w14:paraId="47376828" w14:textId="69CF6BB7" w:rsidR="00E34186" w:rsidRPr="00E34186" w:rsidRDefault="00E34186" w:rsidP="00F23768">
      <w:pPr>
        <w:rPr>
          <w:rFonts w:ascii="Calibri" w:hAnsi="Calibri" w:cs="Calibri"/>
          <w:color w:val="000000"/>
          <w:sz w:val="20"/>
          <w:szCs w:val="20"/>
        </w:rPr>
      </w:pPr>
      <w:r w:rsidRPr="00E34186">
        <w:rPr>
          <w:rFonts w:ascii="Calibri" w:hAnsi="Calibri" w:cs="Calibri"/>
          <w:sz w:val="20"/>
          <w:szCs w:val="20"/>
        </w:rPr>
        <w:t xml:space="preserve">Citizens Advice (2025) 'If you think you’ve been unfairly treated when applying for a job'. Available at: </w:t>
      </w:r>
      <w:hyperlink r:id="rId16" w:tgtFrame="_new" w:history="1">
        <w:r w:rsidRPr="00E34186">
          <w:rPr>
            <w:rFonts w:ascii="Calibri" w:hAnsi="Calibri" w:cs="Calibri"/>
            <w:color w:val="0000FF"/>
            <w:sz w:val="20"/>
            <w:szCs w:val="20"/>
            <w:u w:val="single"/>
          </w:rPr>
          <w:t>https://www.citizensadvice.org.uk/work/discrimination-at-work/dealing-with-discrimination-at-work/checking-if-its-discrimination/if-you-think-youve-been-unfairly-treated-when-applying-for-a-job/</w:t>
        </w:r>
      </w:hyperlink>
      <w:r w:rsidRPr="00E34186">
        <w:rPr>
          <w:rFonts w:ascii="Calibri" w:hAnsi="Calibri" w:cs="Calibri"/>
          <w:sz w:val="20"/>
          <w:szCs w:val="20"/>
        </w:rPr>
        <w:t xml:space="preserve"> (Accessed: 7 May 2025).</w:t>
      </w:r>
    </w:p>
    <w:p w14:paraId="6F89FB1F" w14:textId="77777777" w:rsidR="00F23768" w:rsidRDefault="00F23768" w:rsidP="00F23768">
      <w:pPr>
        <w:rPr>
          <w:rFonts w:ascii="Calibri" w:hAnsi="Calibri" w:cs="Calibri"/>
          <w:color w:val="000000"/>
          <w:sz w:val="20"/>
          <w:szCs w:val="20"/>
        </w:rPr>
      </w:pPr>
    </w:p>
    <w:p w14:paraId="1B73D36B"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Daniels, K, CIPD. Introduction to employment law, fundamentals for HR and business students. </w:t>
      </w:r>
    </w:p>
    <w:p w14:paraId="72C7A52F" w14:textId="77777777" w:rsidR="00670AD3" w:rsidRDefault="00670AD3" w:rsidP="00F23768">
      <w:pPr>
        <w:rPr>
          <w:rFonts w:ascii="Calibri" w:hAnsi="Calibri" w:cs="Calibri"/>
          <w:color w:val="000000"/>
          <w:sz w:val="20"/>
          <w:szCs w:val="20"/>
        </w:rPr>
      </w:pPr>
    </w:p>
    <w:p w14:paraId="0942852A" w14:textId="0760C0C5" w:rsidR="00670AD3" w:rsidRPr="00670AD3" w:rsidRDefault="00670AD3" w:rsidP="00F23768">
      <w:pPr>
        <w:rPr>
          <w:rFonts w:ascii="Calibri" w:hAnsi="Calibri" w:cs="Calibri"/>
          <w:color w:val="000000"/>
          <w:sz w:val="20"/>
          <w:szCs w:val="20"/>
        </w:rPr>
      </w:pPr>
      <w:r w:rsidRPr="00670AD3">
        <w:rPr>
          <w:rFonts w:ascii="Calibri" w:hAnsi="Calibri" w:cs="Calibri"/>
          <w:sz w:val="20"/>
          <w:szCs w:val="20"/>
        </w:rPr>
        <w:t xml:space="preserve">Daniels, K. (2022) </w:t>
      </w:r>
      <w:r w:rsidRPr="00670AD3">
        <w:rPr>
          <w:rStyle w:val="Emphasis"/>
          <w:rFonts w:ascii="Calibri" w:hAnsi="Calibri" w:cs="Calibri"/>
          <w:sz w:val="20"/>
          <w:szCs w:val="20"/>
        </w:rPr>
        <w:t>Introduction to employment law</w:t>
      </w:r>
      <w:r w:rsidRPr="00670AD3">
        <w:rPr>
          <w:rFonts w:ascii="Calibri" w:hAnsi="Calibri" w:cs="Calibri"/>
          <w:sz w:val="20"/>
          <w:szCs w:val="20"/>
        </w:rPr>
        <w:t xml:space="preserve">. 6th </w:t>
      </w:r>
      <w:r w:rsidR="00561ED8" w:rsidRPr="00670AD3">
        <w:rPr>
          <w:rFonts w:ascii="Calibri" w:hAnsi="Calibri" w:cs="Calibri"/>
          <w:sz w:val="20"/>
          <w:szCs w:val="20"/>
        </w:rPr>
        <w:t>ed</w:t>
      </w:r>
      <w:r w:rsidR="00561ED8">
        <w:rPr>
          <w:rFonts w:ascii="Calibri" w:hAnsi="Calibri" w:cs="Calibri"/>
          <w:sz w:val="20"/>
          <w:szCs w:val="20"/>
        </w:rPr>
        <w:t>ition.</w:t>
      </w:r>
    </w:p>
    <w:p w14:paraId="23040460" w14:textId="77777777" w:rsidR="005B6F35" w:rsidRDefault="005B6F35" w:rsidP="00F23768">
      <w:pPr>
        <w:rPr>
          <w:rFonts w:ascii="Calibri" w:hAnsi="Calibri" w:cs="Calibri"/>
          <w:color w:val="000000"/>
          <w:sz w:val="20"/>
          <w:szCs w:val="20"/>
        </w:rPr>
      </w:pPr>
    </w:p>
    <w:p w14:paraId="6FC291A4" w14:textId="72D50217" w:rsidR="005B6F35" w:rsidRPr="005B6F35" w:rsidRDefault="005B6F35" w:rsidP="00F23768">
      <w:pPr>
        <w:rPr>
          <w:rFonts w:ascii="Calibri" w:hAnsi="Calibri" w:cs="Calibri"/>
          <w:color w:val="000000"/>
          <w:sz w:val="20"/>
          <w:szCs w:val="20"/>
        </w:rPr>
      </w:pPr>
      <w:r>
        <w:rPr>
          <w:rFonts w:ascii="Calibri" w:hAnsi="Calibri" w:cs="Calibri"/>
          <w:sz w:val="20"/>
          <w:szCs w:val="20"/>
        </w:rPr>
        <w:t>D</w:t>
      </w:r>
      <w:r w:rsidRPr="005B6F35">
        <w:rPr>
          <w:rFonts w:ascii="Calibri" w:hAnsi="Calibri" w:cs="Calibri"/>
          <w:sz w:val="20"/>
          <w:szCs w:val="20"/>
        </w:rPr>
        <w:t xml:space="preserve">e Mars, S. (2020) 'Brexit next steps: The Court of Justice of the EU and the UK'. </w:t>
      </w:r>
      <w:r w:rsidRPr="005B6F35">
        <w:rPr>
          <w:rFonts w:ascii="Calibri" w:hAnsi="Calibri" w:cs="Calibri"/>
          <w:i/>
          <w:iCs/>
          <w:sz w:val="20"/>
          <w:szCs w:val="20"/>
        </w:rPr>
        <w:t>House of Commons Library</w:t>
      </w:r>
      <w:r w:rsidRPr="005B6F35">
        <w:rPr>
          <w:rFonts w:ascii="Calibri" w:hAnsi="Calibri" w:cs="Calibri"/>
          <w:sz w:val="20"/>
          <w:szCs w:val="20"/>
        </w:rPr>
        <w:t xml:space="preserve">. Available at: </w:t>
      </w:r>
      <w:hyperlink r:id="rId17" w:tgtFrame="_new" w:history="1">
        <w:r w:rsidRPr="005B6F35">
          <w:rPr>
            <w:rFonts w:ascii="Calibri" w:hAnsi="Calibri" w:cs="Calibri"/>
            <w:color w:val="0000FF"/>
            <w:sz w:val="20"/>
            <w:szCs w:val="20"/>
            <w:u w:val="single"/>
          </w:rPr>
          <w:t>https://commonslibrary.parliament.uk/brexit-next-steps-the-court-of-justice-of-the-eu-and-the-uk/</w:t>
        </w:r>
      </w:hyperlink>
      <w:r w:rsidRPr="005B6F35">
        <w:rPr>
          <w:rFonts w:ascii="Calibri" w:hAnsi="Calibri" w:cs="Calibri"/>
          <w:sz w:val="20"/>
          <w:szCs w:val="20"/>
        </w:rPr>
        <w:t xml:space="preserve"> (Accessed: 7 May 2025).</w:t>
      </w:r>
    </w:p>
    <w:p w14:paraId="45826CCA" w14:textId="77777777" w:rsidR="00F23768" w:rsidRDefault="00F23768" w:rsidP="00F23768">
      <w:pPr>
        <w:rPr>
          <w:rFonts w:ascii="Calibri" w:hAnsi="Calibri" w:cs="Calibri"/>
          <w:color w:val="000000"/>
          <w:sz w:val="20"/>
          <w:szCs w:val="20"/>
        </w:rPr>
      </w:pPr>
    </w:p>
    <w:p w14:paraId="37944EB6"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Equal pay law. [online] Available at: https://www.acas.org.uk/equal-pay/equal-pay-law </w:t>
      </w:r>
      <w:r>
        <w:rPr>
          <w:rFonts w:ascii="Calibri" w:hAnsi="Calibri" w:cs="Calibri"/>
          <w:color w:val="000000"/>
          <w:sz w:val="20"/>
          <w:szCs w:val="20"/>
        </w:rPr>
        <w:t>(</w:t>
      </w:r>
      <w:r w:rsidRPr="0017139F">
        <w:rPr>
          <w:rFonts w:ascii="Calibri" w:hAnsi="Calibri" w:cs="Calibri"/>
          <w:color w:val="000000"/>
          <w:sz w:val="20"/>
          <w:szCs w:val="20"/>
        </w:rPr>
        <w:t>Accessed 19</w:t>
      </w:r>
      <w:r>
        <w:rPr>
          <w:rFonts w:ascii="Calibri" w:hAnsi="Calibri" w:cs="Calibri"/>
          <w:color w:val="000000"/>
          <w:sz w:val="20"/>
          <w:szCs w:val="20"/>
        </w:rPr>
        <w:t>/02/2025)</w:t>
      </w:r>
    </w:p>
    <w:p w14:paraId="6E0E17A9" w14:textId="77777777" w:rsidR="00AD606F" w:rsidRDefault="00AD606F" w:rsidP="00F23768">
      <w:pPr>
        <w:rPr>
          <w:rFonts w:ascii="Calibri" w:hAnsi="Calibri" w:cs="Calibri"/>
          <w:color w:val="000000"/>
          <w:sz w:val="20"/>
          <w:szCs w:val="20"/>
        </w:rPr>
      </w:pPr>
    </w:p>
    <w:p w14:paraId="1F4DADD9" w14:textId="54768AF4" w:rsidR="00AD606F" w:rsidRPr="00AD606F" w:rsidRDefault="00AD606F" w:rsidP="00F23768">
      <w:pPr>
        <w:rPr>
          <w:rFonts w:ascii="Calibri" w:hAnsi="Calibri" w:cs="Calibri"/>
          <w:color w:val="000000"/>
          <w:sz w:val="20"/>
          <w:szCs w:val="20"/>
        </w:rPr>
      </w:pPr>
      <w:r w:rsidRPr="00AD606F">
        <w:rPr>
          <w:rFonts w:ascii="Calibri" w:hAnsi="Calibri" w:cs="Calibri"/>
          <w:sz w:val="20"/>
          <w:szCs w:val="20"/>
        </w:rPr>
        <w:t xml:space="preserve">Encyclopaedia Britannica. (2025) </w:t>
      </w:r>
      <w:r w:rsidRPr="00AD606F">
        <w:rPr>
          <w:rFonts w:ascii="Calibri" w:hAnsi="Calibri" w:cs="Calibri"/>
          <w:i/>
          <w:iCs/>
          <w:sz w:val="20"/>
          <w:szCs w:val="20"/>
        </w:rPr>
        <w:t>Trade union</w:t>
      </w:r>
      <w:r w:rsidRPr="00AD606F">
        <w:rPr>
          <w:rFonts w:ascii="Calibri" w:hAnsi="Calibri" w:cs="Calibri"/>
          <w:sz w:val="20"/>
          <w:szCs w:val="20"/>
        </w:rPr>
        <w:t xml:space="preserve">. Available at: </w:t>
      </w:r>
      <w:hyperlink r:id="rId18" w:tgtFrame="_new" w:history="1">
        <w:r w:rsidRPr="00AD606F">
          <w:rPr>
            <w:rFonts w:ascii="Calibri" w:hAnsi="Calibri" w:cs="Calibri"/>
            <w:color w:val="0000FF"/>
            <w:sz w:val="20"/>
            <w:szCs w:val="20"/>
            <w:u w:val="single"/>
          </w:rPr>
          <w:t>https://www.britannica.com/topic/trade-union</w:t>
        </w:r>
      </w:hyperlink>
      <w:r w:rsidRPr="00AD606F">
        <w:rPr>
          <w:rFonts w:ascii="Calibri" w:hAnsi="Calibri" w:cs="Calibri"/>
          <w:sz w:val="20"/>
          <w:szCs w:val="20"/>
        </w:rPr>
        <w:t xml:space="preserve"> (Accessed: 7 May 2025).</w:t>
      </w:r>
    </w:p>
    <w:p w14:paraId="14A50594" w14:textId="77777777" w:rsidR="00C10E16" w:rsidRDefault="00C10E16" w:rsidP="00F23768">
      <w:pPr>
        <w:rPr>
          <w:rFonts w:ascii="Calibri" w:hAnsi="Calibri" w:cs="Calibri"/>
          <w:color w:val="000000"/>
          <w:sz w:val="20"/>
          <w:szCs w:val="20"/>
        </w:rPr>
      </w:pPr>
    </w:p>
    <w:p w14:paraId="6B07B392" w14:textId="40C7B349" w:rsidR="00C10E16" w:rsidRDefault="00C10E16" w:rsidP="00F23768">
      <w:pPr>
        <w:rPr>
          <w:rFonts w:ascii="Calibri" w:hAnsi="Calibri" w:cs="Calibri"/>
          <w:sz w:val="20"/>
          <w:szCs w:val="20"/>
        </w:rPr>
      </w:pPr>
      <w:r w:rsidRPr="00C10E16">
        <w:rPr>
          <w:rFonts w:ascii="Calibri" w:hAnsi="Calibri" w:cs="Calibri"/>
          <w:sz w:val="20"/>
          <w:szCs w:val="20"/>
        </w:rPr>
        <w:lastRenderedPageBreak/>
        <w:t xml:space="preserve">Employers Direct. (2025) </w:t>
      </w:r>
      <w:r w:rsidRPr="00C10E16">
        <w:rPr>
          <w:rStyle w:val="Emphasis"/>
          <w:rFonts w:ascii="Calibri" w:hAnsi="Calibri" w:cs="Calibri"/>
          <w:sz w:val="20"/>
          <w:szCs w:val="20"/>
        </w:rPr>
        <w:t>Employment law advice for employers</w:t>
      </w:r>
      <w:r w:rsidRPr="00C10E16">
        <w:rPr>
          <w:rFonts w:ascii="Calibri" w:hAnsi="Calibri" w:cs="Calibri"/>
          <w:sz w:val="20"/>
          <w:szCs w:val="20"/>
        </w:rPr>
        <w:t>. Available at: https://employersdirect.org.uk/employment-law-advice (Accessed: 7 May 2025).</w:t>
      </w:r>
    </w:p>
    <w:p w14:paraId="4F9C60FA" w14:textId="6ED1BE17" w:rsidR="00F23768" w:rsidRPr="00F96648" w:rsidRDefault="00F96648" w:rsidP="00F96648">
      <w:pPr>
        <w:spacing w:before="100" w:beforeAutospacing="1" w:after="100" w:afterAutospacing="1" w:line="240" w:lineRule="auto"/>
        <w:rPr>
          <w:rFonts w:ascii="Calibri" w:eastAsia="Times New Roman" w:hAnsi="Calibri" w:cs="Calibri"/>
          <w:sz w:val="20"/>
          <w:szCs w:val="20"/>
          <w:lang w:eastAsia="en-GB"/>
        </w:rPr>
      </w:pPr>
      <w:r w:rsidRPr="00F96648">
        <w:rPr>
          <w:rFonts w:ascii="Calibri" w:eastAsia="Times New Roman" w:hAnsi="Calibri" w:cs="Calibri"/>
          <w:sz w:val="20"/>
          <w:szCs w:val="20"/>
          <w:lang w:eastAsia="en-GB"/>
        </w:rPr>
        <w:t xml:space="preserve">Employment Rights Act 1996, c. 18. Available at: </w:t>
      </w:r>
      <w:hyperlink r:id="rId19" w:tgtFrame="_new" w:history="1">
        <w:r w:rsidRPr="00F96648">
          <w:rPr>
            <w:rFonts w:ascii="Calibri" w:eastAsia="Times New Roman" w:hAnsi="Calibri" w:cs="Calibri"/>
            <w:color w:val="0000FF"/>
            <w:sz w:val="20"/>
            <w:szCs w:val="20"/>
            <w:u w:val="single"/>
            <w:lang w:eastAsia="en-GB"/>
          </w:rPr>
          <w:t>https://www.legislation.gov.uk/ukpga/1996/18/contents</w:t>
        </w:r>
      </w:hyperlink>
      <w:r w:rsidRPr="00F96648">
        <w:rPr>
          <w:rFonts w:ascii="Calibri" w:eastAsia="Times New Roman" w:hAnsi="Calibri" w:cs="Calibri"/>
          <w:sz w:val="20"/>
          <w:szCs w:val="20"/>
          <w:lang w:eastAsia="en-GB"/>
        </w:rPr>
        <w:t xml:space="preserve"> (Accessed: 7 May 2025).</w:t>
      </w:r>
    </w:p>
    <w:p w14:paraId="3D412DE3"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Employment law services. Available at: https://croner.co.uk/services/employment-law//?utm_source=bing&amp;utm_medium=tCPA&amp;utm_campaign=Croner_Core_Bing&amp;utm_term=employers%20law&amp;msclkid=3bede1a7d53f147386e886121d5d57e5&amp;utm_content=Employment%20Law (Accessed: </w:t>
      </w:r>
      <w:r>
        <w:rPr>
          <w:rFonts w:ascii="Calibri" w:hAnsi="Calibri" w:cs="Calibri"/>
          <w:color w:val="000000"/>
          <w:sz w:val="20"/>
          <w:szCs w:val="20"/>
        </w:rPr>
        <w:t>10/02/2025)</w:t>
      </w:r>
    </w:p>
    <w:p w14:paraId="088A39DB" w14:textId="77777777" w:rsidR="00F23768" w:rsidRDefault="00F23768" w:rsidP="00F23768">
      <w:pPr>
        <w:rPr>
          <w:color w:val="000000"/>
          <w:sz w:val="27"/>
          <w:szCs w:val="27"/>
        </w:rPr>
      </w:pPr>
    </w:p>
    <w:p w14:paraId="39DA389D"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 xml:space="preserve">Follow discrimination law when hiring someone. [online] Available at: https://www.acas.org.uk/hiring-someone/follow-discrimination-law </w:t>
      </w:r>
      <w:r>
        <w:rPr>
          <w:rFonts w:ascii="Calibri" w:hAnsi="Calibri" w:cs="Calibri"/>
          <w:color w:val="000000"/>
          <w:sz w:val="20"/>
          <w:szCs w:val="20"/>
        </w:rPr>
        <w:t>(Accessed: 12/02/2025)</w:t>
      </w:r>
    </w:p>
    <w:p w14:paraId="6A58FB58" w14:textId="77777777" w:rsidR="002D7C0E" w:rsidRDefault="002D7C0E" w:rsidP="00F23768">
      <w:pPr>
        <w:rPr>
          <w:rFonts w:ascii="Calibri" w:hAnsi="Calibri" w:cs="Calibri"/>
          <w:color w:val="000000"/>
          <w:sz w:val="20"/>
          <w:szCs w:val="20"/>
        </w:rPr>
      </w:pPr>
    </w:p>
    <w:p w14:paraId="49341713" w14:textId="3D566054" w:rsidR="002D7C0E" w:rsidRDefault="002D7C0E" w:rsidP="00F23768">
      <w:pPr>
        <w:rPr>
          <w:rFonts w:ascii="Calibri" w:hAnsi="Calibri" w:cs="Calibri"/>
          <w:sz w:val="20"/>
          <w:szCs w:val="20"/>
        </w:rPr>
      </w:pPr>
      <w:r w:rsidRPr="002D7C0E">
        <w:rPr>
          <w:rFonts w:ascii="Calibri" w:hAnsi="Calibri" w:cs="Calibri"/>
          <w:sz w:val="20"/>
          <w:szCs w:val="20"/>
        </w:rPr>
        <w:t xml:space="preserve">Government Equalities Office (2010) </w:t>
      </w:r>
      <w:r w:rsidRPr="002D7C0E">
        <w:rPr>
          <w:rFonts w:ascii="Calibri" w:hAnsi="Calibri" w:cs="Calibri"/>
          <w:i/>
          <w:iCs/>
          <w:sz w:val="20"/>
          <w:szCs w:val="20"/>
        </w:rPr>
        <w:t>Equality Act 2010: Guidance</w:t>
      </w:r>
      <w:r w:rsidRPr="002D7C0E">
        <w:rPr>
          <w:rFonts w:ascii="Calibri" w:hAnsi="Calibri" w:cs="Calibri"/>
          <w:sz w:val="20"/>
          <w:szCs w:val="20"/>
        </w:rPr>
        <w:t xml:space="preserve">. Available at: </w:t>
      </w:r>
      <w:hyperlink r:id="rId20" w:tgtFrame="_new" w:history="1">
        <w:r w:rsidRPr="002D7C0E">
          <w:rPr>
            <w:rFonts w:ascii="Calibri" w:hAnsi="Calibri" w:cs="Calibri"/>
            <w:color w:val="0000FF"/>
            <w:sz w:val="20"/>
            <w:szCs w:val="20"/>
            <w:u w:val="single"/>
          </w:rPr>
          <w:t>https://www.gov.uk/guidance/equality-act-2010-guidance</w:t>
        </w:r>
      </w:hyperlink>
      <w:r w:rsidRPr="002D7C0E">
        <w:rPr>
          <w:rFonts w:ascii="Calibri" w:hAnsi="Calibri" w:cs="Calibri"/>
          <w:sz w:val="20"/>
          <w:szCs w:val="20"/>
        </w:rPr>
        <w:t xml:space="preserve"> (Accessed: 7 May 2025)</w:t>
      </w:r>
    </w:p>
    <w:p w14:paraId="0E5FA3EF" w14:textId="77777777" w:rsidR="00972911" w:rsidRDefault="00972911" w:rsidP="00F23768">
      <w:pPr>
        <w:rPr>
          <w:rFonts w:ascii="Calibri" w:hAnsi="Calibri" w:cs="Calibri"/>
          <w:sz w:val="20"/>
          <w:szCs w:val="20"/>
        </w:rPr>
      </w:pPr>
    </w:p>
    <w:p w14:paraId="3357BCB5" w14:textId="4EF30552" w:rsidR="00972911" w:rsidRPr="00972911" w:rsidRDefault="00972911" w:rsidP="00F23768">
      <w:pPr>
        <w:rPr>
          <w:rFonts w:ascii="Calibri" w:hAnsi="Calibri" w:cs="Calibri"/>
          <w:color w:val="000000"/>
          <w:sz w:val="20"/>
          <w:szCs w:val="20"/>
        </w:rPr>
      </w:pPr>
      <w:r w:rsidRPr="00972911">
        <w:rPr>
          <w:rFonts w:ascii="Calibri" w:hAnsi="Calibri" w:cs="Calibri"/>
          <w:sz w:val="20"/>
          <w:szCs w:val="20"/>
        </w:rPr>
        <w:t xml:space="preserve">GOV.UK. (2025) </w:t>
      </w:r>
      <w:r w:rsidRPr="00972911">
        <w:rPr>
          <w:rFonts w:ascii="Calibri" w:hAnsi="Calibri" w:cs="Calibri"/>
          <w:i/>
          <w:iCs/>
          <w:sz w:val="20"/>
          <w:szCs w:val="20"/>
        </w:rPr>
        <w:t>Being selected for redundancy</w:t>
      </w:r>
      <w:r w:rsidRPr="00972911">
        <w:rPr>
          <w:rFonts w:ascii="Calibri" w:hAnsi="Calibri" w:cs="Calibri"/>
          <w:sz w:val="20"/>
          <w:szCs w:val="20"/>
        </w:rPr>
        <w:t xml:space="preserve">. Available at: </w:t>
      </w:r>
      <w:hyperlink r:id="rId21" w:tgtFrame="_new" w:history="1">
        <w:r w:rsidRPr="00972911">
          <w:rPr>
            <w:rFonts w:ascii="Calibri" w:hAnsi="Calibri" w:cs="Calibri"/>
            <w:color w:val="0000FF"/>
            <w:sz w:val="20"/>
            <w:szCs w:val="20"/>
            <w:u w:val="single"/>
          </w:rPr>
          <w:t>https://www.gov.uk/redundancy-your-rights/being-selected-for-redundancy</w:t>
        </w:r>
      </w:hyperlink>
      <w:r w:rsidRPr="00972911">
        <w:rPr>
          <w:rFonts w:ascii="Calibri" w:hAnsi="Calibri" w:cs="Calibri"/>
          <w:sz w:val="20"/>
          <w:szCs w:val="20"/>
        </w:rPr>
        <w:t xml:space="preserve"> (Accessed: 7 May 2025).</w:t>
      </w:r>
    </w:p>
    <w:p w14:paraId="03BA9F67" w14:textId="77777777" w:rsidR="00F23768" w:rsidRDefault="00F23768" w:rsidP="00F23768">
      <w:pPr>
        <w:rPr>
          <w:rFonts w:ascii="Calibri" w:hAnsi="Calibri" w:cs="Calibri"/>
          <w:color w:val="000000"/>
          <w:sz w:val="20"/>
          <w:szCs w:val="20"/>
        </w:rPr>
      </w:pPr>
    </w:p>
    <w:p w14:paraId="2981E705"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 xml:space="preserve">. </w:t>
      </w:r>
      <w:r w:rsidRPr="0017139F">
        <w:rPr>
          <w:rFonts w:ascii="Calibri" w:hAnsi="Calibri" w:cs="Calibri"/>
          <w:color w:val="000000"/>
          <w:sz w:val="20"/>
          <w:szCs w:val="20"/>
        </w:rPr>
        <w:t xml:space="preserve">Calculate your holiday entitlement. Available at: https://www.gov.uk/calculate-your-holiday-entitlement (Accessed: </w:t>
      </w:r>
      <w:r>
        <w:rPr>
          <w:rFonts w:ascii="Calibri" w:hAnsi="Calibri" w:cs="Calibri"/>
          <w:color w:val="000000"/>
          <w:sz w:val="20"/>
          <w:szCs w:val="20"/>
        </w:rPr>
        <w:t>12/02/2025)</w:t>
      </w:r>
    </w:p>
    <w:p w14:paraId="543CB0CA" w14:textId="77777777" w:rsidR="00274ACA" w:rsidRPr="00274ACA" w:rsidRDefault="00274ACA" w:rsidP="00274ACA">
      <w:pPr>
        <w:spacing w:before="100" w:beforeAutospacing="1" w:after="100" w:afterAutospacing="1" w:line="240" w:lineRule="auto"/>
        <w:rPr>
          <w:rFonts w:ascii="Calibri" w:eastAsia="Times New Roman" w:hAnsi="Calibri" w:cs="Calibri"/>
          <w:sz w:val="20"/>
          <w:szCs w:val="20"/>
          <w:lang w:eastAsia="en-GB"/>
        </w:rPr>
      </w:pPr>
      <w:r w:rsidRPr="00274ACA">
        <w:rPr>
          <w:rFonts w:ascii="Calibri" w:eastAsia="Times New Roman" w:hAnsi="Calibri" w:cs="Calibri"/>
          <w:sz w:val="20"/>
          <w:szCs w:val="20"/>
          <w:lang w:eastAsia="en-GB"/>
        </w:rPr>
        <w:t xml:space="preserve">GOV.UK. (2025) </w:t>
      </w:r>
      <w:r w:rsidRPr="00274ACA">
        <w:rPr>
          <w:rFonts w:ascii="Calibri" w:eastAsia="Times New Roman" w:hAnsi="Calibri" w:cs="Calibri"/>
          <w:i/>
          <w:iCs/>
          <w:sz w:val="20"/>
          <w:szCs w:val="20"/>
          <w:lang w:eastAsia="en-GB"/>
        </w:rPr>
        <w:t>Changing an employment contract: Getting agreement</w:t>
      </w:r>
      <w:r w:rsidRPr="00274ACA">
        <w:rPr>
          <w:rFonts w:ascii="Calibri" w:eastAsia="Times New Roman" w:hAnsi="Calibri" w:cs="Calibri"/>
          <w:sz w:val="20"/>
          <w:szCs w:val="20"/>
          <w:lang w:eastAsia="en-GB"/>
        </w:rPr>
        <w:t xml:space="preserve">. Available at: </w:t>
      </w:r>
      <w:hyperlink r:id="rId22" w:tgtFrame="_new" w:history="1">
        <w:r w:rsidRPr="00274ACA">
          <w:rPr>
            <w:rFonts w:ascii="Calibri" w:eastAsia="Times New Roman" w:hAnsi="Calibri" w:cs="Calibri"/>
            <w:color w:val="0000FF"/>
            <w:sz w:val="20"/>
            <w:szCs w:val="20"/>
            <w:u w:val="single"/>
            <w:lang w:eastAsia="en-GB"/>
          </w:rPr>
          <w:t>https://www.gov.uk/your-employment-contract-how-it-can-be-changed</w:t>
        </w:r>
      </w:hyperlink>
      <w:r w:rsidRPr="00274ACA">
        <w:rPr>
          <w:rFonts w:ascii="Calibri" w:eastAsia="Times New Roman" w:hAnsi="Calibri" w:cs="Calibri"/>
          <w:sz w:val="20"/>
          <w:szCs w:val="20"/>
          <w:lang w:eastAsia="en-GB"/>
        </w:rPr>
        <w:t xml:space="preserve"> (Accessed: 7 May 2025).</w:t>
      </w:r>
      <w:hyperlink r:id="rId23" w:tgtFrame="_blank" w:history="1">
        <w:r w:rsidRPr="00274ACA">
          <w:rPr>
            <w:rFonts w:ascii="Calibri" w:eastAsia="Times New Roman" w:hAnsi="Calibri" w:cs="Calibri"/>
            <w:color w:val="0000FF"/>
            <w:sz w:val="20"/>
            <w:szCs w:val="20"/>
            <w:u w:val="single"/>
            <w:lang w:eastAsia="en-GB"/>
          </w:rPr>
          <w:t>GOV.UK</w:t>
        </w:r>
      </w:hyperlink>
    </w:p>
    <w:p w14:paraId="18280A62" w14:textId="2ECBA7AE" w:rsidR="00D13318" w:rsidRPr="00D13318" w:rsidRDefault="00D13318" w:rsidP="00F23768">
      <w:pPr>
        <w:rPr>
          <w:rFonts w:ascii="Calibri" w:hAnsi="Calibri" w:cs="Calibri"/>
          <w:sz w:val="20"/>
          <w:szCs w:val="20"/>
        </w:rPr>
      </w:pPr>
      <w:r w:rsidRPr="00D13318">
        <w:rPr>
          <w:rFonts w:ascii="Calibri" w:hAnsi="Calibri" w:cs="Calibri"/>
          <w:sz w:val="20"/>
          <w:szCs w:val="20"/>
        </w:rPr>
        <w:t xml:space="preserve">GOV.UK. (2025). </w:t>
      </w:r>
      <w:r w:rsidRPr="00D13318">
        <w:rPr>
          <w:rFonts w:ascii="Calibri" w:hAnsi="Calibri" w:cs="Calibri"/>
          <w:i/>
          <w:iCs/>
          <w:sz w:val="20"/>
          <w:szCs w:val="20"/>
        </w:rPr>
        <w:t>Discrimination at work</w:t>
      </w:r>
      <w:r w:rsidRPr="00D13318">
        <w:rPr>
          <w:rFonts w:ascii="Calibri" w:hAnsi="Calibri" w:cs="Calibri"/>
          <w:sz w:val="20"/>
          <w:szCs w:val="20"/>
        </w:rPr>
        <w:t xml:space="preserve">. Available at: </w:t>
      </w:r>
      <w:hyperlink r:id="rId24" w:tgtFrame="_new" w:history="1">
        <w:r w:rsidRPr="00D13318">
          <w:rPr>
            <w:rFonts w:ascii="Calibri" w:hAnsi="Calibri" w:cs="Calibri"/>
            <w:color w:val="0000FF"/>
            <w:sz w:val="20"/>
            <w:szCs w:val="20"/>
            <w:u w:val="single"/>
          </w:rPr>
          <w:t>https://www.gov.uk/discrimination-your-rights/discrimination-at-work</w:t>
        </w:r>
      </w:hyperlink>
      <w:r w:rsidRPr="00D13318">
        <w:rPr>
          <w:rFonts w:ascii="Calibri" w:hAnsi="Calibri" w:cs="Calibri"/>
          <w:sz w:val="20"/>
          <w:szCs w:val="20"/>
        </w:rPr>
        <w:t xml:space="preserve"> [Accessed 7 May 2025].</w:t>
      </w:r>
    </w:p>
    <w:p w14:paraId="48D85C9C" w14:textId="77777777" w:rsidR="00D13318" w:rsidRPr="0017139F" w:rsidRDefault="00D13318" w:rsidP="00F23768">
      <w:pPr>
        <w:rPr>
          <w:rFonts w:ascii="Calibri" w:hAnsi="Calibri" w:cs="Calibri"/>
          <w:color w:val="000000"/>
          <w:sz w:val="20"/>
          <w:szCs w:val="20"/>
        </w:rPr>
      </w:pPr>
    </w:p>
    <w:p w14:paraId="5D3F48BF" w14:textId="06BEC060" w:rsidR="00304FE6"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w:t>
      </w:r>
      <w:r w:rsidRPr="0017139F">
        <w:rPr>
          <w:rFonts w:ascii="Calibri" w:hAnsi="Calibri" w:cs="Calibri"/>
          <w:color w:val="000000"/>
          <w:sz w:val="20"/>
          <w:szCs w:val="20"/>
        </w:rPr>
        <w:t xml:space="preserve"> Discrimination: your rights. Available at: https://www.gov.uk/discrimination-your-rights (Accessed: </w:t>
      </w:r>
      <w:r>
        <w:rPr>
          <w:rFonts w:ascii="Calibri" w:hAnsi="Calibri" w:cs="Calibri"/>
          <w:color w:val="000000"/>
          <w:sz w:val="20"/>
          <w:szCs w:val="20"/>
        </w:rPr>
        <w:t>16/02/2025)</w:t>
      </w:r>
    </w:p>
    <w:p w14:paraId="0A89541E" w14:textId="7607EDC1" w:rsidR="00F23768" w:rsidRPr="00D83340" w:rsidRDefault="00D83340" w:rsidP="00D83340">
      <w:pPr>
        <w:spacing w:before="100" w:beforeAutospacing="1" w:after="100" w:afterAutospacing="1" w:line="240" w:lineRule="auto"/>
        <w:rPr>
          <w:rFonts w:ascii="Calibri" w:eastAsia="Times New Roman" w:hAnsi="Calibri" w:cs="Calibri"/>
          <w:sz w:val="20"/>
          <w:szCs w:val="20"/>
          <w:lang w:eastAsia="en-GB"/>
        </w:rPr>
      </w:pPr>
      <w:r w:rsidRPr="00D83340">
        <w:rPr>
          <w:rFonts w:ascii="Calibri" w:eastAsia="Times New Roman" w:hAnsi="Calibri" w:cs="Calibri"/>
          <w:sz w:val="20"/>
          <w:szCs w:val="20"/>
          <w:lang w:eastAsia="en-GB"/>
        </w:rPr>
        <w:t xml:space="preserve">GOV.UK. (2025) </w:t>
      </w:r>
      <w:r w:rsidRPr="00D83340">
        <w:rPr>
          <w:rFonts w:ascii="Calibri" w:eastAsia="Times New Roman" w:hAnsi="Calibri" w:cs="Calibri"/>
          <w:i/>
          <w:iCs/>
          <w:sz w:val="20"/>
          <w:szCs w:val="20"/>
          <w:lang w:eastAsia="en-GB"/>
        </w:rPr>
        <w:t>Making staff redundant</w:t>
      </w:r>
      <w:r w:rsidRPr="00D83340">
        <w:rPr>
          <w:rFonts w:ascii="Calibri" w:eastAsia="Times New Roman" w:hAnsi="Calibri" w:cs="Calibri"/>
          <w:sz w:val="20"/>
          <w:szCs w:val="20"/>
          <w:lang w:eastAsia="en-GB"/>
        </w:rPr>
        <w:t xml:space="preserve">. Available at: </w:t>
      </w:r>
      <w:hyperlink r:id="rId25" w:tgtFrame="_new" w:history="1">
        <w:r w:rsidRPr="00D83340">
          <w:rPr>
            <w:rFonts w:ascii="Calibri" w:eastAsia="Times New Roman" w:hAnsi="Calibri" w:cs="Calibri"/>
            <w:color w:val="0000FF"/>
            <w:sz w:val="20"/>
            <w:szCs w:val="20"/>
            <w:u w:val="single"/>
            <w:lang w:eastAsia="en-GB"/>
          </w:rPr>
          <w:t>https://www.gov.uk/staff-redundant</w:t>
        </w:r>
      </w:hyperlink>
      <w:r w:rsidRPr="00D83340">
        <w:rPr>
          <w:rFonts w:ascii="Calibri" w:eastAsia="Times New Roman" w:hAnsi="Calibri" w:cs="Calibri"/>
          <w:sz w:val="20"/>
          <w:szCs w:val="20"/>
          <w:lang w:eastAsia="en-GB"/>
        </w:rPr>
        <w:t xml:space="preserve"> (Accessed: 7 May 2025).</w:t>
      </w:r>
    </w:p>
    <w:p w14:paraId="516CC030" w14:textId="77777777" w:rsidR="00F23768" w:rsidRDefault="00F23768" w:rsidP="00F23768">
      <w:pPr>
        <w:rPr>
          <w:rFonts w:ascii="Calibri" w:hAnsi="Calibri" w:cs="Calibri"/>
          <w:color w:val="000000"/>
          <w:sz w:val="20"/>
          <w:szCs w:val="20"/>
        </w:rPr>
      </w:pPr>
      <w:r w:rsidRPr="0017139F">
        <w:rPr>
          <w:rFonts w:ascii="Calibri" w:hAnsi="Calibri" w:cs="Calibri"/>
          <w:color w:val="000000"/>
          <w:sz w:val="20"/>
          <w:szCs w:val="20"/>
        </w:rPr>
        <w:t>GOV.UK</w:t>
      </w:r>
      <w:r>
        <w:rPr>
          <w:rFonts w:ascii="Calibri" w:hAnsi="Calibri" w:cs="Calibri"/>
          <w:color w:val="000000"/>
          <w:sz w:val="20"/>
          <w:szCs w:val="20"/>
        </w:rPr>
        <w:t xml:space="preserve">. </w:t>
      </w:r>
      <w:r w:rsidRPr="0017139F">
        <w:rPr>
          <w:rFonts w:ascii="Calibri" w:hAnsi="Calibri" w:cs="Calibri"/>
          <w:color w:val="000000"/>
          <w:sz w:val="20"/>
          <w:szCs w:val="20"/>
        </w:rPr>
        <w:t>Shared parental leave and pay.</w:t>
      </w:r>
      <w:r>
        <w:rPr>
          <w:rFonts w:ascii="Calibri" w:hAnsi="Calibri" w:cs="Calibri"/>
          <w:color w:val="000000"/>
          <w:sz w:val="20"/>
          <w:szCs w:val="20"/>
        </w:rPr>
        <w:t xml:space="preserve"> Fr</w:t>
      </w:r>
      <w:r w:rsidRPr="0017139F">
        <w:rPr>
          <w:rFonts w:ascii="Calibri" w:hAnsi="Calibri" w:cs="Calibri"/>
          <w:color w:val="000000"/>
          <w:sz w:val="20"/>
          <w:szCs w:val="20"/>
        </w:rPr>
        <w:t xml:space="preserve">om </w:t>
      </w:r>
      <w:hyperlink r:id="rId26" w:history="1">
        <w:r w:rsidRPr="0017139F">
          <w:rPr>
            <w:rStyle w:val="Hyperlink"/>
            <w:rFonts w:ascii="Calibri" w:hAnsi="Calibri" w:cs="Calibri"/>
            <w:sz w:val="20"/>
            <w:szCs w:val="20"/>
          </w:rPr>
          <w:t>https://www.gov.uk/shared-parental-leave-and-pay</w:t>
        </w:r>
      </w:hyperlink>
      <w:r w:rsidRPr="0017139F">
        <w:rPr>
          <w:rFonts w:ascii="Calibri" w:hAnsi="Calibri" w:cs="Calibri"/>
          <w:color w:val="000000"/>
          <w:sz w:val="20"/>
          <w:szCs w:val="20"/>
        </w:rPr>
        <w:t>.</w:t>
      </w:r>
      <w:r>
        <w:rPr>
          <w:rFonts w:ascii="Calibri" w:hAnsi="Calibri" w:cs="Calibri"/>
          <w:color w:val="000000"/>
          <w:sz w:val="20"/>
          <w:szCs w:val="20"/>
        </w:rPr>
        <w:t xml:space="preserve"> (Accessed: 21/02/2025)</w:t>
      </w:r>
    </w:p>
    <w:p w14:paraId="5681740D" w14:textId="77777777" w:rsidR="00761070" w:rsidRDefault="00761070" w:rsidP="00F23768">
      <w:pPr>
        <w:rPr>
          <w:rFonts w:ascii="Calibri" w:hAnsi="Calibri" w:cs="Calibri"/>
          <w:color w:val="000000"/>
          <w:sz w:val="20"/>
          <w:szCs w:val="20"/>
        </w:rPr>
      </w:pPr>
    </w:p>
    <w:p w14:paraId="2C1E1578" w14:textId="071FCBB4" w:rsidR="00761070" w:rsidRPr="00761070" w:rsidRDefault="00761070" w:rsidP="00F23768">
      <w:pPr>
        <w:rPr>
          <w:rFonts w:ascii="Calibri" w:hAnsi="Calibri" w:cs="Calibri"/>
          <w:color w:val="000000"/>
          <w:sz w:val="20"/>
          <w:szCs w:val="20"/>
        </w:rPr>
      </w:pPr>
      <w:r w:rsidRPr="00761070">
        <w:rPr>
          <w:rFonts w:ascii="Calibri" w:hAnsi="Calibri" w:cs="Calibri"/>
          <w:sz w:val="20"/>
          <w:szCs w:val="20"/>
        </w:rPr>
        <w:t xml:space="preserve">Human Rights Careers. (2025). </w:t>
      </w:r>
      <w:r w:rsidRPr="00761070">
        <w:rPr>
          <w:rFonts w:ascii="Calibri" w:hAnsi="Calibri" w:cs="Calibri"/>
          <w:i/>
          <w:iCs/>
          <w:sz w:val="20"/>
          <w:szCs w:val="20"/>
        </w:rPr>
        <w:t>What is gender discrimination?</w:t>
      </w:r>
      <w:r w:rsidRPr="00761070">
        <w:rPr>
          <w:rFonts w:ascii="Calibri" w:hAnsi="Calibri" w:cs="Calibri"/>
          <w:sz w:val="20"/>
          <w:szCs w:val="20"/>
        </w:rPr>
        <w:t xml:space="preserve"> Available at: </w:t>
      </w:r>
      <w:hyperlink r:id="rId27" w:tgtFrame="_new" w:history="1">
        <w:r w:rsidRPr="00761070">
          <w:rPr>
            <w:rFonts w:ascii="Calibri" w:hAnsi="Calibri" w:cs="Calibri"/>
            <w:color w:val="0000FF"/>
            <w:sz w:val="20"/>
            <w:szCs w:val="20"/>
            <w:u w:val="single"/>
          </w:rPr>
          <w:t>https://www.humanrightscareers.com/issues/what-is-gender-discrimination/</w:t>
        </w:r>
      </w:hyperlink>
      <w:r w:rsidRPr="00761070">
        <w:rPr>
          <w:rFonts w:ascii="Calibri" w:hAnsi="Calibri" w:cs="Calibri"/>
          <w:sz w:val="20"/>
          <w:szCs w:val="20"/>
        </w:rPr>
        <w:t xml:space="preserve"> [Accessed 7 May </w:t>
      </w:r>
      <w:r w:rsidR="00052DD5">
        <w:rPr>
          <w:rFonts w:ascii="Calibri" w:hAnsi="Calibri" w:cs="Calibri"/>
          <w:sz w:val="20"/>
          <w:szCs w:val="20"/>
        </w:rPr>
        <w:t xml:space="preserve"> </w:t>
      </w:r>
      <w:r w:rsidRPr="00761070">
        <w:rPr>
          <w:rFonts w:ascii="Calibri" w:hAnsi="Calibri" w:cs="Calibri"/>
          <w:sz w:val="20"/>
          <w:szCs w:val="20"/>
        </w:rPr>
        <w:t>2025].</w:t>
      </w:r>
    </w:p>
    <w:p w14:paraId="0BE6EA82" w14:textId="77777777" w:rsidR="00AB07E6" w:rsidRDefault="00AB07E6" w:rsidP="00F23768">
      <w:pPr>
        <w:rPr>
          <w:rFonts w:ascii="Calibri" w:hAnsi="Calibri" w:cs="Calibri"/>
          <w:color w:val="000000"/>
          <w:sz w:val="20"/>
          <w:szCs w:val="20"/>
        </w:rPr>
      </w:pPr>
    </w:p>
    <w:p w14:paraId="240A2E98" w14:textId="4728BA28" w:rsidR="00AB07E6" w:rsidRDefault="00AB07E6" w:rsidP="00F23768">
      <w:pPr>
        <w:rPr>
          <w:rFonts w:ascii="Calibri" w:hAnsi="Calibri" w:cs="Calibri"/>
          <w:sz w:val="20"/>
          <w:szCs w:val="20"/>
        </w:rPr>
      </w:pPr>
      <w:r w:rsidRPr="00AB07E6">
        <w:rPr>
          <w:rFonts w:ascii="Calibri" w:hAnsi="Calibri" w:cs="Calibri"/>
          <w:sz w:val="20"/>
          <w:szCs w:val="20"/>
        </w:rPr>
        <w:t xml:space="preserve">HM Courts &amp; Tribunals Service (2025) 'Employment Tribunal'. Available at: </w:t>
      </w:r>
      <w:hyperlink r:id="rId28" w:tgtFrame="_new" w:history="1">
        <w:r w:rsidRPr="00AB07E6">
          <w:rPr>
            <w:rFonts w:ascii="Calibri" w:hAnsi="Calibri" w:cs="Calibri"/>
            <w:color w:val="0000FF"/>
            <w:sz w:val="20"/>
            <w:szCs w:val="20"/>
            <w:u w:val="single"/>
          </w:rPr>
          <w:t>https://www.gov.uk/courts-tribunals/employment-tribunal</w:t>
        </w:r>
      </w:hyperlink>
      <w:r w:rsidRPr="00AB07E6">
        <w:rPr>
          <w:rFonts w:ascii="Calibri" w:hAnsi="Calibri" w:cs="Calibri"/>
          <w:sz w:val="20"/>
          <w:szCs w:val="20"/>
        </w:rPr>
        <w:t xml:space="preserve"> (Accessed: 7 May 2025).</w:t>
      </w:r>
    </w:p>
    <w:p w14:paraId="5415E19B" w14:textId="2B5C4836" w:rsidR="00F23768" w:rsidRPr="00966FEC" w:rsidRDefault="00F57B9D" w:rsidP="00966FEC">
      <w:pPr>
        <w:spacing w:before="100" w:beforeAutospacing="1" w:after="100" w:afterAutospacing="1" w:line="240" w:lineRule="auto"/>
        <w:rPr>
          <w:rFonts w:ascii="Calibri" w:eastAsia="Times New Roman" w:hAnsi="Calibri" w:cs="Calibri"/>
          <w:sz w:val="20"/>
          <w:szCs w:val="20"/>
          <w:lang w:eastAsia="en-GB"/>
        </w:rPr>
      </w:pPr>
      <w:r w:rsidRPr="00F57B9D">
        <w:rPr>
          <w:rFonts w:ascii="Calibri" w:eastAsia="Times New Roman" w:hAnsi="Calibri" w:cs="Calibri"/>
          <w:sz w:val="20"/>
          <w:szCs w:val="20"/>
          <w:lang w:eastAsia="en-GB"/>
        </w:rPr>
        <w:t xml:space="preserve">HRZone (2025) 'Applying a Genuine Occupational Requirement in Recruitment'. Available at: </w:t>
      </w:r>
      <w:hyperlink r:id="rId29" w:tgtFrame="_new" w:history="1">
        <w:r w:rsidRPr="00F57B9D">
          <w:rPr>
            <w:rFonts w:ascii="Calibri" w:eastAsia="Times New Roman" w:hAnsi="Calibri" w:cs="Calibri"/>
            <w:color w:val="0000FF"/>
            <w:sz w:val="20"/>
            <w:szCs w:val="20"/>
            <w:u w:val="single"/>
            <w:lang w:eastAsia="en-GB"/>
          </w:rPr>
          <w:t>https://hrzone.com/blog/applying-a-genuine-occupational-requirement-in-recruitment/</w:t>
        </w:r>
      </w:hyperlink>
      <w:r w:rsidRPr="00F57B9D">
        <w:rPr>
          <w:rFonts w:ascii="Calibri" w:eastAsia="Times New Roman" w:hAnsi="Calibri" w:cs="Calibri"/>
          <w:sz w:val="20"/>
          <w:szCs w:val="20"/>
          <w:lang w:eastAsia="en-GB"/>
        </w:rPr>
        <w:t xml:space="preserve"> (Accessed: 7 May 2025).</w:t>
      </w:r>
      <w:r w:rsidR="00256237">
        <w:rPr>
          <w:rFonts w:ascii="Calibri" w:eastAsia="Times New Roman" w:hAnsi="Calibri" w:cs="Calibri"/>
          <w:sz w:val="20"/>
          <w:szCs w:val="20"/>
          <w:lang w:eastAsia="en-GB"/>
        </w:rPr>
        <w:t xml:space="preserve"> </w:t>
      </w:r>
    </w:p>
    <w:p w14:paraId="667CCDEC" w14:textId="77777777" w:rsidR="00F23768" w:rsidRPr="0017139F" w:rsidRDefault="00F23768" w:rsidP="00F23768">
      <w:pPr>
        <w:rPr>
          <w:rFonts w:ascii="Calibri" w:hAnsi="Calibri" w:cs="Calibri"/>
          <w:color w:val="000000"/>
          <w:sz w:val="20"/>
          <w:szCs w:val="20"/>
        </w:rPr>
      </w:pPr>
      <w:r w:rsidRPr="0017139F">
        <w:rPr>
          <w:rFonts w:ascii="Calibri" w:hAnsi="Calibri" w:cs="Calibri"/>
          <w:color w:val="000000"/>
          <w:sz w:val="20"/>
          <w:szCs w:val="20"/>
        </w:rPr>
        <w:t>Law Society</w:t>
      </w:r>
      <w:r>
        <w:rPr>
          <w:rFonts w:ascii="Calibri" w:hAnsi="Calibri" w:cs="Calibri"/>
          <w:color w:val="000000"/>
          <w:sz w:val="20"/>
          <w:szCs w:val="20"/>
        </w:rPr>
        <w:t xml:space="preserve">. </w:t>
      </w:r>
      <w:r w:rsidRPr="0017139F">
        <w:rPr>
          <w:rFonts w:ascii="Calibri" w:hAnsi="Calibri" w:cs="Calibri"/>
          <w:color w:val="000000"/>
          <w:sz w:val="20"/>
          <w:szCs w:val="20"/>
        </w:rPr>
        <w:t>What is the European Court of Justice and why does it matter? Available at: https://www.lawsociety.org.uk/topics/brexit/what-is-the-european-court-of-justice-and-why-does-it-matter (</w:t>
      </w:r>
      <w:r>
        <w:rPr>
          <w:rFonts w:ascii="Calibri" w:hAnsi="Calibri" w:cs="Calibri"/>
          <w:color w:val="000000"/>
          <w:sz w:val="20"/>
          <w:szCs w:val="20"/>
        </w:rPr>
        <w:t>Accessed: 21/02/2025)</w:t>
      </w:r>
    </w:p>
    <w:p w14:paraId="5CF4D609" w14:textId="77777777" w:rsidR="00F23768" w:rsidRDefault="00F23768" w:rsidP="00F23768">
      <w:pPr>
        <w:rPr>
          <w:color w:val="000000"/>
          <w:sz w:val="27"/>
          <w:szCs w:val="27"/>
        </w:rPr>
      </w:pPr>
    </w:p>
    <w:p w14:paraId="37C40869" w14:textId="46EDAA07" w:rsidR="00F23768" w:rsidRPr="00DE6518" w:rsidRDefault="00DE6518" w:rsidP="00F23768">
      <w:pPr>
        <w:rPr>
          <w:rFonts w:ascii="Calibri" w:hAnsi="Calibri" w:cs="Calibri"/>
          <w:color w:val="000000"/>
          <w:sz w:val="20"/>
          <w:szCs w:val="20"/>
        </w:rPr>
      </w:pPr>
      <w:r w:rsidRPr="00DE6518">
        <w:rPr>
          <w:rFonts w:ascii="Calibri" w:hAnsi="Calibri" w:cs="Calibri"/>
          <w:sz w:val="20"/>
          <w:szCs w:val="20"/>
        </w:rPr>
        <w:lastRenderedPageBreak/>
        <w:t xml:space="preserve">Solo, A. (2025) 'Working Time Rules: Hours, Breaks &amp; Employer Obligations in the UK'. </w:t>
      </w:r>
      <w:r w:rsidRPr="00DE6518">
        <w:rPr>
          <w:rFonts w:ascii="Calibri" w:hAnsi="Calibri" w:cs="Calibri"/>
          <w:i/>
          <w:iCs/>
          <w:sz w:val="20"/>
          <w:szCs w:val="20"/>
        </w:rPr>
        <w:t>Sprintlaw UK</w:t>
      </w:r>
      <w:r w:rsidRPr="00DE6518">
        <w:rPr>
          <w:rFonts w:ascii="Calibri" w:hAnsi="Calibri" w:cs="Calibri"/>
          <w:sz w:val="20"/>
          <w:szCs w:val="20"/>
        </w:rPr>
        <w:t xml:space="preserve">. Available at: </w:t>
      </w:r>
      <w:hyperlink r:id="rId30" w:tgtFrame="_new" w:history="1">
        <w:r w:rsidRPr="00DE6518">
          <w:rPr>
            <w:rFonts w:ascii="Calibri" w:hAnsi="Calibri" w:cs="Calibri"/>
            <w:color w:val="0000FF"/>
            <w:sz w:val="20"/>
            <w:szCs w:val="20"/>
            <w:u w:val="single"/>
          </w:rPr>
          <w:t>https://sprintlaw.co.uk/articles/working-time-rules-hours-breaks-employer-obligations-in-the-uk/</w:t>
        </w:r>
      </w:hyperlink>
      <w:r w:rsidRPr="00DE6518">
        <w:rPr>
          <w:rFonts w:ascii="Calibri" w:hAnsi="Calibri" w:cs="Calibri"/>
          <w:sz w:val="20"/>
          <w:szCs w:val="20"/>
        </w:rPr>
        <w:t xml:space="preserve"> (Accessed: 7 May 2025).</w:t>
      </w:r>
    </w:p>
    <w:p w14:paraId="7683889F" w14:textId="77777777" w:rsidR="00F23768" w:rsidRDefault="00F23768" w:rsidP="00F23768">
      <w:pPr>
        <w:rPr>
          <w:rFonts w:ascii="Calibri" w:hAnsi="Calibri" w:cs="Calibri"/>
          <w:color w:val="000000"/>
          <w:sz w:val="20"/>
          <w:szCs w:val="20"/>
        </w:rPr>
      </w:pPr>
    </w:p>
    <w:p w14:paraId="289645BA" w14:textId="74BA89A7" w:rsidR="006114F2" w:rsidRPr="006114F2" w:rsidRDefault="006114F2" w:rsidP="00F23768">
      <w:pPr>
        <w:rPr>
          <w:rFonts w:ascii="Calibri" w:hAnsi="Calibri" w:cs="Calibri"/>
          <w:color w:val="000000"/>
          <w:sz w:val="20"/>
          <w:szCs w:val="20"/>
        </w:rPr>
      </w:pPr>
      <w:r w:rsidRPr="006114F2">
        <w:rPr>
          <w:rStyle w:val="Strong"/>
          <w:rFonts w:ascii="Calibri" w:hAnsi="Calibri" w:cs="Calibri"/>
          <w:b w:val="0"/>
          <w:bCs w:val="0"/>
          <w:sz w:val="20"/>
          <w:szCs w:val="20"/>
        </w:rPr>
        <w:t>Sovereign, UK.</w:t>
      </w:r>
      <w:r w:rsidRPr="006114F2">
        <w:rPr>
          <w:rFonts w:ascii="Calibri" w:hAnsi="Calibri" w:cs="Calibri"/>
          <w:sz w:val="20"/>
          <w:szCs w:val="20"/>
        </w:rPr>
        <w:t xml:space="preserve"> (2018) </w:t>
      </w:r>
      <w:r w:rsidRPr="006114F2">
        <w:rPr>
          <w:rStyle w:val="Emphasis"/>
          <w:rFonts w:ascii="Calibri" w:hAnsi="Calibri" w:cs="Calibri"/>
          <w:sz w:val="20"/>
          <w:szCs w:val="20"/>
        </w:rPr>
        <w:t>European Union (Withdrawal) Act 2018</w:t>
      </w:r>
      <w:r w:rsidRPr="006114F2">
        <w:rPr>
          <w:rFonts w:ascii="Calibri" w:hAnsi="Calibri" w:cs="Calibri"/>
          <w:sz w:val="20"/>
          <w:szCs w:val="20"/>
        </w:rPr>
        <w:t>. Chapter 16. Available at: https://www.legislation.gov.uk/ukpga/2018/16/contents/enacted (Accessed: 7 May 2025).</w:t>
      </w:r>
    </w:p>
    <w:p w14:paraId="7318E83D" w14:textId="77777777" w:rsidR="009D13DB" w:rsidRPr="009D13DB" w:rsidRDefault="009D13DB" w:rsidP="009D13DB">
      <w:pPr>
        <w:spacing w:before="100" w:beforeAutospacing="1" w:after="100" w:afterAutospacing="1" w:line="240" w:lineRule="auto"/>
        <w:rPr>
          <w:rFonts w:ascii="Calibri" w:eastAsia="Times New Roman" w:hAnsi="Calibri" w:cs="Calibri"/>
          <w:sz w:val="20"/>
          <w:szCs w:val="20"/>
          <w:lang w:eastAsia="en-GB"/>
        </w:rPr>
      </w:pPr>
      <w:r w:rsidRPr="009D13DB">
        <w:rPr>
          <w:rFonts w:ascii="Calibri" w:eastAsia="Times New Roman" w:hAnsi="Calibri" w:cs="Calibri"/>
          <w:sz w:val="20"/>
          <w:szCs w:val="20"/>
          <w:lang w:eastAsia="en-GB"/>
        </w:rPr>
        <w:t xml:space="preserve">Springhouse Law. (2025) </w:t>
      </w:r>
      <w:r w:rsidRPr="009D13DB">
        <w:rPr>
          <w:rFonts w:ascii="Calibri" w:eastAsia="Times New Roman" w:hAnsi="Calibri" w:cs="Calibri"/>
          <w:i/>
          <w:iCs/>
          <w:sz w:val="20"/>
          <w:szCs w:val="20"/>
          <w:lang w:eastAsia="en-GB"/>
        </w:rPr>
        <w:t>Can I select a poor performer for redundancy?</w:t>
      </w:r>
      <w:r w:rsidRPr="009D13DB">
        <w:rPr>
          <w:rFonts w:ascii="Calibri" w:eastAsia="Times New Roman" w:hAnsi="Calibri" w:cs="Calibri"/>
          <w:sz w:val="20"/>
          <w:szCs w:val="20"/>
          <w:lang w:eastAsia="en-GB"/>
        </w:rPr>
        <w:t xml:space="preserve"> Available at: </w:t>
      </w:r>
      <w:hyperlink r:id="rId31" w:tgtFrame="_new" w:history="1">
        <w:r w:rsidRPr="009D13DB">
          <w:rPr>
            <w:rFonts w:ascii="Calibri" w:eastAsia="Times New Roman" w:hAnsi="Calibri" w:cs="Calibri"/>
            <w:color w:val="0000FF"/>
            <w:sz w:val="20"/>
            <w:szCs w:val="20"/>
            <w:u w:val="single"/>
            <w:lang w:eastAsia="en-GB"/>
          </w:rPr>
          <w:t>https://www.springhouselaw.com/can-i-select-a-poor-performer-for-redundancy</w:t>
        </w:r>
      </w:hyperlink>
      <w:r w:rsidRPr="009D13DB">
        <w:rPr>
          <w:rFonts w:ascii="Calibri" w:eastAsia="Times New Roman" w:hAnsi="Calibri" w:cs="Calibri"/>
          <w:sz w:val="20"/>
          <w:szCs w:val="20"/>
          <w:lang w:eastAsia="en-GB"/>
        </w:rPr>
        <w:t xml:space="preserve"> (Accessed: 7 May 2025).</w:t>
      </w:r>
    </w:p>
    <w:p w14:paraId="2239D777" w14:textId="77777777" w:rsidR="005A34DA" w:rsidRPr="006114F2" w:rsidRDefault="005A34DA">
      <w:pPr>
        <w:rPr>
          <w:rFonts w:ascii="Calibri" w:hAnsi="Calibri" w:cs="Calibri"/>
          <w:color w:val="000000"/>
          <w:sz w:val="20"/>
          <w:szCs w:val="20"/>
        </w:rPr>
      </w:pPr>
    </w:p>
    <w:p w14:paraId="64CD4DC1" w14:textId="77777777" w:rsidR="005A34DA" w:rsidRDefault="005A34DA">
      <w:pPr>
        <w:rPr>
          <w:color w:val="000000"/>
          <w:sz w:val="27"/>
          <w:szCs w:val="27"/>
        </w:rPr>
      </w:pPr>
    </w:p>
    <w:p w14:paraId="5B963749" w14:textId="77777777" w:rsidR="005A34DA" w:rsidRDefault="005A34DA">
      <w:pPr>
        <w:rPr>
          <w:color w:val="000000"/>
          <w:sz w:val="27"/>
          <w:szCs w:val="27"/>
        </w:rPr>
      </w:pPr>
    </w:p>
    <w:p w14:paraId="3E2AB23E" w14:textId="77777777" w:rsidR="007E2CAF" w:rsidRDefault="007E2CAF">
      <w:pPr>
        <w:rPr>
          <w:color w:val="000000"/>
          <w:sz w:val="27"/>
          <w:szCs w:val="27"/>
        </w:rPr>
      </w:pPr>
    </w:p>
    <w:p w14:paraId="604AC1FD" w14:textId="7CC86E74" w:rsidR="007E2CAF" w:rsidRPr="003B0C9E" w:rsidRDefault="007E2CAF">
      <w:pPr>
        <w:rPr>
          <w:rFonts w:ascii="Calibri" w:hAnsi="Calibri" w:cs="Calibri"/>
          <w:sz w:val="20"/>
          <w:szCs w:val="20"/>
        </w:rPr>
      </w:pPr>
    </w:p>
    <w:sectPr w:rsidR="007E2CAF" w:rsidRPr="003B0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BCC"/>
    <w:rsid w:val="00010433"/>
    <w:rsid w:val="00016BC5"/>
    <w:rsid w:val="000179C9"/>
    <w:rsid w:val="00052DD5"/>
    <w:rsid w:val="00053937"/>
    <w:rsid w:val="00064E76"/>
    <w:rsid w:val="000878FA"/>
    <w:rsid w:val="00087A3A"/>
    <w:rsid w:val="0009511B"/>
    <w:rsid w:val="000A3F2E"/>
    <w:rsid w:val="000B45AC"/>
    <w:rsid w:val="000B4B6E"/>
    <w:rsid w:val="000C33C0"/>
    <w:rsid w:val="0011065F"/>
    <w:rsid w:val="00121A06"/>
    <w:rsid w:val="0017139F"/>
    <w:rsid w:val="00176998"/>
    <w:rsid w:val="00180838"/>
    <w:rsid w:val="0018189D"/>
    <w:rsid w:val="0019393C"/>
    <w:rsid w:val="001E3527"/>
    <w:rsid w:val="00206A60"/>
    <w:rsid w:val="00217177"/>
    <w:rsid w:val="00256237"/>
    <w:rsid w:val="00264EBF"/>
    <w:rsid w:val="0026699D"/>
    <w:rsid w:val="00274ACA"/>
    <w:rsid w:val="002760A8"/>
    <w:rsid w:val="00290735"/>
    <w:rsid w:val="002B3C9B"/>
    <w:rsid w:val="002C3E81"/>
    <w:rsid w:val="002D7C0E"/>
    <w:rsid w:val="002E3F6F"/>
    <w:rsid w:val="002E7BC6"/>
    <w:rsid w:val="00304FE6"/>
    <w:rsid w:val="00330588"/>
    <w:rsid w:val="00347296"/>
    <w:rsid w:val="00386406"/>
    <w:rsid w:val="003B0C9E"/>
    <w:rsid w:val="003C422C"/>
    <w:rsid w:val="003C4487"/>
    <w:rsid w:val="003E4694"/>
    <w:rsid w:val="004255E7"/>
    <w:rsid w:val="0043720D"/>
    <w:rsid w:val="00437FBC"/>
    <w:rsid w:val="00457C96"/>
    <w:rsid w:val="0048735B"/>
    <w:rsid w:val="004904C6"/>
    <w:rsid w:val="004A2DA6"/>
    <w:rsid w:val="004B790D"/>
    <w:rsid w:val="004C3CD6"/>
    <w:rsid w:val="004C5C71"/>
    <w:rsid w:val="004D0005"/>
    <w:rsid w:val="004D5EBF"/>
    <w:rsid w:val="004E3631"/>
    <w:rsid w:val="00531165"/>
    <w:rsid w:val="00561ED8"/>
    <w:rsid w:val="00574FE3"/>
    <w:rsid w:val="00591F6C"/>
    <w:rsid w:val="00592630"/>
    <w:rsid w:val="005A207D"/>
    <w:rsid w:val="005A34DA"/>
    <w:rsid w:val="005B0AE0"/>
    <w:rsid w:val="005B6F35"/>
    <w:rsid w:val="005C36B5"/>
    <w:rsid w:val="005D4A92"/>
    <w:rsid w:val="005E0F53"/>
    <w:rsid w:val="00610ED9"/>
    <w:rsid w:val="006114F2"/>
    <w:rsid w:val="00611ECE"/>
    <w:rsid w:val="006147D5"/>
    <w:rsid w:val="0061738D"/>
    <w:rsid w:val="00670AD3"/>
    <w:rsid w:val="0068731C"/>
    <w:rsid w:val="006F76E4"/>
    <w:rsid w:val="00702927"/>
    <w:rsid w:val="00705C60"/>
    <w:rsid w:val="0071345E"/>
    <w:rsid w:val="00717B48"/>
    <w:rsid w:val="00717BCA"/>
    <w:rsid w:val="007346F2"/>
    <w:rsid w:val="00761070"/>
    <w:rsid w:val="00790CC6"/>
    <w:rsid w:val="007E2CAF"/>
    <w:rsid w:val="00821FB4"/>
    <w:rsid w:val="008240F4"/>
    <w:rsid w:val="008325C6"/>
    <w:rsid w:val="0089210B"/>
    <w:rsid w:val="008A0D71"/>
    <w:rsid w:val="008A76F1"/>
    <w:rsid w:val="008E3605"/>
    <w:rsid w:val="00901B6C"/>
    <w:rsid w:val="00920013"/>
    <w:rsid w:val="00931159"/>
    <w:rsid w:val="00934B25"/>
    <w:rsid w:val="00943BF3"/>
    <w:rsid w:val="00955558"/>
    <w:rsid w:val="00966FEC"/>
    <w:rsid w:val="009713BA"/>
    <w:rsid w:val="00972911"/>
    <w:rsid w:val="0097610B"/>
    <w:rsid w:val="009913D1"/>
    <w:rsid w:val="00997DC1"/>
    <w:rsid w:val="009A1C0D"/>
    <w:rsid w:val="009C71CC"/>
    <w:rsid w:val="009D13DB"/>
    <w:rsid w:val="009D7EB0"/>
    <w:rsid w:val="009F1286"/>
    <w:rsid w:val="009F1BDD"/>
    <w:rsid w:val="009F5892"/>
    <w:rsid w:val="00A00D17"/>
    <w:rsid w:val="00A0290E"/>
    <w:rsid w:val="00A16004"/>
    <w:rsid w:val="00A22432"/>
    <w:rsid w:val="00A3011C"/>
    <w:rsid w:val="00A4106E"/>
    <w:rsid w:val="00A560EA"/>
    <w:rsid w:val="00AA611C"/>
    <w:rsid w:val="00AB07E6"/>
    <w:rsid w:val="00AD000C"/>
    <w:rsid w:val="00AD606F"/>
    <w:rsid w:val="00B00325"/>
    <w:rsid w:val="00B00B35"/>
    <w:rsid w:val="00B07610"/>
    <w:rsid w:val="00B34783"/>
    <w:rsid w:val="00B6771A"/>
    <w:rsid w:val="00B7004E"/>
    <w:rsid w:val="00B86B41"/>
    <w:rsid w:val="00BA145C"/>
    <w:rsid w:val="00BB3C17"/>
    <w:rsid w:val="00BD2A08"/>
    <w:rsid w:val="00C10E16"/>
    <w:rsid w:val="00C12F4D"/>
    <w:rsid w:val="00C14808"/>
    <w:rsid w:val="00C1774D"/>
    <w:rsid w:val="00C41FB3"/>
    <w:rsid w:val="00C579FC"/>
    <w:rsid w:val="00C91957"/>
    <w:rsid w:val="00C96BAB"/>
    <w:rsid w:val="00C96C9A"/>
    <w:rsid w:val="00CE0F54"/>
    <w:rsid w:val="00CE6EF5"/>
    <w:rsid w:val="00CF5A6C"/>
    <w:rsid w:val="00D13318"/>
    <w:rsid w:val="00D273BE"/>
    <w:rsid w:val="00D376A5"/>
    <w:rsid w:val="00D421CA"/>
    <w:rsid w:val="00D7707C"/>
    <w:rsid w:val="00D80F5D"/>
    <w:rsid w:val="00D83340"/>
    <w:rsid w:val="00D95739"/>
    <w:rsid w:val="00DA1799"/>
    <w:rsid w:val="00DA7513"/>
    <w:rsid w:val="00DD7BCC"/>
    <w:rsid w:val="00DE1EDA"/>
    <w:rsid w:val="00DE6518"/>
    <w:rsid w:val="00E319B4"/>
    <w:rsid w:val="00E34186"/>
    <w:rsid w:val="00E34FE6"/>
    <w:rsid w:val="00E44EE9"/>
    <w:rsid w:val="00E55021"/>
    <w:rsid w:val="00E63185"/>
    <w:rsid w:val="00E82B21"/>
    <w:rsid w:val="00F23768"/>
    <w:rsid w:val="00F54868"/>
    <w:rsid w:val="00F57B9D"/>
    <w:rsid w:val="00F70150"/>
    <w:rsid w:val="00F75A19"/>
    <w:rsid w:val="00F96648"/>
    <w:rsid w:val="00FA61FD"/>
    <w:rsid w:val="00FB2B14"/>
    <w:rsid w:val="00FC127B"/>
    <w:rsid w:val="00FD24F1"/>
    <w:rsid w:val="00FD48DD"/>
    <w:rsid w:val="00FF0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AF2BB"/>
  <w15:chartTrackingRefBased/>
  <w15:docId w15:val="{5BB9859F-1B22-4F1B-A756-91AA373F6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BCC"/>
    <w:pPr>
      <w:spacing w:after="0" w:line="256" w:lineRule="auto"/>
    </w:pPr>
    <w:rPr>
      <w:rFonts w:ascii="Arial" w:hAnsi="Arial"/>
      <w:kern w:val="0"/>
      <w:sz w:val="22"/>
      <w14:ligatures w14:val="none"/>
    </w:rPr>
  </w:style>
  <w:style w:type="paragraph" w:styleId="Heading1">
    <w:name w:val="heading 1"/>
    <w:basedOn w:val="Normal"/>
    <w:next w:val="Normal"/>
    <w:link w:val="Heading1Char"/>
    <w:uiPriority w:val="9"/>
    <w:qFormat/>
    <w:rsid w:val="00DD7BC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D7BC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D7BC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D7BC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DD7BC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DD7BCC"/>
    <w:pPr>
      <w:keepNext/>
      <w:keepLines/>
      <w:spacing w:before="40" w:line="278" w:lineRule="auto"/>
      <w:outlineLvl w:val="5"/>
    </w:pPr>
    <w:rPr>
      <w:rFonts w:asciiTheme="minorHAnsi" w:eastAsiaTheme="majorEastAsia" w:hAnsiTheme="minorHAnsi"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DD7BCC"/>
    <w:pPr>
      <w:keepNext/>
      <w:keepLines/>
      <w:spacing w:before="40" w:line="278" w:lineRule="auto"/>
      <w:outlineLvl w:val="6"/>
    </w:pPr>
    <w:rPr>
      <w:rFonts w:asciiTheme="minorHAnsi" w:eastAsiaTheme="majorEastAsia" w:hAnsiTheme="minorHAnsi"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DD7BCC"/>
    <w:pPr>
      <w:keepNext/>
      <w:keepLines/>
      <w:spacing w:line="278" w:lineRule="auto"/>
      <w:outlineLvl w:val="7"/>
    </w:pPr>
    <w:rPr>
      <w:rFonts w:asciiTheme="minorHAnsi" w:eastAsiaTheme="majorEastAsia" w:hAnsiTheme="minorHAnsi"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DD7BCC"/>
    <w:pPr>
      <w:keepNext/>
      <w:keepLines/>
      <w:spacing w:line="278" w:lineRule="auto"/>
      <w:outlineLvl w:val="8"/>
    </w:pPr>
    <w:rPr>
      <w:rFonts w:asciiTheme="minorHAnsi" w:eastAsiaTheme="majorEastAsia" w:hAnsiTheme="minorHAnsi"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7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7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BCC"/>
    <w:rPr>
      <w:rFonts w:eastAsiaTheme="majorEastAsia" w:cstheme="majorBidi"/>
      <w:color w:val="272727" w:themeColor="text1" w:themeTint="D8"/>
    </w:rPr>
  </w:style>
  <w:style w:type="paragraph" w:styleId="Title">
    <w:name w:val="Title"/>
    <w:basedOn w:val="Normal"/>
    <w:next w:val="Normal"/>
    <w:link w:val="TitleChar"/>
    <w:uiPriority w:val="10"/>
    <w:qFormat/>
    <w:rsid w:val="00DD7BC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D7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BC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D7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BCC"/>
    <w:pPr>
      <w:spacing w:before="160" w:after="160" w:line="278" w:lineRule="auto"/>
      <w:jc w:val="center"/>
    </w:pPr>
    <w:rPr>
      <w:rFonts w:asciiTheme="minorHAnsi" w:hAnsiTheme="minorHAnsi"/>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DD7BCC"/>
    <w:rPr>
      <w:i/>
      <w:iCs/>
      <w:color w:val="404040" w:themeColor="text1" w:themeTint="BF"/>
    </w:rPr>
  </w:style>
  <w:style w:type="paragraph" w:styleId="ListParagraph">
    <w:name w:val="List Paragraph"/>
    <w:basedOn w:val="Normal"/>
    <w:uiPriority w:val="34"/>
    <w:qFormat/>
    <w:rsid w:val="00DD7BCC"/>
    <w:pPr>
      <w:spacing w:after="160" w:line="278" w:lineRule="auto"/>
      <w:ind w:left="720"/>
      <w:contextualSpacing/>
    </w:pPr>
    <w:rPr>
      <w:rFonts w:asciiTheme="minorHAnsi" w:hAnsiTheme="minorHAnsi"/>
      <w:kern w:val="2"/>
      <w:sz w:val="24"/>
      <w14:ligatures w14:val="standardContextual"/>
    </w:rPr>
  </w:style>
  <w:style w:type="character" w:styleId="IntenseEmphasis">
    <w:name w:val="Intense Emphasis"/>
    <w:basedOn w:val="DefaultParagraphFont"/>
    <w:uiPriority w:val="21"/>
    <w:qFormat/>
    <w:rsid w:val="00DD7BCC"/>
    <w:rPr>
      <w:i/>
      <w:iCs/>
      <w:color w:val="0F4761" w:themeColor="accent1" w:themeShade="BF"/>
    </w:rPr>
  </w:style>
  <w:style w:type="paragraph" w:styleId="IntenseQuote">
    <w:name w:val="Intense Quote"/>
    <w:basedOn w:val="Normal"/>
    <w:next w:val="Normal"/>
    <w:link w:val="IntenseQuoteChar"/>
    <w:uiPriority w:val="30"/>
    <w:qFormat/>
    <w:rsid w:val="00DD7BC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DD7BCC"/>
    <w:rPr>
      <w:i/>
      <w:iCs/>
      <w:color w:val="0F4761" w:themeColor="accent1" w:themeShade="BF"/>
    </w:rPr>
  </w:style>
  <w:style w:type="character" w:styleId="IntenseReference">
    <w:name w:val="Intense Reference"/>
    <w:basedOn w:val="DefaultParagraphFont"/>
    <w:uiPriority w:val="32"/>
    <w:qFormat/>
    <w:rsid w:val="00DD7BCC"/>
    <w:rPr>
      <w:b/>
      <w:bCs/>
      <w:smallCaps/>
      <w:color w:val="0F4761" w:themeColor="accent1" w:themeShade="BF"/>
      <w:spacing w:val="5"/>
    </w:rPr>
  </w:style>
  <w:style w:type="paragraph" w:styleId="NormalWeb">
    <w:name w:val="Normal (Web)"/>
    <w:basedOn w:val="Normal"/>
    <w:uiPriority w:val="99"/>
    <w:unhideWhenUsed/>
    <w:rsid w:val="002760A8"/>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Listparag">
    <w:name w:val="List parag"/>
    <w:basedOn w:val="ListParagraph"/>
    <w:link w:val="ListparagChar"/>
    <w:qFormat/>
    <w:rsid w:val="003B0C9E"/>
    <w:pPr>
      <w:spacing w:after="120" w:line="264" w:lineRule="auto"/>
      <w:ind w:left="0"/>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3B0C9E"/>
    <w:rPr>
      <w:rFonts w:eastAsia="Times New Roman" w:cstheme="minorHAnsi"/>
      <w:color w:val="000000"/>
      <w:kern w:val="0"/>
      <w:sz w:val="22"/>
      <w:szCs w:val="22"/>
      <w:lang w:eastAsia="en-GB"/>
      <w14:ligatures w14:val="none"/>
    </w:rPr>
  </w:style>
  <w:style w:type="character" w:styleId="Strong">
    <w:name w:val="Strong"/>
    <w:basedOn w:val="DefaultParagraphFont"/>
    <w:uiPriority w:val="22"/>
    <w:qFormat/>
    <w:rsid w:val="00176998"/>
    <w:rPr>
      <w:b/>
      <w:bCs/>
    </w:rPr>
  </w:style>
  <w:style w:type="character" w:customStyle="1" w:styleId="normaltextrun">
    <w:name w:val="normaltextrun"/>
    <w:basedOn w:val="DefaultParagraphFont"/>
    <w:rsid w:val="00F70150"/>
  </w:style>
  <w:style w:type="character" w:styleId="Hyperlink">
    <w:name w:val="Hyperlink"/>
    <w:basedOn w:val="DefaultParagraphFont"/>
    <w:uiPriority w:val="99"/>
    <w:unhideWhenUsed/>
    <w:rsid w:val="005A34DA"/>
    <w:rPr>
      <w:color w:val="467886" w:themeColor="hyperlink"/>
      <w:u w:val="single"/>
    </w:rPr>
  </w:style>
  <w:style w:type="character" w:styleId="UnresolvedMention">
    <w:name w:val="Unresolved Mention"/>
    <w:basedOn w:val="DefaultParagraphFont"/>
    <w:uiPriority w:val="99"/>
    <w:semiHidden/>
    <w:unhideWhenUsed/>
    <w:rsid w:val="005A34DA"/>
    <w:rPr>
      <w:color w:val="605E5C"/>
      <w:shd w:val="clear" w:color="auto" w:fill="E1DFDD"/>
    </w:rPr>
  </w:style>
  <w:style w:type="character" w:styleId="Emphasis">
    <w:name w:val="Emphasis"/>
    <w:basedOn w:val="DefaultParagraphFont"/>
    <w:uiPriority w:val="20"/>
    <w:qFormat/>
    <w:rsid w:val="00B347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86871">
      <w:bodyDiv w:val="1"/>
      <w:marLeft w:val="0"/>
      <w:marRight w:val="0"/>
      <w:marTop w:val="0"/>
      <w:marBottom w:val="0"/>
      <w:divBdr>
        <w:top w:val="none" w:sz="0" w:space="0" w:color="auto"/>
        <w:left w:val="none" w:sz="0" w:space="0" w:color="auto"/>
        <w:bottom w:val="none" w:sz="0" w:space="0" w:color="auto"/>
        <w:right w:val="none" w:sz="0" w:space="0" w:color="auto"/>
      </w:divBdr>
    </w:div>
    <w:div w:id="36704589">
      <w:bodyDiv w:val="1"/>
      <w:marLeft w:val="0"/>
      <w:marRight w:val="0"/>
      <w:marTop w:val="0"/>
      <w:marBottom w:val="0"/>
      <w:divBdr>
        <w:top w:val="none" w:sz="0" w:space="0" w:color="auto"/>
        <w:left w:val="none" w:sz="0" w:space="0" w:color="auto"/>
        <w:bottom w:val="none" w:sz="0" w:space="0" w:color="auto"/>
        <w:right w:val="none" w:sz="0" w:space="0" w:color="auto"/>
      </w:divBdr>
    </w:div>
    <w:div w:id="97217860">
      <w:bodyDiv w:val="1"/>
      <w:marLeft w:val="0"/>
      <w:marRight w:val="0"/>
      <w:marTop w:val="0"/>
      <w:marBottom w:val="0"/>
      <w:divBdr>
        <w:top w:val="none" w:sz="0" w:space="0" w:color="auto"/>
        <w:left w:val="none" w:sz="0" w:space="0" w:color="auto"/>
        <w:bottom w:val="none" w:sz="0" w:space="0" w:color="auto"/>
        <w:right w:val="none" w:sz="0" w:space="0" w:color="auto"/>
      </w:divBdr>
    </w:div>
    <w:div w:id="142282238">
      <w:bodyDiv w:val="1"/>
      <w:marLeft w:val="0"/>
      <w:marRight w:val="0"/>
      <w:marTop w:val="0"/>
      <w:marBottom w:val="0"/>
      <w:divBdr>
        <w:top w:val="none" w:sz="0" w:space="0" w:color="auto"/>
        <w:left w:val="none" w:sz="0" w:space="0" w:color="auto"/>
        <w:bottom w:val="none" w:sz="0" w:space="0" w:color="auto"/>
        <w:right w:val="none" w:sz="0" w:space="0" w:color="auto"/>
      </w:divBdr>
    </w:div>
    <w:div w:id="168757959">
      <w:bodyDiv w:val="1"/>
      <w:marLeft w:val="0"/>
      <w:marRight w:val="0"/>
      <w:marTop w:val="0"/>
      <w:marBottom w:val="0"/>
      <w:divBdr>
        <w:top w:val="none" w:sz="0" w:space="0" w:color="auto"/>
        <w:left w:val="none" w:sz="0" w:space="0" w:color="auto"/>
        <w:bottom w:val="none" w:sz="0" w:space="0" w:color="auto"/>
        <w:right w:val="none" w:sz="0" w:space="0" w:color="auto"/>
      </w:divBdr>
    </w:div>
    <w:div w:id="219707155">
      <w:bodyDiv w:val="1"/>
      <w:marLeft w:val="0"/>
      <w:marRight w:val="0"/>
      <w:marTop w:val="0"/>
      <w:marBottom w:val="0"/>
      <w:divBdr>
        <w:top w:val="none" w:sz="0" w:space="0" w:color="auto"/>
        <w:left w:val="none" w:sz="0" w:space="0" w:color="auto"/>
        <w:bottom w:val="none" w:sz="0" w:space="0" w:color="auto"/>
        <w:right w:val="none" w:sz="0" w:space="0" w:color="auto"/>
      </w:divBdr>
    </w:div>
    <w:div w:id="310015890">
      <w:bodyDiv w:val="1"/>
      <w:marLeft w:val="0"/>
      <w:marRight w:val="0"/>
      <w:marTop w:val="0"/>
      <w:marBottom w:val="0"/>
      <w:divBdr>
        <w:top w:val="none" w:sz="0" w:space="0" w:color="auto"/>
        <w:left w:val="none" w:sz="0" w:space="0" w:color="auto"/>
        <w:bottom w:val="none" w:sz="0" w:space="0" w:color="auto"/>
        <w:right w:val="none" w:sz="0" w:space="0" w:color="auto"/>
      </w:divBdr>
    </w:div>
    <w:div w:id="433212224">
      <w:bodyDiv w:val="1"/>
      <w:marLeft w:val="0"/>
      <w:marRight w:val="0"/>
      <w:marTop w:val="0"/>
      <w:marBottom w:val="0"/>
      <w:divBdr>
        <w:top w:val="none" w:sz="0" w:space="0" w:color="auto"/>
        <w:left w:val="none" w:sz="0" w:space="0" w:color="auto"/>
        <w:bottom w:val="none" w:sz="0" w:space="0" w:color="auto"/>
        <w:right w:val="none" w:sz="0" w:space="0" w:color="auto"/>
      </w:divBdr>
    </w:div>
    <w:div w:id="464275374">
      <w:bodyDiv w:val="1"/>
      <w:marLeft w:val="0"/>
      <w:marRight w:val="0"/>
      <w:marTop w:val="0"/>
      <w:marBottom w:val="0"/>
      <w:divBdr>
        <w:top w:val="none" w:sz="0" w:space="0" w:color="auto"/>
        <w:left w:val="none" w:sz="0" w:space="0" w:color="auto"/>
        <w:bottom w:val="none" w:sz="0" w:space="0" w:color="auto"/>
        <w:right w:val="none" w:sz="0" w:space="0" w:color="auto"/>
      </w:divBdr>
    </w:div>
    <w:div w:id="524828994">
      <w:bodyDiv w:val="1"/>
      <w:marLeft w:val="0"/>
      <w:marRight w:val="0"/>
      <w:marTop w:val="0"/>
      <w:marBottom w:val="0"/>
      <w:divBdr>
        <w:top w:val="none" w:sz="0" w:space="0" w:color="auto"/>
        <w:left w:val="none" w:sz="0" w:space="0" w:color="auto"/>
        <w:bottom w:val="none" w:sz="0" w:space="0" w:color="auto"/>
        <w:right w:val="none" w:sz="0" w:space="0" w:color="auto"/>
      </w:divBdr>
    </w:div>
    <w:div w:id="605649597">
      <w:bodyDiv w:val="1"/>
      <w:marLeft w:val="0"/>
      <w:marRight w:val="0"/>
      <w:marTop w:val="0"/>
      <w:marBottom w:val="0"/>
      <w:divBdr>
        <w:top w:val="none" w:sz="0" w:space="0" w:color="auto"/>
        <w:left w:val="none" w:sz="0" w:space="0" w:color="auto"/>
        <w:bottom w:val="none" w:sz="0" w:space="0" w:color="auto"/>
        <w:right w:val="none" w:sz="0" w:space="0" w:color="auto"/>
      </w:divBdr>
    </w:div>
    <w:div w:id="636227736">
      <w:bodyDiv w:val="1"/>
      <w:marLeft w:val="0"/>
      <w:marRight w:val="0"/>
      <w:marTop w:val="0"/>
      <w:marBottom w:val="0"/>
      <w:divBdr>
        <w:top w:val="none" w:sz="0" w:space="0" w:color="auto"/>
        <w:left w:val="none" w:sz="0" w:space="0" w:color="auto"/>
        <w:bottom w:val="none" w:sz="0" w:space="0" w:color="auto"/>
        <w:right w:val="none" w:sz="0" w:space="0" w:color="auto"/>
      </w:divBdr>
    </w:div>
    <w:div w:id="707532168">
      <w:bodyDiv w:val="1"/>
      <w:marLeft w:val="0"/>
      <w:marRight w:val="0"/>
      <w:marTop w:val="0"/>
      <w:marBottom w:val="0"/>
      <w:divBdr>
        <w:top w:val="none" w:sz="0" w:space="0" w:color="auto"/>
        <w:left w:val="none" w:sz="0" w:space="0" w:color="auto"/>
        <w:bottom w:val="none" w:sz="0" w:space="0" w:color="auto"/>
        <w:right w:val="none" w:sz="0" w:space="0" w:color="auto"/>
      </w:divBdr>
    </w:div>
    <w:div w:id="722409375">
      <w:bodyDiv w:val="1"/>
      <w:marLeft w:val="0"/>
      <w:marRight w:val="0"/>
      <w:marTop w:val="0"/>
      <w:marBottom w:val="0"/>
      <w:divBdr>
        <w:top w:val="none" w:sz="0" w:space="0" w:color="auto"/>
        <w:left w:val="none" w:sz="0" w:space="0" w:color="auto"/>
        <w:bottom w:val="none" w:sz="0" w:space="0" w:color="auto"/>
        <w:right w:val="none" w:sz="0" w:space="0" w:color="auto"/>
      </w:divBdr>
    </w:div>
    <w:div w:id="884218506">
      <w:bodyDiv w:val="1"/>
      <w:marLeft w:val="0"/>
      <w:marRight w:val="0"/>
      <w:marTop w:val="0"/>
      <w:marBottom w:val="0"/>
      <w:divBdr>
        <w:top w:val="none" w:sz="0" w:space="0" w:color="auto"/>
        <w:left w:val="none" w:sz="0" w:space="0" w:color="auto"/>
        <w:bottom w:val="none" w:sz="0" w:space="0" w:color="auto"/>
        <w:right w:val="none" w:sz="0" w:space="0" w:color="auto"/>
      </w:divBdr>
    </w:div>
    <w:div w:id="896210517">
      <w:bodyDiv w:val="1"/>
      <w:marLeft w:val="0"/>
      <w:marRight w:val="0"/>
      <w:marTop w:val="0"/>
      <w:marBottom w:val="0"/>
      <w:divBdr>
        <w:top w:val="none" w:sz="0" w:space="0" w:color="auto"/>
        <w:left w:val="none" w:sz="0" w:space="0" w:color="auto"/>
        <w:bottom w:val="none" w:sz="0" w:space="0" w:color="auto"/>
        <w:right w:val="none" w:sz="0" w:space="0" w:color="auto"/>
      </w:divBdr>
    </w:div>
    <w:div w:id="981079769">
      <w:bodyDiv w:val="1"/>
      <w:marLeft w:val="0"/>
      <w:marRight w:val="0"/>
      <w:marTop w:val="0"/>
      <w:marBottom w:val="0"/>
      <w:divBdr>
        <w:top w:val="none" w:sz="0" w:space="0" w:color="auto"/>
        <w:left w:val="none" w:sz="0" w:space="0" w:color="auto"/>
        <w:bottom w:val="none" w:sz="0" w:space="0" w:color="auto"/>
        <w:right w:val="none" w:sz="0" w:space="0" w:color="auto"/>
      </w:divBdr>
    </w:div>
    <w:div w:id="1005282937">
      <w:bodyDiv w:val="1"/>
      <w:marLeft w:val="0"/>
      <w:marRight w:val="0"/>
      <w:marTop w:val="0"/>
      <w:marBottom w:val="0"/>
      <w:divBdr>
        <w:top w:val="none" w:sz="0" w:space="0" w:color="auto"/>
        <w:left w:val="none" w:sz="0" w:space="0" w:color="auto"/>
        <w:bottom w:val="none" w:sz="0" w:space="0" w:color="auto"/>
        <w:right w:val="none" w:sz="0" w:space="0" w:color="auto"/>
      </w:divBdr>
    </w:div>
    <w:div w:id="1056660449">
      <w:bodyDiv w:val="1"/>
      <w:marLeft w:val="0"/>
      <w:marRight w:val="0"/>
      <w:marTop w:val="0"/>
      <w:marBottom w:val="0"/>
      <w:divBdr>
        <w:top w:val="none" w:sz="0" w:space="0" w:color="auto"/>
        <w:left w:val="none" w:sz="0" w:space="0" w:color="auto"/>
        <w:bottom w:val="none" w:sz="0" w:space="0" w:color="auto"/>
        <w:right w:val="none" w:sz="0" w:space="0" w:color="auto"/>
      </w:divBdr>
    </w:div>
    <w:div w:id="1177109472">
      <w:bodyDiv w:val="1"/>
      <w:marLeft w:val="0"/>
      <w:marRight w:val="0"/>
      <w:marTop w:val="0"/>
      <w:marBottom w:val="0"/>
      <w:divBdr>
        <w:top w:val="none" w:sz="0" w:space="0" w:color="auto"/>
        <w:left w:val="none" w:sz="0" w:space="0" w:color="auto"/>
        <w:bottom w:val="none" w:sz="0" w:space="0" w:color="auto"/>
        <w:right w:val="none" w:sz="0" w:space="0" w:color="auto"/>
      </w:divBdr>
    </w:div>
    <w:div w:id="1330400155">
      <w:bodyDiv w:val="1"/>
      <w:marLeft w:val="0"/>
      <w:marRight w:val="0"/>
      <w:marTop w:val="0"/>
      <w:marBottom w:val="0"/>
      <w:divBdr>
        <w:top w:val="none" w:sz="0" w:space="0" w:color="auto"/>
        <w:left w:val="none" w:sz="0" w:space="0" w:color="auto"/>
        <w:bottom w:val="none" w:sz="0" w:space="0" w:color="auto"/>
        <w:right w:val="none" w:sz="0" w:space="0" w:color="auto"/>
      </w:divBdr>
    </w:div>
    <w:div w:id="1349062078">
      <w:bodyDiv w:val="1"/>
      <w:marLeft w:val="0"/>
      <w:marRight w:val="0"/>
      <w:marTop w:val="0"/>
      <w:marBottom w:val="0"/>
      <w:divBdr>
        <w:top w:val="none" w:sz="0" w:space="0" w:color="auto"/>
        <w:left w:val="none" w:sz="0" w:space="0" w:color="auto"/>
        <w:bottom w:val="none" w:sz="0" w:space="0" w:color="auto"/>
        <w:right w:val="none" w:sz="0" w:space="0" w:color="auto"/>
      </w:divBdr>
    </w:div>
    <w:div w:id="1407410910">
      <w:bodyDiv w:val="1"/>
      <w:marLeft w:val="0"/>
      <w:marRight w:val="0"/>
      <w:marTop w:val="0"/>
      <w:marBottom w:val="0"/>
      <w:divBdr>
        <w:top w:val="none" w:sz="0" w:space="0" w:color="auto"/>
        <w:left w:val="none" w:sz="0" w:space="0" w:color="auto"/>
        <w:bottom w:val="none" w:sz="0" w:space="0" w:color="auto"/>
        <w:right w:val="none" w:sz="0" w:space="0" w:color="auto"/>
      </w:divBdr>
    </w:div>
    <w:div w:id="1505627969">
      <w:bodyDiv w:val="1"/>
      <w:marLeft w:val="0"/>
      <w:marRight w:val="0"/>
      <w:marTop w:val="0"/>
      <w:marBottom w:val="0"/>
      <w:divBdr>
        <w:top w:val="none" w:sz="0" w:space="0" w:color="auto"/>
        <w:left w:val="none" w:sz="0" w:space="0" w:color="auto"/>
        <w:bottom w:val="none" w:sz="0" w:space="0" w:color="auto"/>
        <w:right w:val="none" w:sz="0" w:space="0" w:color="auto"/>
      </w:divBdr>
    </w:div>
    <w:div w:id="1588609232">
      <w:bodyDiv w:val="1"/>
      <w:marLeft w:val="0"/>
      <w:marRight w:val="0"/>
      <w:marTop w:val="0"/>
      <w:marBottom w:val="0"/>
      <w:divBdr>
        <w:top w:val="none" w:sz="0" w:space="0" w:color="auto"/>
        <w:left w:val="none" w:sz="0" w:space="0" w:color="auto"/>
        <w:bottom w:val="none" w:sz="0" w:space="0" w:color="auto"/>
        <w:right w:val="none" w:sz="0" w:space="0" w:color="auto"/>
      </w:divBdr>
    </w:div>
    <w:div w:id="1638023398">
      <w:bodyDiv w:val="1"/>
      <w:marLeft w:val="0"/>
      <w:marRight w:val="0"/>
      <w:marTop w:val="0"/>
      <w:marBottom w:val="0"/>
      <w:divBdr>
        <w:top w:val="none" w:sz="0" w:space="0" w:color="auto"/>
        <w:left w:val="none" w:sz="0" w:space="0" w:color="auto"/>
        <w:bottom w:val="none" w:sz="0" w:space="0" w:color="auto"/>
        <w:right w:val="none" w:sz="0" w:space="0" w:color="auto"/>
      </w:divBdr>
    </w:div>
    <w:div w:id="1639992543">
      <w:bodyDiv w:val="1"/>
      <w:marLeft w:val="0"/>
      <w:marRight w:val="0"/>
      <w:marTop w:val="0"/>
      <w:marBottom w:val="0"/>
      <w:divBdr>
        <w:top w:val="none" w:sz="0" w:space="0" w:color="auto"/>
        <w:left w:val="none" w:sz="0" w:space="0" w:color="auto"/>
        <w:bottom w:val="none" w:sz="0" w:space="0" w:color="auto"/>
        <w:right w:val="none" w:sz="0" w:space="0" w:color="auto"/>
      </w:divBdr>
    </w:div>
    <w:div w:id="1656639921">
      <w:bodyDiv w:val="1"/>
      <w:marLeft w:val="0"/>
      <w:marRight w:val="0"/>
      <w:marTop w:val="0"/>
      <w:marBottom w:val="0"/>
      <w:divBdr>
        <w:top w:val="none" w:sz="0" w:space="0" w:color="auto"/>
        <w:left w:val="none" w:sz="0" w:space="0" w:color="auto"/>
        <w:bottom w:val="none" w:sz="0" w:space="0" w:color="auto"/>
        <w:right w:val="none" w:sz="0" w:space="0" w:color="auto"/>
      </w:divBdr>
    </w:div>
    <w:div w:id="1661040333">
      <w:bodyDiv w:val="1"/>
      <w:marLeft w:val="0"/>
      <w:marRight w:val="0"/>
      <w:marTop w:val="0"/>
      <w:marBottom w:val="0"/>
      <w:divBdr>
        <w:top w:val="none" w:sz="0" w:space="0" w:color="auto"/>
        <w:left w:val="none" w:sz="0" w:space="0" w:color="auto"/>
        <w:bottom w:val="none" w:sz="0" w:space="0" w:color="auto"/>
        <w:right w:val="none" w:sz="0" w:space="0" w:color="auto"/>
      </w:divBdr>
    </w:div>
    <w:div w:id="1666589929">
      <w:bodyDiv w:val="1"/>
      <w:marLeft w:val="0"/>
      <w:marRight w:val="0"/>
      <w:marTop w:val="0"/>
      <w:marBottom w:val="0"/>
      <w:divBdr>
        <w:top w:val="none" w:sz="0" w:space="0" w:color="auto"/>
        <w:left w:val="none" w:sz="0" w:space="0" w:color="auto"/>
        <w:bottom w:val="none" w:sz="0" w:space="0" w:color="auto"/>
        <w:right w:val="none" w:sz="0" w:space="0" w:color="auto"/>
      </w:divBdr>
    </w:div>
    <w:div w:id="1750955175">
      <w:bodyDiv w:val="1"/>
      <w:marLeft w:val="0"/>
      <w:marRight w:val="0"/>
      <w:marTop w:val="0"/>
      <w:marBottom w:val="0"/>
      <w:divBdr>
        <w:top w:val="none" w:sz="0" w:space="0" w:color="auto"/>
        <w:left w:val="none" w:sz="0" w:space="0" w:color="auto"/>
        <w:bottom w:val="none" w:sz="0" w:space="0" w:color="auto"/>
        <w:right w:val="none" w:sz="0" w:space="0" w:color="auto"/>
      </w:divBdr>
    </w:div>
    <w:div w:id="1854107067">
      <w:bodyDiv w:val="1"/>
      <w:marLeft w:val="0"/>
      <w:marRight w:val="0"/>
      <w:marTop w:val="0"/>
      <w:marBottom w:val="0"/>
      <w:divBdr>
        <w:top w:val="none" w:sz="0" w:space="0" w:color="auto"/>
        <w:left w:val="none" w:sz="0" w:space="0" w:color="auto"/>
        <w:bottom w:val="none" w:sz="0" w:space="0" w:color="auto"/>
        <w:right w:val="none" w:sz="0" w:space="0" w:color="auto"/>
      </w:divBdr>
    </w:div>
    <w:div w:id="1896231913">
      <w:bodyDiv w:val="1"/>
      <w:marLeft w:val="0"/>
      <w:marRight w:val="0"/>
      <w:marTop w:val="0"/>
      <w:marBottom w:val="0"/>
      <w:divBdr>
        <w:top w:val="none" w:sz="0" w:space="0" w:color="auto"/>
        <w:left w:val="none" w:sz="0" w:space="0" w:color="auto"/>
        <w:bottom w:val="none" w:sz="0" w:space="0" w:color="auto"/>
        <w:right w:val="none" w:sz="0" w:space="0" w:color="auto"/>
      </w:divBdr>
    </w:div>
    <w:div w:id="1912037280">
      <w:bodyDiv w:val="1"/>
      <w:marLeft w:val="0"/>
      <w:marRight w:val="0"/>
      <w:marTop w:val="0"/>
      <w:marBottom w:val="0"/>
      <w:divBdr>
        <w:top w:val="none" w:sz="0" w:space="0" w:color="auto"/>
        <w:left w:val="none" w:sz="0" w:space="0" w:color="auto"/>
        <w:bottom w:val="none" w:sz="0" w:space="0" w:color="auto"/>
        <w:right w:val="none" w:sz="0" w:space="0" w:color="auto"/>
      </w:divBdr>
    </w:div>
    <w:div w:id="1922762289">
      <w:bodyDiv w:val="1"/>
      <w:marLeft w:val="0"/>
      <w:marRight w:val="0"/>
      <w:marTop w:val="0"/>
      <w:marBottom w:val="0"/>
      <w:divBdr>
        <w:top w:val="none" w:sz="0" w:space="0" w:color="auto"/>
        <w:left w:val="none" w:sz="0" w:space="0" w:color="auto"/>
        <w:bottom w:val="none" w:sz="0" w:space="0" w:color="auto"/>
        <w:right w:val="none" w:sz="0" w:space="0" w:color="auto"/>
      </w:divBdr>
    </w:div>
    <w:div w:id="1932855480">
      <w:bodyDiv w:val="1"/>
      <w:marLeft w:val="0"/>
      <w:marRight w:val="0"/>
      <w:marTop w:val="0"/>
      <w:marBottom w:val="0"/>
      <w:divBdr>
        <w:top w:val="none" w:sz="0" w:space="0" w:color="auto"/>
        <w:left w:val="none" w:sz="0" w:space="0" w:color="auto"/>
        <w:bottom w:val="none" w:sz="0" w:space="0" w:color="auto"/>
        <w:right w:val="none" w:sz="0" w:space="0" w:color="auto"/>
      </w:divBdr>
    </w:div>
    <w:div w:id="1940291524">
      <w:bodyDiv w:val="1"/>
      <w:marLeft w:val="0"/>
      <w:marRight w:val="0"/>
      <w:marTop w:val="0"/>
      <w:marBottom w:val="0"/>
      <w:divBdr>
        <w:top w:val="none" w:sz="0" w:space="0" w:color="auto"/>
        <w:left w:val="none" w:sz="0" w:space="0" w:color="auto"/>
        <w:bottom w:val="none" w:sz="0" w:space="0" w:color="auto"/>
        <w:right w:val="none" w:sz="0" w:space="0" w:color="auto"/>
      </w:divBdr>
    </w:div>
    <w:div w:id="1987666744">
      <w:bodyDiv w:val="1"/>
      <w:marLeft w:val="0"/>
      <w:marRight w:val="0"/>
      <w:marTop w:val="0"/>
      <w:marBottom w:val="0"/>
      <w:divBdr>
        <w:top w:val="none" w:sz="0" w:space="0" w:color="auto"/>
        <w:left w:val="none" w:sz="0" w:space="0" w:color="auto"/>
        <w:bottom w:val="none" w:sz="0" w:space="0" w:color="auto"/>
        <w:right w:val="none" w:sz="0" w:space="0" w:color="auto"/>
      </w:divBdr>
    </w:div>
    <w:div w:id="2014334558">
      <w:bodyDiv w:val="1"/>
      <w:marLeft w:val="0"/>
      <w:marRight w:val="0"/>
      <w:marTop w:val="0"/>
      <w:marBottom w:val="0"/>
      <w:divBdr>
        <w:top w:val="none" w:sz="0" w:space="0" w:color="auto"/>
        <w:left w:val="none" w:sz="0" w:space="0" w:color="auto"/>
        <w:bottom w:val="none" w:sz="0" w:space="0" w:color="auto"/>
        <w:right w:val="none" w:sz="0" w:space="0" w:color="auto"/>
      </w:divBdr>
    </w:div>
    <w:div w:id="2075661003">
      <w:bodyDiv w:val="1"/>
      <w:marLeft w:val="0"/>
      <w:marRight w:val="0"/>
      <w:marTop w:val="0"/>
      <w:marBottom w:val="0"/>
      <w:divBdr>
        <w:top w:val="none" w:sz="0" w:space="0" w:color="auto"/>
        <w:left w:val="none" w:sz="0" w:space="0" w:color="auto"/>
        <w:bottom w:val="none" w:sz="0" w:space="0" w:color="auto"/>
        <w:right w:val="none" w:sz="0" w:space="0" w:color="auto"/>
      </w:divBdr>
    </w:div>
    <w:div w:id="2086299475">
      <w:bodyDiv w:val="1"/>
      <w:marLeft w:val="0"/>
      <w:marRight w:val="0"/>
      <w:marTop w:val="0"/>
      <w:marBottom w:val="0"/>
      <w:divBdr>
        <w:top w:val="none" w:sz="0" w:space="0" w:color="auto"/>
        <w:left w:val="none" w:sz="0" w:space="0" w:color="auto"/>
        <w:bottom w:val="none" w:sz="0" w:space="0" w:color="auto"/>
        <w:right w:val="none" w:sz="0" w:space="0" w:color="auto"/>
      </w:divBdr>
      <w:divsChild>
        <w:div w:id="932661774">
          <w:marLeft w:val="0"/>
          <w:marRight w:val="0"/>
          <w:marTop w:val="0"/>
          <w:marBottom w:val="0"/>
          <w:divBdr>
            <w:top w:val="none" w:sz="0" w:space="0" w:color="auto"/>
            <w:left w:val="none" w:sz="0" w:space="0" w:color="auto"/>
            <w:bottom w:val="none" w:sz="0" w:space="0" w:color="auto"/>
            <w:right w:val="none" w:sz="0" w:space="0" w:color="auto"/>
          </w:divBdr>
          <w:divsChild>
            <w:div w:id="717976459">
              <w:marLeft w:val="0"/>
              <w:marRight w:val="0"/>
              <w:marTop w:val="0"/>
              <w:marBottom w:val="0"/>
              <w:divBdr>
                <w:top w:val="none" w:sz="0" w:space="0" w:color="auto"/>
                <w:left w:val="none" w:sz="0" w:space="0" w:color="auto"/>
                <w:bottom w:val="none" w:sz="0" w:space="0" w:color="auto"/>
                <w:right w:val="none" w:sz="0" w:space="0" w:color="auto"/>
              </w:divBdr>
              <w:divsChild>
                <w:div w:id="1951231845">
                  <w:marLeft w:val="0"/>
                  <w:marRight w:val="0"/>
                  <w:marTop w:val="0"/>
                  <w:marBottom w:val="0"/>
                  <w:divBdr>
                    <w:top w:val="none" w:sz="0" w:space="0" w:color="auto"/>
                    <w:left w:val="none" w:sz="0" w:space="0" w:color="auto"/>
                    <w:bottom w:val="none" w:sz="0" w:space="0" w:color="auto"/>
                    <w:right w:val="none" w:sz="0" w:space="0" w:color="auto"/>
                  </w:divBdr>
                  <w:divsChild>
                    <w:div w:id="1221018445">
                      <w:marLeft w:val="0"/>
                      <w:marRight w:val="0"/>
                      <w:marTop w:val="0"/>
                      <w:marBottom w:val="0"/>
                      <w:divBdr>
                        <w:top w:val="none" w:sz="0" w:space="0" w:color="auto"/>
                        <w:left w:val="none" w:sz="0" w:space="0" w:color="auto"/>
                        <w:bottom w:val="none" w:sz="0" w:space="0" w:color="auto"/>
                        <w:right w:val="none" w:sz="0" w:space="0" w:color="auto"/>
                      </w:divBdr>
                      <w:divsChild>
                        <w:div w:id="1682314957">
                          <w:marLeft w:val="0"/>
                          <w:marRight w:val="0"/>
                          <w:marTop w:val="0"/>
                          <w:marBottom w:val="0"/>
                          <w:divBdr>
                            <w:top w:val="none" w:sz="0" w:space="0" w:color="auto"/>
                            <w:left w:val="none" w:sz="0" w:space="0" w:color="auto"/>
                            <w:bottom w:val="none" w:sz="0" w:space="0" w:color="auto"/>
                            <w:right w:val="none" w:sz="0" w:space="0" w:color="auto"/>
                          </w:divBdr>
                          <w:divsChild>
                            <w:div w:id="2068995501">
                              <w:marLeft w:val="0"/>
                              <w:marRight w:val="0"/>
                              <w:marTop w:val="0"/>
                              <w:marBottom w:val="0"/>
                              <w:divBdr>
                                <w:top w:val="none" w:sz="0" w:space="0" w:color="auto"/>
                                <w:left w:val="none" w:sz="0" w:space="0" w:color="auto"/>
                                <w:bottom w:val="none" w:sz="0" w:space="0" w:color="auto"/>
                                <w:right w:val="none" w:sz="0" w:space="0" w:color="auto"/>
                              </w:divBdr>
                              <w:divsChild>
                                <w:div w:id="40785522">
                                  <w:marLeft w:val="0"/>
                                  <w:marRight w:val="0"/>
                                  <w:marTop w:val="0"/>
                                  <w:marBottom w:val="0"/>
                                  <w:divBdr>
                                    <w:top w:val="none" w:sz="0" w:space="0" w:color="auto"/>
                                    <w:left w:val="none" w:sz="0" w:space="0" w:color="auto"/>
                                    <w:bottom w:val="none" w:sz="0" w:space="0" w:color="auto"/>
                                    <w:right w:val="none" w:sz="0" w:space="0" w:color="auto"/>
                                  </w:divBdr>
                                  <w:divsChild>
                                    <w:div w:id="1536427502">
                                      <w:marLeft w:val="0"/>
                                      <w:marRight w:val="0"/>
                                      <w:marTop w:val="0"/>
                                      <w:marBottom w:val="0"/>
                                      <w:divBdr>
                                        <w:top w:val="none" w:sz="0" w:space="0" w:color="auto"/>
                                        <w:left w:val="none" w:sz="0" w:space="0" w:color="auto"/>
                                        <w:bottom w:val="none" w:sz="0" w:space="0" w:color="auto"/>
                                        <w:right w:val="none" w:sz="0" w:space="0" w:color="auto"/>
                                      </w:divBdr>
                                      <w:divsChild>
                                        <w:div w:id="948588705">
                                          <w:marLeft w:val="0"/>
                                          <w:marRight w:val="0"/>
                                          <w:marTop w:val="0"/>
                                          <w:marBottom w:val="0"/>
                                          <w:divBdr>
                                            <w:top w:val="none" w:sz="0" w:space="0" w:color="auto"/>
                                            <w:left w:val="none" w:sz="0" w:space="0" w:color="auto"/>
                                            <w:bottom w:val="none" w:sz="0" w:space="0" w:color="auto"/>
                                            <w:right w:val="none" w:sz="0" w:space="0" w:color="auto"/>
                                          </w:divBdr>
                                          <w:divsChild>
                                            <w:div w:id="764957206">
                                              <w:marLeft w:val="0"/>
                                              <w:marRight w:val="0"/>
                                              <w:marTop w:val="0"/>
                                              <w:marBottom w:val="0"/>
                                              <w:divBdr>
                                                <w:top w:val="none" w:sz="0" w:space="0" w:color="auto"/>
                                                <w:left w:val="none" w:sz="0" w:space="0" w:color="auto"/>
                                                <w:bottom w:val="none" w:sz="0" w:space="0" w:color="auto"/>
                                                <w:right w:val="none" w:sz="0" w:space="0" w:color="auto"/>
                                              </w:divBdr>
                                              <w:divsChild>
                                                <w:div w:id="17622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1541356">
          <w:marLeft w:val="0"/>
          <w:marRight w:val="0"/>
          <w:marTop w:val="0"/>
          <w:marBottom w:val="0"/>
          <w:divBdr>
            <w:top w:val="none" w:sz="0" w:space="0" w:color="auto"/>
            <w:left w:val="none" w:sz="0" w:space="0" w:color="auto"/>
            <w:bottom w:val="none" w:sz="0" w:space="0" w:color="auto"/>
            <w:right w:val="none" w:sz="0" w:space="0" w:color="auto"/>
          </w:divBdr>
          <w:divsChild>
            <w:div w:id="1901554440">
              <w:marLeft w:val="0"/>
              <w:marRight w:val="0"/>
              <w:marTop w:val="0"/>
              <w:marBottom w:val="0"/>
              <w:divBdr>
                <w:top w:val="none" w:sz="0" w:space="0" w:color="auto"/>
                <w:left w:val="none" w:sz="0" w:space="0" w:color="auto"/>
                <w:bottom w:val="none" w:sz="0" w:space="0" w:color="auto"/>
                <w:right w:val="none" w:sz="0" w:space="0" w:color="auto"/>
              </w:divBdr>
              <w:divsChild>
                <w:div w:id="1654481086">
                  <w:marLeft w:val="0"/>
                  <w:marRight w:val="0"/>
                  <w:marTop w:val="0"/>
                  <w:marBottom w:val="0"/>
                  <w:divBdr>
                    <w:top w:val="none" w:sz="0" w:space="0" w:color="auto"/>
                    <w:left w:val="none" w:sz="0" w:space="0" w:color="auto"/>
                    <w:bottom w:val="none" w:sz="0" w:space="0" w:color="auto"/>
                    <w:right w:val="none" w:sz="0" w:space="0" w:color="auto"/>
                  </w:divBdr>
                  <w:divsChild>
                    <w:div w:id="39466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d.cipd.org/uk/knowledge/factsheets/eu-impact-factsheet/" TargetMode="External"/><Relationship Id="rId18" Type="http://schemas.openxmlformats.org/officeDocument/2006/relationships/hyperlink" Target="https://www.britannica.com/topic/trade-union" TargetMode="External"/><Relationship Id="rId26" Type="http://schemas.openxmlformats.org/officeDocument/2006/relationships/hyperlink" Target="https://www.gov.uk/shared-parental-leave-and-pay" TargetMode="External"/><Relationship Id="rId3" Type="http://schemas.openxmlformats.org/officeDocument/2006/relationships/settings" Target="settings.xml"/><Relationship Id="rId21" Type="http://schemas.openxmlformats.org/officeDocument/2006/relationships/hyperlink" Target="https://www.gov.uk/redundancy-your-rights/being-selected-for-redundancy" TargetMode="External"/><Relationship Id="rId7" Type="http://schemas.openxmlformats.org/officeDocument/2006/relationships/hyperlink" Target="https://www.acas.org.uk/employment-tribunal-time-limits" TargetMode="External"/><Relationship Id="rId12" Type="http://schemas.openxmlformats.org/officeDocument/2006/relationships/hyperlink" Target="https://www.cipd.org/uk/topics/employment-law/" TargetMode="External"/><Relationship Id="rId17" Type="http://schemas.openxmlformats.org/officeDocument/2006/relationships/hyperlink" Target="https://commonslibrary.parliament.uk/brexit-next-steps-the-court-of-justice-of-the-eu-and-the-uk/" TargetMode="External"/><Relationship Id="rId25" Type="http://schemas.openxmlformats.org/officeDocument/2006/relationships/hyperlink" Target="https://www.gov.uk/staff-redundan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tizensadvice.org.uk/work/discrimination-at-work/dealing-with-discrimination-at-work/checking-if-its-discrimination/if-you-think-youve-been-unfairly-treated-when-applying-for-a-job/"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s://hrzone.com/blog/applying-a-genuine-occupational-requirement-in-recruitment/" TargetMode="External"/><Relationship Id="rId1" Type="http://schemas.openxmlformats.org/officeDocument/2006/relationships/customXml" Target="../customXml/item1.xml"/><Relationship Id="rId6" Type="http://schemas.openxmlformats.org/officeDocument/2006/relationships/hyperlink" Target="https://www.acas.org.uk/implied-duties/duty-of-care" TargetMode="External"/><Relationship Id="rId11" Type="http://schemas.openxmlformats.org/officeDocument/2006/relationships/hyperlink" Target="https://www.acas.org.uk/tupe/advice-for-employers-and-employees" TargetMode="External"/><Relationship Id="rId24" Type="http://schemas.openxmlformats.org/officeDocument/2006/relationships/hyperlink" Target="https://www.gov.uk/discrimination-your-rights/discrimination-at-work" TargetMode="External"/><Relationship Id="rId32" Type="http://schemas.openxmlformats.org/officeDocument/2006/relationships/fontTable" Target="fontTable.xml"/><Relationship Id="rId5" Type="http://schemas.openxmlformats.org/officeDocument/2006/relationships/hyperlink" Target="https://www.acas.org.uk/checking-holiday-entitlement/calculating-holiday-pay" TargetMode="External"/><Relationship Id="rId15" Type="http://schemas.openxmlformats.org/officeDocument/2006/relationships/hyperlink" Target="https://www.citizensadvice.org.uk/work/discrimination-at-work/dealing-with-discrimination-at-work/checking-if-its-discrimination/check-if-your-problem-at-work-is-discrimination/" TargetMode="External"/><Relationship Id="rId23" Type="http://schemas.openxmlformats.org/officeDocument/2006/relationships/hyperlink" Target="https://www.gov.uk/your-employment-contract-how-it-can-be-changed?utm_source=chatgpt.com" TargetMode="External"/><Relationship Id="rId28" Type="http://schemas.openxmlformats.org/officeDocument/2006/relationships/hyperlink" Target="https://www.gov.uk/courts-tribunals/employment-tribunal" TargetMode="External"/><Relationship Id="rId10" Type="http://schemas.openxmlformats.org/officeDocument/2006/relationships/hyperlink" Target="https://www.acas.org.uk/working-time-rules" TargetMode="External"/><Relationship Id="rId19" Type="http://schemas.openxmlformats.org/officeDocument/2006/relationships/hyperlink" Target="https://www.legislation.gov.uk/ukpga/1996/18/contents" TargetMode="External"/><Relationship Id="rId31" Type="http://schemas.openxmlformats.org/officeDocument/2006/relationships/hyperlink" Target="https://www.springhouselaw.com/can-i-select-a-poor-performer-for-redundancy" TargetMode="External"/><Relationship Id="rId4" Type="http://schemas.openxmlformats.org/officeDocument/2006/relationships/webSettings" Target="webSettings.xml"/><Relationship Id="rId9" Type="http://schemas.openxmlformats.org/officeDocument/2006/relationships/hyperlink" Target="https://www.acas.org.uk/tupe/advice-for-employers-and-employees/if-employees-do-not-want-to-transfer" TargetMode="External"/><Relationship Id="rId14" Type="http://schemas.openxmlformats.org/officeDocument/2006/relationships/hyperlink" Target="https://www.cipd.org/uk/knowledge/employment-law/equal-pay" TargetMode="External"/><Relationship Id="rId22" Type="http://schemas.openxmlformats.org/officeDocument/2006/relationships/hyperlink" Target="https://www.gov.uk/your-employment-contract-how-it-can-be-changed" TargetMode="External"/><Relationship Id="rId27" Type="http://schemas.openxmlformats.org/officeDocument/2006/relationships/hyperlink" Target="https://www.humanrightscareers.com/issues/what-is-gender-discrimination/" TargetMode="External"/><Relationship Id="rId30" Type="http://schemas.openxmlformats.org/officeDocument/2006/relationships/hyperlink" Target="https://sprintlaw.co.uk/articles/working-time-rules-hours-breaks-employer-obligations-in-the-uk/" TargetMode="External"/><Relationship Id="rId8" Type="http://schemas.openxmlformats.org/officeDocument/2006/relationships/hyperlink" Target="https://www.acas.org.uk/equal-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206F8-CC03-4C36-8862-C7C3082E4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6443</Words>
  <Characters>36731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5</cp:revision>
  <dcterms:created xsi:type="dcterms:W3CDTF">2025-05-23T16:45:00Z</dcterms:created>
  <dcterms:modified xsi:type="dcterms:W3CDTF">2025-05-23T16:48:00Z</dcterms:modified>
</cp:coreProperties>
</file>