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cs="Times New Roman"/>
          <w:b/>
          <w:szCs w:val="24"/>
        </w:rPr>
      </w:pPr>
    </w:p>
    <w:p>
      <w:pPr>
        <w:jc w:val="center"/>
        <w:rPr>
          <w:rFonts w:cs="Times New Roman"/>
          <w:b/>
          <w:szCs w:val="24"/>
        </w:rPr>
      </w:pPr>
    </w:p>
    <w:p>
      <w:pPr>
        <w:jc w:val="center"/>
        <w:rPr>
          <w:rFonts w:cs="Times New Roman"/>
          <w:b/>
          <w:szCs w:val="24"/>
        </w:rPr>
      </w:pPr>
    </w:p>
    <w:p>
      <w:pPr>
        <w:jc w:val="center"/>
        <w:rPr>
          <w:rFonts w:cs="Times New Roman"/>
          <w:b/>
          <w:szCs w:val="24"/>
        </w:rPr>
      </w:pPr>
    </w:p>
    <w:p>
      <w:pPr>
        <w:jc w:val="center"/>
        <w:rPr>
          <w:rFonts w:cs="Times New Roman"/>
          <w:b/>
          <w:szCs w:val="24"/>
        </w:rPr>
      </w:pPr>
    </w:p>
    <w:p>
      <w:pPr>
        <w:jc w:val="center"/>
        <w:rPr>
          <w:rFonts w:cs="Times New Roman"/>
          <w:b/>
          <w:szCs w:val="24"/>
        </w:rPr>
      </w:pPr>
      <w:r>
        <w:rPr>
          <w:rFonts w:cs="Times New Roman"/>
          <w:b/>
          <w:szCs w:val="24"/>
        </w:rPr>
        <w:t>Exploring the Most Appropriate Market Entry Mode for</w:t>
      </w:r>
      <w:r>
        <w:t xml:space="preserve"> </w:t>
      </w:r>
      <w:r>
        <w:rPr>
          <w:rFonts w:cs="Times New Roman"/>
          <w:b/>
          <w:szCs w:val="24"/>
        </w:rPr>
        <w:t>Tomos Watkins to Enter China</w:t>
      </w: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r>
        <w:rPr>
          <w:rFonts w:hint="eastAsia" w:eastAsia="宋体" w:cs="Times New Roman"/>
          <w:b/>
          <w:szCs w:val="24"/>
          <w:lang w:val="en-US" w:eastAsia="zh-CN"/>
        </w:rPr>
        <w:t>Ao Senhao</w:t>
      </w:r>
    </w:p>
    <w:p>
      <w:pPr>
        <w:jc w:val="center"/>
        <w:rPr>
          <w:rFonts w:hint="eastAsia" w:eastAsia="宋体" w:cs="Times New Roman"/>
          <w:b/>
          <w:szCs w:val="24"/>
          <w:lang w:val="en-US" w:eastAsia="zh-CN"/>
        </w:rPr>
      </w:pPr>
      <w:r>
        <w:rPr>
          <w:rFonts w:hint="eastAsia" w:eastAsia="宋体" w:cs="Times New Roman"/>
          <w:b/>
          <w:szCs w:val="24"/>
          <w:lang w:val="en-US" w:eastAsia="zh-CN"/>
        </w:rPr>
        <w:t>1800262</w:t>
      </w: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p>
    <w:p>
      <w:pPr>
        <w:jc w:val="center"/>
        <w:rPr>
          <w:rFonts w:hint="eastAsia" w:eastAsia="宋体" w:cs="Times New Roman"/>
          <w:b/>
          <w:szCs w:val="24"/>
          <w:lang w:val="en-US" w:eastAsia="zh-CN"/>
        </w:rPr>
      </w:pPr>
      <w:r>
        <w:rPr>
          <w:rFonts w:hint="eastAsia" w:eastAsia="宋体" w:cs="Times New Roman"/>
          <w:b/>
          <w:szCs w:val="24"/>
          <w:lang w:val="en-US" w:eastAsia="zh-CN"/>
        </w:rPr>
        <w:t>2019.3.3</w:t>
      </w:r>
    </w:p>
    <w:p>
      <w:pPr>
        <w:jc w:val="center"/>
        <w:rPr>
          <w:rFonts w:hint="eastAsia" w:eastAsia="宋体" w:cs="Times New Roman"/>
          <w:b/>
          <w:szCs w:val="24"/>
          <w:lang w:val="en-US" w:eastAsia="zh-CN"/>
        </w:rPr>
      </w:pPr>
      <w:bookmarkStart w:id="26" w:name="_GoBack"/>
      <w:bookmarkEnd w:id="26"/>
    </w:p>
    <w:p>
      <w:pPr>
        <w:pStyle w:val="2"/>
        <w:numPr>
          <w:ilvl w:val="0"/>
          <w:numId w:val="0"/>
        </w:numPr>
        <w:ind w:left="432" w:hanging="432"/>
      </w:pPr>
      <w:bookmarkStart w:id="0" w:name="_Toc1749741"/>
      <w:r>
        <w:t>Executive Summary</w:t>
      </w:r>
      <w:bookmarkEnd w:id="0"/>
      <w:r>
        <w:t xml:space="preserve"> </w:t>
      </w:r>
    </w:p>
    <w:p>
      <w:pPr>
        <w:rPr>
          <w:rFonts w:cs="Times New Roman"/>
          <w:szCs w:val="24"/>
        </w:rPr>
      </w:pPr>
      <w:r>
        <w:rPr>
          <w:rFonts w:cs="Times New Roman"/>
          <w:szCs w:val="24"/>
        </w:rPr>
        <w:t xml:space="preserve">This purpose of this report was to evaluate the most viable markets for Tomos Watkins to enter. Tomos Watkins has plans to enter international markets. The report is structured as follows. </w:t>
      </w:r>
    </w:p>
    <w:p>
      <w:pPr>
        <w:pStyle w:val="33"/>
        <w:numPr>
          <w:ilvl w:val="0"/>
          <w:numId w:val="2"/>
        </w:numPr>
        <w:rPr>
          <w:rFonts w:cs="Times New Roman"/>
          <w:szCs w:val="24"/>
        </w:rPr>
      </w:pPr>
      <w:r>
        <w:rPr>
          <w:rFonts w:cs="Times New Roman"/>
          <w:szCs w:val="24"/>
        </w:rPr>
        <w:t xml:space="preserve">The report considered the USA and China in which their respective macro markets environments were evaluated. </w:t>
      </w:r>
    </w:p>
    <w:p>
      <w:pPr>
        <w:pStyle w:val="33"/>
        <w:numPr>
          <w:ilvl w:val="0"/>
          <w:numId w:val="2"/>
        </w:numPr>
        <w:rPr>
          <w:rFonts w:cs="Times New Roman"/>
          <w:szCs w:val="24"/>
        </w:rPr>
      </w:pPr>
      <w:r>
        <w:rPr>
          <w:rFonts w:cs="Times New Roman"/>
          <w:szCs w:val="24"/>
        </w:rPr>
        <w:t xml:space="preserve">Furthermore, the report evaluated the industry characteristics. </w:t>
      </w:r>
    </w:p>
    <w:p>
      <w:pPr>
        <w:pStyle w:val="33"/>
        <w:numPr>
          <w:ilvl w:val="0"/>
          <w:numId w:val="2"/>
        </w:numPr>
        <w:rPr>
          <w:rFonts w:cs="Times New Roman"/>
          <w:szCs w:val="24"/>
        </w:rPr>
      </w:pPr>
      <w:r>
        <w:rPr>
          <w:rFonts w:cs="Times New Roman"/>
          <w:szCs w:val="24"/>
        </w:rPr>
        <w:t xml:space="preserve">Possible entry modes were evaluated in terms of their strengths and limitations. </w:t>
      </w:r>
    </w:p>
    <w:p>
      <w:pPr>
        <w:rPr>
          <w:rFonts w:cs="Times New Roman"/>
          <w:szCs w:val="24"/>
        </w:rPr>
      </w:pPr>
      <w:r>
        <w:rPr>
          <w:rFonts w:cs="Times New Roman"/>
          <w:szCs w:val="24"/>
        </w:rPr>
        <w:t xml:space="preserve">The report found that the USA has a more feasible political climate. It has non-existent legal risks but has very strict environmental laws. China has political and legal risks. Both nations have impressive economic landscapes. Comparatively, China has a better social landscape than the USA. The microanalysis established that the bargaining power of consumers and suppliers is low. Competition in both countries is stiff. The report recommends that Tomos Watkins should enter China through indirect exporting. </w:t>
      </w:r>
    </w:p>
    <w:p>
      <w:pPr>
        <w:rPr>
          <w:rFonts w:cs="Times New Roman"/>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r>
        <w:rPr>
          <w:rFonts w:cs="Times New Roman"/>
          <w:b/>
          <w:szCs w:val="24"/>
        </w:rPr>
        <w:br w:type="page"/>
      </w:r>
    </w:p>
    <w:p>
      <w:pPr>
        <w:rPr>
          <w:rFonts w:cs="Times New Roman"/>
          <w:b/>
          <w:szCs w:val="24"/>
        </w:rPr>
      </w:pPr>
    </w:p>
    <w:sdt>
      <w:sdtPr>
        <w:rPr>
          <w:rFonts w:eastAsiaTheme="minorHAnsi" w:cstheme="minorBidi"/>
          <w:b w:val="0"/>
          <w:bCs w:val="0"/>
          <w:color w:val="auto"/>
          <w:szCs w:val="22"/>
          <w:lang w:val="en-GB" w:eastAsia="en-US"/>
        </w:rPr>
        <w:id w:val="1278907895"/>
      </w:sdtPr>
      <w:sdtEndPr>
        <w:rPr>
          <w:rFonts w:eastAsiaTheme="minorHAnsi" w:cstheme="minorBidi"/>
          <w:b w:val="0"/>
          <w:bCs w:val="0"/>
          <w:color w:val="auto"/>
          <w:szCs w:val="22"/>
          <w:lang w:val="en-GB" w:eastAsia="en-US"/>
        </w:rPr>
      </w:sdtEndPr>
      <w:sdtContent>
        <w:p>
          <w:pPr>
            <w:pStyle w:val="29"/>
            <w:jc w:val="center"/>
            <w:rPr>
              <w:color w:val="auto"/>
            </w:rPr>
          </w:pPr>
          <w:r>
            <w:rPr>
              <w:color w:val="auto"/>
            </w:rPr>
            <w:t>Table of Contents</w:t>
          </w:r>
        </w:p>
        <w:p>
          <w:pPr>
            <w:pStyle w:val="15"/>
            <w:tabs>
              <w:tab w:val="right" w:leader="dot" w:pos="9016"/>
            </w:tabs>
            <w:rPr>
              <w:rFonts w:asciiTheme="minorHAnsi" w:hAnsiTheme="minorHAnsi" w:eastAsiaTheme="minorEastAsia"/>
              <w:sz w:val="22"/>
              <w:lang w:eastAsia="en-GB"/>
            </w:rPr>
          </w:pPr>
          <w:r>
            <w:fldChar w:fldCharType="begin"/>
          </w:r>
          <w:r>
            <w:instrText xml:space="preserve"> TOC \o "1-3" \h \z \u </w:instrText>
          </w:r>
          <w:r>
            <w:fldChar w:fldCharType="separate"/>
          </w:r>
          <w:r>
            <w:fldChar w:fldCharType="begin"/>
          </w:r>
          <w:r>
            <w:instrText xml:space="preserve"> HYPERLINK \l "_Toc1749741" </w:instrText>
          </w:r>
          <w:r>
            <w:fldChar w:fldCharType="separate"/>
          </w:r>
          <w:r>
            <w:rPr>
              <w:rStyle w:val="19"/>
            </w:rPr>
            <w:t>Executive Summary</w:t>
          </w:r>
          <w:r>
            <w:tab/>
          </w:r>
          <w:r>
            <w:fldChar w:fldCharType="begin"/>
          </w:r>
          <w:r>
            <w:instrText xml:space="preserve"> PAGEREF _Toc1749741 \h </w:instrText>
          </w:r>
          <w:r>
            <w:fldChar w:fldCharType="separate"/>
          </w:r>
          <w:r>
            <w:t>2</w:t>
          </w:r>
          <w:r>
            <w:fldChar w:fldCharType="end"/>
          </w:r>
          <w:r>
            <w:fldChar w:fldCharType="end"/>
          </w:r>
        </w:p>
        <w:p>
          <w:pPr>
            <w:pStyle w:val="15"/>
            <w:tabs>
              <w:tab w:val="left" w:pos="440"/>
              <w:tab w:val="right" w:leader="dot" w:pos="9016"/>
            </w:tabs>
            <w:rPr>
              <w:rFonts w:asciiTheme="minorHAnsi" w:hAnsiTheme="minorHAnsi" w:eastAsiaTheme="minorEastAsia"/>
              <w:sz w:val="22"/>
              <w:lang w:eastAsia="en-GB"/>
            </w:rPr>
          </w:pPr>
          <w:r>
            <w:fldChar w:fldCharType="begin"/>
          </w:r>
          <w:r>
            <w:instrText xml:space="preserve"> HYPERLINK \l "_Toc1749742" </w:instrText>
          </w:r>
          <w:r>
            <w:fldChar w:fldCharType="separate"/>
          </w:r>
          <w:r>
            <w:rPr>
              <w:rStyle w:val="19"/>
            </w:rPr>
            <w:t>1</w:t>
          </w:r>
          <w:r>
            <w:rPr>
              <w:rFonts w:asciiTheme="minorHAnsi" w:hAnsiTheme="minorHAnsi" w:eastAsiaTheme="minorEastAsia"/>
              <w:sz w:val="22"/>
              <w:lang w:eastAsia="en-GB"/>
            </w:rPr>
            <w:tab/>
          </w:r>
          <w:r>
            <w:rPr>
              <w:rStyle w:val="19"/>
            </w:rPr>
            <w:t>Introduction</w:t>
          </w:r>
          <w:r>
            <w:tab/>
          </w:r>
          <w:r>
            <w:fldChar w:fldCharType="begin"/>
          </w:r>
          <w:r>
            <w:instrText xml:space="preserve"> PAGEREF _Toc1749742 \h </w:instrText>
          </w:r>
          <w:r>
            <w:fldChar w:fldCharType="separate"/>
          </w:r>
          <w:r>
            <w:t>5</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"_Toc1749743" </w:instrText>
          </w:r>
          <w:r>
            <w:fldChar w:fldCharType="separate"/>
          </w:r>
          <w:r>
            <w:rPr>
              <w:rStyle w:val="19"/>
            </w:rPr>
            <w:t>1.1</w:t>
          </w:r>
          <w:r>
            <w:rPr>
              <w:rFonts w:asciiTheme="minorHAnsi" w:hAnsiTheme="minorHAnsi" w:eastAsiaTheme="minorEastAsia"/>
              <w:sz w:val="22"/>
              <w:lang w:eastAsia="en-GB"/>
            </w:rPr>
            <w:tab/>
          </w:r>
          <w:r>
            <w:rPr>
              <w:rStyle w:val="19"/>
            </w:rPr>
            <w:t>Background</w:t>
          </w:r>
          <w:r>
            <w:tab/>
          </w:r>
          <w:r>
            <w:fldChar w:fldCharType="begin"/>
          </w:r>
          <w:r>
            <w:instrText xml:space="preserve"> PAGEREF _Toc1749743 \h </w:instrText>
          </w:r>
          <w:r>
            <w:fldChar w:fldCharType="separate"/>
          </w:r>
          <w:r>
            <w:t>5</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"_Toc1749744" </w:instrText>
          </w:r>
          <w:r>
            <w:fldChar w:fldCharType="separate"/>
          </w:r>
          <w:r>
            <w:rPr>
              <w:rStyle w:val="19"/>
            </w:rPr>
            <w:t>1.2</w:t>
          </w:r>
          <w:r>
            <w:rPr>
              <w:rFonts w:asciiTheme="minorHAnsi" w:hAnsiTheme="minorHAnsi" w:eastAsiaTheme="minorEastAsia"/>
              <w:sz w:val="22"/>
              <w:lang w:eastAsia="en-GB"/>
            </w:rPr>
            <w:tab/>
          </w:r>
          <w:r>
            <w:rPr>
              <w:rStyle w:val="19"/>
            </w:rPr>
            <w:t>Objectives</w:t>
          </w:r>
          <w:r>
            <w:tab/>
          </w:r>
          <w:r>
            <w:fldChar w:fldCharType="begin"/>
          </w:r>
          <w:r>
            <w:instrText xml:space="preserve"> PAGEREF _Toc1749744 \h </w:instrText>
          </w:r>
          <w:r>
            <w:fldChar w:fldCharType="separate"/>
          </w:r>
          <w:r>
            <w:t>5</w:t>
          </w:r>
          <w:r>
            <w:fldChar w:fldCharType="end"/>
          </w:r>
          <w:r>
            <w:fldChar w:fldCharType="end"/>
          </w:r>
        </w:p>
        <w:p>
          <w:pPr>
            <w:pStyle w:val="15"/>
            <w:tabs>
              <w:tab w:val="left" w:pos="440"/>
              <w:tab w:val="right" w:leader="dot" w:pos="9016"/>
            </w:tabs>
            <w:rPr>
              <w:rFonts w:asciiTheme="minorHAnsi" w:hAnsiTheme="minorHAnsi" w:eastAsiaTheme="minorEastAsia"/>
              <w:sz w:val="22"/>
              <w:lang w:eastAsia="en-GB"/>
            </w:rPr>
          </w:pPr>
          <w:r>
            <w:fldChar w:fldCharType="begin"/>
          </w:r>
          <w:r>
            <w:instrText xml:space="preserve"> HYPERLINK \l "_Toc1749745" </w:instrText>
          </w:r>
          <w:r>
            <w:fldChar w:fldCharType="separate"/>
          </w:r>
          <w:r>
            <w:rPr>
              <w:rStyle w:val="19"/>
            </w:rPr>
            <w:t>2</w:t>
          </w:r>
          <w:r>
            <w:rPr>
              <w:rFonts w:asciiTheme="minorHAnsi" w:hAnsiTheme="minorHAnsi" w:eastAsiaTheme="minorEastAsia"/>
              <w:sz w:val="22"/>
              <w:lang w:eastAsia="en-GB"/>
            </w:rPr>
            <w:tab/>
          </w:r>
          <w:r>
            <w:rPr>
              <w:rStyle w:val="19"/>
            </w:rPr>
            <w:t>Main Findings</w:t>
          </w:r>
          <w:r>
            <w:tab/>
          </w:r>
          <w:r>
            <w:fldChar w:fldCharType="begin"/>
          </w:r>
          <w:r>
            <w:instrText xml:space="preserve"> PAGEREF _Toc1749745 \h </w:instrText>
          </w:r>
          <w:r>
            <w:fldChar w:fldCharType="separate"/>
          </w:r>
          <w:r>
            <w:t>5</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"_Toc1749746" </w:instrText>
          </w:r>
          <w:r>
            <w:fldChar w:fldCharType="separate"/>
          </w:r>
          <w:r>
            <w:rPr>
              <w:rStyle w:val="19"/>
            </w:rPr>
            <w:t>2.1</w:t>
          </w:r>
          <w:r>
            <w:rPr>
              <w:rFonts w:asciiTheme="minorHAnsi" w:hAnsiTheme="minorHAnsi" w:eastAsiaTheme="minorEastAsia"/>
              <w:sz w:val="22"/>
              <w:lang w:eastAsia="en-GB"/>
            </w:rPr>
            <w:tab/>
          </w:r>
          <w:r>
            <w:rPr>
              <w:rStyle w:val="19"/>
            </w:rPr>
            <w:t>Country Analysis: USA and China</w:t>
          </w:r>
          <w:r>
            <w:tab/>
          </w:r>
          <w:r>
            <w:fldChar w:fldCharType="begin"/>
          </w:r>
          <w:r>
            <w:instrText xml:space="preserve"> PAGEREF _Toc1749746 \h </w:instrText>
          </w:r>
          <w:r>
            <w:fldChar w:fldCharType="separate"/>
          </w:r>
          <w:r>
            <w:t>5</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"_Toc1749747" </w:instrText>
          </w:r>
          <w:r>
            <w:fldChar w:fldCharType="separate"/>
          </w:r>
          <w:r>
            <w:rPr>
              <w:rStyle w:val="19"/>
            </w:rPr>
            <w:t>2.1.1</w:t>
          </w:r>
          <w:r>
            <w:rPr>
              <w:rFonts w:asciiTheme="minorHAnsi" w:hAnsiTheme="minorHAnsi" w:eastAsiaTheme="minorEastAsia"/>
              <w:sz w:val="22"/>
              <w:lang w:eastAsia="en-GB"/>
            </w:rPr>
            <w:tab/>
          </w:r>
          <w:r>
            <w:rPr>
              <w:rStyle w:val="19"/>
            </w:rPr>
            <w:t>Political Factors</w:t>
          </w:r>
          <w:r>
            <w:tab/>
          </w:r>
          <w:r>
            <w:fldChar w:fldCharType="begin"/>
          </w:r>
          <w:r>
            <w:instrText xml:space="preserve"> PAGEREF _Toc1749747 \h </w:instrText>
          </w:r>
          <w:r>
            <w:fldChar w:fldCharType="separate"/>
          </w:r>
          <w:r>
            <w:t>5</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"_Toc1749748" </w:instrText>
          </w:r>
          <w:r>
            <w:fldChar w:fldCharType="separate"/>
          </w:r>
          <w:r>
            <w:rPr>
              <w:rStyle w:val="19"/>
            </w:rPr>
            <w:t>2.1.2</w:t>
          </w:r>
          <w:r>
            <w:rPr>
              <w:rFonts w:asciiTheme="minorHAnsi" w:hAnsiTheme="minorHAnsi" w:eastAsiaTheme="minorEastAsia"/>
              <w:sz w:val="22"/>
              <w:lang w:eastAsia="en-GB"/>
            </w:rPr>
            <w:tab/>
          </w:r>
          <w:r>
            <w:rPr>
              <w:rStyle w:val="19"/>
            </w:rPr>
            <w:t>Economic Factors</w:t>
          </w:r>
          <w:r>
            <w:tab/>
          </w:r>
          <w:r>
            <w:fldChar w:fldCharType="begin"/>
          </w:r>
          <w:r>
            <w:instrText xml:space="preserve"> PAGEREF _Toc1749748 \h </w:instrText>
          </w:r>
          <w:r>
            <w:fldChar w:fldCharType="separate"/>
          </w:r>
          <w:r>
            <w:t>6</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"_Toc1749749" </w:instrText>
          </w:r>
          <w:r>
            <w:fldChar w:fldCharType="separate"/>
          </w:r>
          <w:r>
            <w:rPr>
              <w:rStyle w:val="19"/>
            </w:rPr>
            <w:t>2.1.3</w:t>
          </w:r>
          <w:r>
            <w:rPr>
              <w:rFonts w:asciiTheme="minorHAnsi" w:hAnsiTheme="minorHAnsi" w:eastAsiaTheme="minorEastAsia"/>
              <w:sz w:val="22"/>
              <w:lang w:eastAsia="en-GB"/>
            </w:rPr>
            <w:tab/>
          </w:r>
          <w:r>
            <w:rPr>
              <w:rStyle w:val="19"/>
            </w:rPr>
            <w:t>Social</w:t>
          </w:r>
          <w:r>
            <w:tab/>
          </w:r>
          <w:r>
            <w:fldChar w:fldCharType="begin"/>
          </w:r>
          <w:r>
            <w:instrText xml:space="preserve"> PAGEREF _Toc1749749 \h </w:instrText>
          </w:r>
          <w:r>
            <w:fldChar w:fldCharType="separate"/>
          </w:r>
          <w:r>
            <w:t>6</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"_Toc1749750" </w:instrText>
          </w:r>
          <w:r>
            <w:fldChar w:fldCharType="separate"/>
          </w:r>
          <w:r>
            <w:rPr>
              <w:rStyle w:val="19"/>
            </w:rPr>
            <w:t>2.1.4</w:t>
          </w:r>
          <w:r>
            <w:rPr>
              <w:rFonts w:asciiTheme="minorHAnsi" w:hAnsiTheme="minorHAnsi" w:eastAsiaTheme="minorEastAsia"/>
              <w:sz w:val="22"/>
              <w:lang w:eastAsia="en-GB"/>
            </w:rPr>
            <w:tab/>
          </w:r>
          <w:r>
            <w:rPr>
              <w:rStyle w:val="19"/>
            </w:rPr>
            <w:t>Technology</w:t>
          </w:r>
          <w:r>
            <w:tab/>
          </w:r>
          <w:r>
            <w:fldChar w:fldCharType="begin"/>
          </w:r>
          <w:r>
            <w:instrText xml:space="preserve"> PAGEREF _Toc1749750 \h </w:instrText>
          </w:r>
          <w:r>
            <w:fldChar w:fldCharType="separate"/>
          </w:r>
          <w:r>
            <w:t>7</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"_Toc1749751" </w:instrText>
          </w:r>
          <w:r>
            <w:fldChar w:fldCharType="separate"/>
          </w:r>
          <w:r>
            <w:rPr>
              <w:rStyle w:val="19"/>
            </w:rPr>
            <w:t>2.1.5</w:t>
          </w:r>
          <w:r>
            <w:rPr>
              <w:rFonts w:asciiTheme="minorHAnsi" w:hAnsiTheme="minorHAnsi" w:eastAsiaTheme="minorEastAsia"/>
              <w:sz w:val="22"/>
              <w:lang w:eastAsia="en-GB"/>
            </w:rPr>
            <w:tab/>
          </w:r>
          <w:r>
            <w:rPr>
              <w:rStyle w:val="19"/>
            </w:rPr>
            <w:t>Legal</w:t>
          </w:r>
          <w:r>
            <w:tab/>
          </w:r>
          <w:r>
            <w:fldChar w:fldCharType="begin"/>
          </w:r>
          <w:r>
            <w:instrText xml:space="preserve"> PAGEREF _Toc1749751 \h </w:instrText>
          </w:r>
          <w:r>
            <w:fldChar w:fldCharType="separate"/>
          </w:r>
          <w:r>
            <w:t>7</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"_Toc1749752" </w:instrText>
          </w:r>
          <w:r>
            <w:fldChar w:fldCharType="separate"/>
          </w:r>
          <w:r>
            <w:rPr>
              <w:rStyle w:val="19"/>
            </w:rPr>
            <w:t>2.1.6</w:t>
          </w:r>
          <w:r>
            <w:rPr>
              <w:rFonts w:asciiTheme="minorHAnsi" w:hAnsiTheme="minorHAnsi" w:eastAsiaTheme="minorEastAsia"/>
              <w:sz w:val="22"/>
              <w:lang w:eastAsia="en-GB"/>
            </w:rPr>
            <w:tab/>
          </w:r>
          <w:r>
            <w:rPr>
              <w:rStyle w:val="19"/>
            </w:rPr>
            <w:t>Environmental</w:t>
          </w:r>
          <w:r>
            <w:tab/>
          </w:r>
          <w:r>
            <w:fldChar w:fldCharType="begin"/>
          </w:r>
          <w:r>
            <w:instrText xml:space="preserve"> PAGEREF _Toc1749752 \h </w:instrText>
          </w:r>
          <w:r>
            <w:fldChar w:fldCharType="separate"/>
          </w:r>
          <w:r>
            <w:t>8</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"_Toc1749753" </w:instrText>
          </w:r>
          <w:r>
            <w:fldChar w:fldCharType="separate"/>
          </w:r>
          <w:r>
            <w:rPr>
              <w:rStyle w:val="19"/>
            </w:rPr>
            <w:t>2.2</w:t>
          </w:r>
          <w:r>
            <w:rPr>
              <w:rFonts w:asciiTheme="minorHAnsi" w:hAnsiTheme="minorHAnsi" w:eastAsiaTheme="minorEastAsia"/>
              <w:sz w:val="22"/>
              <w:lang w:eastAsia="en-GB"/>
            </w:rPr>
            <w:tab/>
          </w:r>
          <w:r>
            <w:rPr>
              <w:rStyle w:val="19"/>
            </w:rPr>
            <w:t>Possible Entry Modes</w:t>
          </w:r>
          <w:r>
            <w:tab/>
          </w:r>
          <w:r>
            <w:fldChar w:fldCharType="begin"/>
          </w:r>
          <w:r>
            <w:instrText xml:space="preserve"> PAGEREF _Toc1749753 \h </w:instrText>
          </w:r>
          <w:r>
            <w:fldChar w:fldCharType="separate"/>
          </w:r>
          <w:r>
            <w:t>8</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"_Toc1749754" </w:instrText>
          </w:r>
          <w:r>
            <w:fldChar w:fldCharType="separate"/>
          </w:r>
          <w:r>
            <w:rPr>
              <w:rStyle w:val="19"/>
            </w:rPr>
            <w:t>2.2.1</w:t>
          </w:r>
          <w:r>
            <w:rPr>
              <w:rFonts w:asciiTheme="minorHAnsi" w:hAnsiTheme="minorHAnsi" w:eastAsiaTheme="minorEastAsia"/>
              <w:sz w:val="22"/>
              <w:lang w:eastAsia="en-GB"/>
            </w:rPr>
            <w:tab/>
          </w:r>
          <w:r>
            <w:rPr>
              <w:rStyle w:val="19"/>
            </w:rPr>
            <w:t>USA: Direct Export</w:t>
          </w:r>
          <w:r>
            <w:tab/>
          </w:r>
          <w:r>
            <w:fldChar w:fldCharType="begin"/>
          </w:r>
          <w:r>
            <w:instrText xml:space="preserve"> PAGEREF _Toc1749754 \h </w:instrText>
          </w:r>
          <w:r>
            <w:fldChar w:fldCharType="separate"/>
          </w:r>
          <w:r>
            <w:t>8</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"_Toc1749755" </w:instrText>
          </w:r>
          <w:r>
            <w:fldChar w:fldCharType="separate"/>
          </w:r>
          <w:r>
            <w:rPr>
              <w:rStyle w:val="19"/>
            </w:rPr>
            <w:t>2.2.2</w:t>
          </w:r>
          <w:r>
            <w:rPr>
              <w:rFonts w:asciiTheme="minorHAnsi" w:hAnsiTheme="minorHAnsi" w:eastAsiaTheme="minorEastAsia"/>
              <w:sz w:val="22"/>
              <w:lang w:eastAsia="en-GB"/>
            </w:rPr>
            <w:tab/>
          </w:r>
          <w:r>
            <w:rPr>
              <w:rStyle w:val="19"/>
            </w:rPr>
            <w:t>USA: Mergers and Acquisitions</w:t>
          </w:r>
          <w:r>
            <w:tab/>
          </w:r>
          <w:r>
            <w:fldChar w:fldCharType="begin"/>
          </w:r>
          <w:r>
            <w:instrText xml:space="preserve"> PAGEREF _Toc1749755 \h </w:instrText>
          </w:r>
          <w:r>
            <w:fldChar w:fldCharType="separate"/>
          </w:r>
          <w:r>
            <w:t>8</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"_Toc1749756" </w:instrText>
          </w:r>
          <w:r>
            <w:fldChar w:fldCharType="separate"/>
          </w:r>
          <w:r>
            <w:rPr>
              <w:rStyle w:val="19"/>
            </w:rPr>
            <w:t>2.2.3</w:t>
          </w:r>
          <w:r>
            <w:rPr>
              <w:rFonts w:asciiTheme="minorHAnsi" w:hAnsiTheme="minorHAnsi" w:eastAsiaTheme="minorEastAsia"/>
              <w:sz w:val="22"/>
              <w:lang w:eastAsia="en-GB"/>
            </w:rPr>
            <w:tab/>
          </w:r>
          <w:r>
            <w:rPr>
              <w:rStyle w:val="19"/>
            </w:rPr>
            <w:t>China: Indirect Exporting</w:t>
          </w:r>
          <w:r>
            <w:tab/>
          </w:r>
          <w:r>
            <w:fldChar w:fldCharType="begin"/>
          </w:r>
          <w:r>
            <w:instrText xml:space="preserve"> PAGEREF _Toc1749756 \h </w:instrText>
          </w:r>
          <w:r>
            <w:fldChar w:fldCharType="separate"/>
          </w:r>
          <w:r>
            <w:t>9</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"_Toc1749757" </w:instrText>
          </w:r>
          <w:r>
            <w:fldChar w:fldCharType="separate"/>
          </w:r>
          <w:r>
            <w:rPr>
              <w:rStyle w:val="19"/>
            </w:rPr>
            <w:t>2.2.4</w:t>
          </w:r>
          <w:r>
            <w:rPr>
              <w:rFonts w:asciiTheme="minorHAnsi" w:hAnsiTheme="minorHAnsi" w:eastAsiaTheme="minorEastAsia"/>
              <w:sz w:val="22"/>
              <w:lang w:eastAsia="en-GB"/>
            </w:rPr>
            <w:tab/>
          </w:r>
          <w:r>
            <w:rPr>
              <w:rStyle w:val="19"/>
            </w:rPr>
            <w:t>China: Joint Venture</w:t>
          </w:r>
          <w:r>
            <w:tab/>
          </w:r>
          <w:r>
            <w:fldChar w:fldCharType="begin"/>
          </w:r>
          <w:r>
            <w:instrText xml:space="preserve"> PAGEREF _Toc1749757 \h </w:instrText>
          </w:r>
          <w:r>
            <w:fldChar w:fldCharType="separate"/>
          </w:r>
          <w:r>
            <w:t>9</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"_Toc1749758" </w:instrText>
          </w:r>
          <w:r>
            <w:fldChar w:fldCharType="separate"/>
          </w:r>
          <w:r>
            <w:rPr>
              <w:rStyle w:val="19"/>
            </w:rPr>
            <w:t>2.3</w:t>
          </w:r>
          <w:r>
            <w:rPr>
              <w:rFonts w:asciiTheme="minorHAnsi" w:hAnsiTheme="minorHAnsi" w:eastAsiaTheme="minorEastAsia"/>
              <w:sz w:val="22"/>
              <w:lang w:eastAsia="en-GB"/>
            </w:rPr>
            <w:tab/>
          </w:r>
          <w:r>
            <w:rPr>
              <w:rStyle w:val="19"/>
            </w:rPr>
            <w:t>The Particular Nuances between the USA and China</w:t>
          </w:r>
          <w:r>
            <w:tab/>
          </w:r>
          <w:r>
            <w:fldChar w:fldCharType="begin"/>
          </w:r>
          <w:r>
            <w:instrText xml:space="preserve"> PAGEREF _Toc1749758 \h </w:instrText>
          </w:r>
          <w:r>
            <w:fldChar w:fldCharType="separate"/>
          </w:r>
          <w:r>
            <w:t>10</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"_Toc1749759" </w:instrText>
          </w:r>
          <w:r>
            <w:fldChar w:fldCharType="separate"/>
          </w:r>
          <w:r>
            <w:rPr>
              <w:rStyle w:val="19"/>
            </w:rPr>
            <w:t>2.3.1</w:t>
          </w:r>
          <w:r>
            <w:rPr>
              <w:rFonts w:asciiTheme="minorHAnsi" w:hAnsiTheme="minorHAnsi" w:eastAsiaTheme="minorEastAsia"/>
              <w:sz w:val="22"/>
              <w:lang w:eastAsia="en-GB"/>
            </w:rPr>
            <w:tab/>
          </w:r>
          <w:r>
            <w:rPr>
              <w:rStyle w:val="19"/>
            </w:rPr>
            <w:t>Availability of Substitutes</w:t>
          </w:r>
          <w:r>
            <w:tab/>
          </w:r>
          <w:r>
            <w:fldChar w:fldCharType="begin"/>
          </w:r>
          <w:r>
            <w:instrText xml:space="preserve"> PAGEREF _Toc1749759 \h </w:instrText>
          </w:r>
          <w:r>
            <w:fldChar w:fldCharType="separate"/>
          </w:r>
          <w:r>
            <w:t>10</w:t>
          </w:r>
          <w:r>
            <w:fldChar w:fldCharType="end"/>
          </w:r>
          <w:r>
            <w:fldChar w:fldCharType="end"/>
          </w:r>
        </w:p>
        <w:p>
          <w:pPr>
            <w:pStyle w:val="11"/>
            <w:tabs>
              <w:tab w:val="left" w:pos="1320"/>
              <w:tab w:val="right" w:leader="dot" w:pos="9016"/>
            </w:tabs>
            <w:rPr>
              <w:rFonts w:asciiTheme="minorHAnsi" w:hAnsiTheme="minorHAnsi" w:eastAsiaTheme="minorEastAsia"/>
              <w:sz w:val="22"/>
              <w:lang w:eastAsia="en-GB"/>
            </w:rPr>
          </w:pPr>
          <w:r>
            <w:fldChar w:fldCharType="begin"/>
          </w:r>
          <w:r>
            <w:instrText xml:space="preserve"> HYPERLINK \l "_Toc1749760" </w:instrText>
          </w:r>
          <w:r>
            <w:fldChar w:fldCharType="separate"/>
          </w:r>
          <w:r>
            <w:rPr>
              <w:rStyle w:val="19"/>
            </w:rPr>
            <w:t>2.3.2</w:t>
          </w:r>
          <w:r>
            <w:rPr>
              <w:rFonts w:asciiTheme="minorHAnsi" w:hAnsiTheme="minorHAnsi" w:eastAsiaTheme="minorEastAsia"/>
              <w:sz w:val="22"/>
              <w:lang w:eastAsia="en-GB"/>
            </w:rPr>
            <w:tab/>
          </w:r>
          <w:r>
            <w:rPr>
              <w:rStyle w:val="19"/>
            </w:rPr>
            <w:t>Brand Preferences</w:t>
          </w:r>
          <w:r>
            <w:tab/>
          </w:r>
          <w:r>
            <w:fldChar w:fldCharType="begin"/>
          </w:r>
          <w:r>
            <w:instrText xml:space="preserve"> PAGEREF _Toc1749760 \h </w:instrText>
          </w:r>
          <w:r>
            <w:fldChar w:fldCharType="separate"/>
          </w:r>
          <w:r>
            <w:t>10</w:t>
          </w:r>
          <w:r>
            <w:fldChar w:fldCharType="end"/>
          </w:r>
          <w:r>
            <w:fldChar w:fldCharType="end"/>
          </w:r>
        </w:p>
        <w:p>
          <w:pPr>
            <w:pStyle w:val="15"/>
            <w:tabs>
              <w:tab w:val="left" w:pos="440"/>
              <w:tab w:val="right" w:leader="dot" w:pos="9016"/>
            </w:tabs>
            <w:rPr>
              <w:rFonts w:asciiTheme="minorHAnsi" w:hAnsiTheme="minorHAnsi" w:eastAsiaTheme="minorEastAsia"/>
              <w:sz w:val="22"/>
              <w:lang w:eastAsia="en-GB"/>
            </w:rPr>
          </w:pPr>
          <w:r>
            <w:fldChar w:fldCharType="begin"/>
          </w:r>
          <w:r>
            <w:instrText xml:space="preserve"> HYPERLINK \l "_Toc1749761" </w:instrText>
          </w:r>
          <w:r>
            <w:fldChar w:fldCharType="separate"/>
          </w:r>
          <w:r>
            <w:rPr>
              <w:rStyle w:val="19"/>
            </w:rPr>
            <w:t>3</w:t>
          </w:r>
          <w:r>
            <w:rPr>
              <w:rFonts w:asciiTheme="minorHAnsi" w:hAnsiTheme="minorHAnsi" w:eastAsiaTheme="minorEastAsia"/>
              <w:sz w:val="22"/>
              <w:lang w:eastAsia="en-GB"/>
            </w:rPr>
            <w:tab/>
          </w:r>
          <w:r>
            <w:rPr>
              <w:rStyle w:val="19"/>
            </w:rPr>
            <w:t>Recommendations</w:t>
          </w:r>
          <w:r>
            <w:tab/>
          </w:r>
          <w:r>
            <w:fldChar w:fldCharType="begin"/>
          </w:r>
          <w:r>
            <w:instrText xml:space="preserve"> PAGEREF _Toc1749761 \h </w:instrText>
          </w:r>
          <w:r>
            <w:fldChar w:fldCharType="separate"/>
          </w:r>
          <w:r>
            <w:t>12</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"_Toc1749762" </w:instrText>
          </w:r>
          <w:r>
            <w:fldChar w:fldCharType="separate"/>
          </w:r>
          <w:r>
            <w:rPr>
              <w:rStyle w:val="19"/>
            </w:rPr>
            <w:t>3.1</w:t>
          </w:r>
          <w:r>
            <w:rPr>
              <w:rFonts w:asciiTheme="minorHAnsi" w:hAnsiTheme="minorHAnsi" w:eastAsiaTheme="minorEastAsia"/>
              <w:sz w:val="22"/>
              <w:lang w:eastAsia="en-GB"/>
            </w:rPr>
            <w:tab/>
          </w:r>
          <w:r>
            <w:rPr>
              <w:rStyle w:val="19"/>
            </w:rPr>
            <w:t>Entry Mode</w:t>
          </w:r>
          <w:r>
            <w:tab/>
          </w:r>
          <w:r>
            <w:fldChar w:fldCharType="begin"/>
          </w:r>
          <w:r>
            <w:instrText xml:space="preserve"> PAGEREF _Toc1749762 \h </w:instrText>
          </w:r>
          <w:r>
            <w:fldChar w:fldCharType="separate"/>
          </w:r>
          <w:r>
            <w:t>12</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"_Toc1749763" </w:instrText>
          </w:r>
          <w:r>
            <w:fldChar w:fldCharType="separate"/>
          </w:r>
          <w:r>
            <w:rPr>
              <w:rStyle w:val="19"/>
            </w:rPr>
            <w:t>3.2</w:t>
          </w:r>
          <w:r>
            <w:rPr>
              <w:rFonts w:asciiTheme="minorHAnsi" w:hAnsiTheme="minorHAnsi" w:eastAsiaTheme="minorEastAsia"/>
              <w:sz w:val="22"/>
              <w:lang w:eastAsia="en-GB"/>
            </w:rPr>
            <w:tab/>
          </w:r>
          <w:r>
            <w:rPr>
              <w:rStyle w:val="19"/>
            </w:rPr>
            <w:t>China as the Most Viable Market</w:t>
          </w:r>
          <w:r>
            <w:tab/>
          </w:r>
          <w:r>
            <w:fldChar w:fldCharType="begin"/>
          </w:r>
          <w:r>
            <w:instrText xml:space="preserve"> PAGEREF _Toc1749763 \h </w:instrText>
          </w:r>
          <w:r>
            <w:fldChar w:fldCharType="separate"/>
          </w:r>
          <w:r>
            <w:t>12</w:t>
          </w:r>
          <w:r>
            <w:fldChar w:fldCharType="end"/>
          </w:r>
          <w:r>
            <w:fldChar w:fldCharType="end"/>
          </w:r>
        </w:p>
        <w:p>
          <w:pPr>
            <w:pStyle w:val="16"/>
            <w:tabs>
              <w:tab w:val="left" w:pos="880"/>
              <w:tab w:val="right" w:leader="dot" w:pos="9016"/>
            </w:tabs>
            <w:rPr>
              <w:rFonts w:asciiTheme="minorHAnsi" w:hAnsiTheme="minorHAnsi" w:eastAsiaTheme="minorEastAsia"/>
              <w:sz w:val="22"/>
              <w:lang w:eastAsia="en-GB"/>
            </w:rPr>
          </w:pPr>
          <w:r>
            <w:fldChar w:fldCharType="begin"/>
          </w:r>
          <w:r>
            <w:instrText xml:space="preserve"> HYPERLINK \l "_Toc1749764" </w:instrText>
          </w:r>
          <w:r>
            <w:fldChar w:fldCharType="separate"/>
          </w:r>
          <w:r>
            <w:rPr>
              <w:rStyle w:val="19"/>
            </w:rPr>
            <w:t>3.3</w:t>
          </w:r>
          <w:r>
            <w:rPr>
              <w:rFonts w:asciiTheme="minorHAnsi" w:hAnsiTheme="minorHAnsi" w:eastAsiaTheme="minorEastAsia"/>
              <w:sz w:val="22"/>
              <w:lang w:eastAsia="en-GB"/>
            </w:rPr>
            <w:tab/>
          </w:r>
          <w:r>
            <w:rPr>
              <w:rStyle w:val="19"/>
            </w:rPr>
            <w:t>Localise Beer Brands</w:t>
          </w:r>
          <w:r>
            <w:tab/>
          </w:r>
          <w:r>
            <w:fldChar w:fldCharType="begin"/>
          </w:r>
          <w:r>
            <w:instrText xml:space="preserve"> PAGEREF _Toc1749764 \h </w:instrText>
          </w:r>
          <w:r>
            <w:fldChar w:fldCharType="separate"/>
          </w:r>
          <w:r>
            <w:t>13</w:t>
          </w:r>
          <w:r>
            <w:fldChar w:fldCharType="end"/>
          </w:r>
          <w:r>
            <w:fldChar w:fldCharType="end"/>
          </w:r>
        </w:p>
        <w:p>
          <w:pPr>
            <w:pStyle w:val="15"/>
            <w:tabs>
              <w:tab w:val="left" w:pos="440"/>
              <w:tab w:val="right" w:leader="dot" w:pos="9016"/>
            </w:tabs>
            <w:rPr>
              <w:rFonts w:asciiTheme="minorHAnsi" w:hAnsiTheme="minorHAnsi" w:eastAsiaTheme="minorEastAsia"/>
              <w:sz w:val="22"/>
              <w:lang w:eastAsia="en-GB"/>
            </w:rPr>
          </w:pPr>
          <w:r>
            <w:fldChar w:fldCharType="begin"/>
          </w:r>
          <w:r>
            <w:instrText xml:space="preserve"> HYPERLINK \l "_Toc1749765" </w:instrText>
          </w:r>
          <w:r>
            <w:fldChar w:fldCharType="separate"/>
          </w:r>
          <w:r>
            <w:rPr>
              <w:rStyle w:val="19"/>
              <w:rFonts w:cs="Times New Roman"/>
            </w:rPr>
            <w:t>4</w:t>
          </w:r>
          <w:r>
            <w:rPr>
              <w:rFonts w:asciiTheme="minorHAnsi" w:hAnsiTheme="minorHAnsi" w:eastAsiaTheme="minorEastAsia"/>
              <w:sz w:val="22"/>
              <w:lang w:eastAsia="en-GB"/>
            </w:rPr>
            <w:tab/>
          </w:r>
          <w:r>
            <w:rPr>
              <w:rStyle w:val="19"/>
              <w:rFonts w:cs="Times New Roman"/>
            </w:rPr>
            <w:t>Conclusion</w:t>
          </w:r>
          <w:r>
            <w:tab/>
          </w:r>
          <w:r>
            <w:fldChar w:fldCharType="begin"/>
          </w:r>
          <w:r>
            <w:instrText xml:space="preserve"> PAGEREF _Toc1749765 \h </w:instrText>
          </w:r>
          <w:r>
            <w:fldChar w:fldCharType="separate"/>
          </w:r>
          <w:r>
            <w:t>13</w:t>
          </w:r>
          <w:r>
            <w:fldChar w:fldCharType="end"/>
          </w:r>
          <w:r>
            <w:fldChar w:fldCharType="end"/>
          </w:r>
        </w:p>
        <w:p>
          <w:pPr>
            <w:pStyle w:val="15"/>
            <w:tabs>
              <w:tab w:val="right" w:leader="dot" w:pos="9016"/>
            </w:tabs>
            <w:rPr>
              <w:rFonts w:asciiTheme="minorHAnsi" w:hAnsiTheme="minorHAnsi" w:eastAsiaTheme="minorEastAsia"/>
              <w:sz w:val="22"/>
              <w:lang w:eastAsia="en-GB"/>
            </w:rPr>
          </w:pPr>
          <w:r>
            <w:fldChar w:fldCharType="begin"/>
          </w:r>
          <w:r>
            <w:instrText xml:space="preserve"> HYPERLINK \l "_Toc1749766" </w:instrText>
          </w:r>
          <w:r>
            <w:fldChar w:fldCharType="separate"/>
          </w:r>
          <w:r>
            <w:rPr>
              <w:rStyle w:val="19"/>
              <w:rFonts w:cs="Times New Roman"/>
            </w:rPr>
            <w:t>List of References</w:t>
          </w:r>
          <w:r>
            <w:tab/>
          </w:r>
          <w:r>
            <w:fldChar w:fldCharType="begin"/>
          </w:r>
          <w:r>
            <w:instrText xml:space="preserve"> PAGEREF _Toc1749766 \h </w:instrText>
          </w:r>
          <w:r>
            <w:fldChar w:fldCharType="separate"/>
          </w:r>
          <w:r>
            <w:t>14</w:t>
          </w:r>
          <w:r>
            <w:fldChar w:fldCharType="end"/>
          </w:r>
          <w:r>
            <w:fldChar w:fldCharType="end"/>
          </w:r>
        </w:p>
        <w:p>
          <w:r>
            <w:rPr>
              <w:b/>
              <w:bCs/>
            </w:rPr>
            <w:fldChar w:fldCharType="end"/>
          </w:r>
        </w:p>
      </w:sdtContent>
    </w:sdt>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rPr>
          <w:rFonts w:cs="Times New Roman"/>
          <w:b/>
          <w:szCs w:val="24"/>
        </w:rPr>
      </w:pPr>
    </w:p>
    <w:p>
      <w:pPr>
        <w:spacing w:after="200" w:line="276" w:lineRule="auto"/>
        <w:contextualSpacing w:val="0"/>
        <w:jc w:val="left"/>
        <w:rPr>
          <w:rFonts w:cs="Times New Roman"/>
          <w:b/>
          <w:szCs w:val="24"/>
        </w:rPr>
      </w:pPr>
      <w:r>
        <w:rPr>
          <w:rFonts w:cs="Times New Roman"/>
          <w:b/>
          <w:szCs w:val="24"/>
        </w:rPr>
        <w:br w:type="page"/>
      </w:r>
    </w:p>
    <w:p>
      <w:pPr>
        <w:pStyle w:val="2"/>
      </w:pPr>
      <w:bookmarkStart w:id="1" w:name="_Toc1749742"/>
      <w:r>
        <w:t>Introduction</w:t>
      </w:r>
      <w:bookmarkEnd w:id="1"/>
      <w:r>
        <w:t xml:space="preserve"> </w:t>
      </w:r>
    </w:p>
    <w:p>
      <w:pPr>
        <w:pStyle w:val="3"/>
      </w:pPr>
      <w:bookmarkStart w:id="2" w:name="_Toc1749743"/>
      <w:r>
        <w:t>Background</w:t>
      </w:r>
      <w:bookmarkEnd w:id="2"/>
      <w:r>
        <w:t xml:space="preserve"> </w:t>
      </w:r>
    </w:p>
    <w:p>
      <w:pPr>
        <w:rPr>
          <w:rFonts w:cs="Times New Roman"/>
          <w:szCs w:val="24"/>
        </w:rPr>
      </w:pPr>
      <w:r>
        <w:rPr>
          <w:rFonts w:cs="Times New Roman"/>
          <w:szCs w:val="24"/>
        </w:rPr>
        <w:t>Tomos Watkins is a Wale’s company that specialises in the hand-brewed beverage. This is a family run business that has realised considerable growth in the recent past. The products are brewed at its Swansea production facilities. The type of beers it brewers include cider, bitter, larger, mini kegs and dark beer</w:t>
      </w:r>
      <w:r>
        <w:t xml:space="preserve"> </w:t>
      </w:r>
      <w:r>
        <w:rPr>
          <w:rFonts w:cs="Times New Roman"/>
          <w:szCs w:val="24"/>
        </w:rPr>
        <w:t>(Tomos Watkin, 2019). Tomos Watkins is showing strong growth prospects. Its annual turnover now stands at £10 million and employs 69 people. Having realised success at the domestic front, Tomos Watkins is now contemplating entering international markets</w:t>
      </w:r>
      <w:r>
        <w:t xml:space="preserve">. </w:t>
      </w:r>
      <w:r>
        <w:rPr>
          <w:rFonts w:cs="Times New Roman"/>
          <w:szCs w:val="24"/>
        </w:rPr>
        <w:t>In light of this objective, this report has evaluated international markets worth entering and recommended the most viable destination. The report views the USA and China as the most viable international destination. The report recommends that in the short term, Tomos Watkins should enter China through indirect exporting.</w:t>
      </w:r>
    </w:p>
    <w:p>
      <w:pPr>
        <w:rPr>
          <w:rFonts w:cs="Times New Roman"/>
          <w:szCs w:val="24"/>
        </w:rPr>
      </w:pPr>
    </w:p>
    <w:p>
      <w:pPr>
        <w:pStyle w:val="3"/>
      </w:pPr>
      <w:bookmarkStart w:id="3" w:name="_Toc1749744"/>
      <w:r>
        <w:t>Objectives</w:t>
      </w:r>
      <w:bookmarkEnd w:id="3"/>
      <w:r>
        <w:t xml:space="preserve"> </w:t>
      </w:r>
    </w:p>
    <w:p>
      <w:pPr>
        <w:pStyle w:val="33"/>
        <w:numPr>
          <w:ilvl w:val="0"/>
          <w:numId w:val="3"/>
        </w:numPr>
        <w:rPr>
          <w:rFonts w:cs="Times New Roman"/>
          <w:szCs w:val="24"/>
        </w:rPr>
      </w:pPr>
      <w:r>
        <w:rPr>
          <w:rFonts w:cs="Times New Roman"/>
          <w:szCs w:val="24"/>
        </w:rPr>
        <w:t xml:space="preserve">To identify the most viable market for Tomos Watkins to enter </w:t>
      </w:r>
    </w:p>
    <w:p>
      <w:pPr>
        <w:pStyle w:val="33"/>
        <w:numPr>
          <w:ilvl w:val="0"/>
          <w:numId w:val="3"/>
        </w:numPr>
        <w:rPr>
          <w:rFonts w:cs="Times New Roman"/>
          <w:szCs w:val="24"/>
        </w:rPr>
      </w:pPr>
      <w:r>
        <w:rPr>
          <w:rFonts w:cs="Times New Roman"/>
          <w:szCs w:val="24"/>
        </w:rPr>
        <w:t>To Critically evaluate the various entry options available to Tomos Watkins</w:t>
      </w:r>
    </w:p>
    <w:p>
      <w:pPr>
        <w:pStyle w:val="33"/>
        <w:numPr>
          <w:ilvl w:val="0"/>
          <w:numId w:val="3"/>
        </w:numPr>
        <w:rPr>
          <w:rFonts w:cs="Times New Roman"/>
          <w:szCs w:val="24"/>
        </w:rPr>
      </w:pPr>
      <w:r>
        <w:rPr>
          <w:rFonts w:cs="Times New Roman"/>
          <w:szCs w:val="24"/>
        </w:rPr>
        <w:t>To select the most appropriate entry mode into this market</w:t>
      </w:r>
    </w:p>
    <w:p>
      <w:pPr>
        <w:pStyle w:val="33"/>
        <w:numPr>
          <w:ilvl w:val="0"/>
          <w:numId w:val="3"/>
        </w:numPr>
        <w:rPr>
          <w:rFonts w:cs="Times New Roman"/>
          <w:szCs w:val="24"/>
        </w:rPr>
      </w:pPr>
      <w:r>
        <w:rPr>
          <w:rFonts w:cs="Times New Roman"/>
          <w:szCs w:val="24"/>
        </w:rPr>
        <w:t xml:space="preserve">To discuss potential barriers Tomos Watkins will face in this new market </w:t>
      </w:r>
    </w:p>
    <w:p>
      <w:pPr>
        <w:rPr>
          <w:rFonts w:cs="Times New Roman"/>
          <w:szCs w:val="24"/>
        </w:rPr>
      </w:pPr>
    </w:p>
    <w:p>
      <w:pPr>
        <w:pStyle w:val="2"/>
      </w:pPr>
      <w:bookmarkStart w:id="4" w:name="_Toc1749745"/>
      <w:r>
        <w:t>Main Findings</w:t>
      </w:r>
      <w:bookmarkEnd w:id="4"/>
      <w:r>
        <w:t xml:space="preserve"> </w:t>
      </w:r>
    </w:p>
    <w:p>
      <w:pPr>
        <w:pStyle w:val="3"/>
      </w:pPr>
      <w:bookmarkStart w:id="5" w:name="_Toc1749746"/>
      <w:r>
        <w:t>Country Analysis: USA and China</w:t>
      </w:r>
      <w:bookmarkEnd w:id="5"/>
      <w:r>
        <w:t xml:space="preserve"> </w:t>
      </w:r>
    </w:p>
    <w:p>
      <w:pPr>
        <w:pStyle w:val="4"/>
      </w:pPr>
      <w:bookmarkStart w:id="6" w:name="_Toc1749747"/>
      <w:r>
        <w:t>Political Factors</w:t>
      </w:r>
      <w:bookmarkEnd w:id="6"/>
      <w:r>
        <w:t xml:space="preserve"> </w:t>
      </w:r>
    </w:p>
    <w:p>
      <w:pPr>
        <w:rPr>
          <w:rFonts w:cs="Times New Roman"/>
          <w:szCs w:val="24"/>
        </w:rPr>
      </w:pPr>
      <w:r>
        <w:rPr>
          <w:rFonts w:cs="Times New Roman"/>
          <w:szCs w:val="24"/>
        </w:rPr>
        <w:t>The USA has recently revised its corporate tax downwards. The corporate tax was reduced from 35% to 21% which will help Tomos Watkins save considerable revenue (Gittleson, 2018). China has a corporate tax of about 25% (PwC, 2018). America’s political system is transparent but China’s system is described as risky and highly controlled by the communist party. The EU is engaged in a trade war with the USA (BBC News, 2018). Although alcoholic drinks are not targeted by Trump, he might target them in the future. In China, the beverages segment is not restricted by the government. The openness improves market access. The EU is China’s biggest trading partner (Bremmer, 2018). This is positive as the harmonized trade partnerships eases movement of goods. The USA is isolating its trade partners but China is slowly improving relations with many nations.</w:t>
      </w:r>
    </w:p>
    <w:p>
      <w:pPr>
        <w:rPr>
          <w:rFonts w:cs="Times New Roman"/>
          <w:szCs w:val="24"/>
        </w:rPr>
      </w:pPr>
    </w:p>
    <w:p>
      <w:pPr>
        <w:pStyle w:val="4"/>
      </w:pPr>
      <w:bookmarkStart w:id="7" w:name="_Toc1749748"/>
      <w:r>
        <w:t>Economic Factors</w:t>
      </w:r>
      <w:bookmarkEnd w:id="7"/>
    </w:p>
    <w:p>
      <w:pPr>
        <w:rPr>
          <w:rFonts w:cs="Times New Roman"/>
          <w:szCs w:val="24"/>
        </w:rPr>
      </w:pPr>
      <w:r>
        <w:rPr>
          <w:rFonts w:cs="Times New Roman"/>
          <w:szCs w:val="24"/>
        </w:rPr>
        <w:t>Both countries have huge GDPs. They have very valuable markets. Recently, the USA’s Federal Reserve increased the interest rate which may alter the cost of credit and increase inflation (Cox, 2018). China has not hiked its interest rates (Shen, 2018). China’s tariff war with the USA will lead to price increases at the domestic front (Tabeta and Harada, 2018). American consumers equally face prospects of price increases due to the trade war (BBC News, 2018). China’s is experiencing an economic slowdown while the USA is not facing such a threat. China has been accused of devaluating the Yuan (Amadeo, 2018). The devaluation favours exports. The devaluation will make Tomos’ Watkins imports to China costly.</w:t>
      </w:r>
    </w:p>
    <w:p>
      <w:pPr>
        <w:rPr>
          <w:rFonts w:cs="Times New Roman"/>
          <w:szCs w:val="24"/>
        </w:rPr>
      </w:pPr>
    </w:p>
    <w:p>
      <w:pPr>
        <w:pStyle w:val="4"/>
      </w:pPr>
      <w:bookmarkStart w:id="8" w:name="_Toc1749749"/>
      <w:r>
        <w:t>Social</w:t>
      </w:r>
      <w:bookmarkEnd w:id="8"/>
      <w:r>
        <w:t xml:space="preserve"> </w:t>
      </w:r>
    </w:p>
    <w:p>
      <w:pPr>
        <w:rPr>
          <w:rFonts w:cs="Times New Roman"/>
          <w:szCs w:val="24"/>
        </w:rPr>
      </w:pPr>
      <w:r>
        <w:rPr>
          <w:rFonts w:cs="Times New Roman"/>
          <w:szCs w:val="24"/>
        </w:rPr>
        <w:t>China has a large demographic landscape compared to the USA. China has a population of more than 1.3 billion whereas America’s population is less than 400 million people (World Ometers Info, 2019). China has a large market to segment compared to the USA. The American market is approaching saturation given that consumers know their tastes and preferences. The average Chinese consumer is still developing his or her tastes and preferences (Morris, 2018). Unemployment in the USA has been on the decline which means most people can afford the beverage products. Unemployment in China is high at 6% which is a concern for product affordability (Cheng, 2019). Americans are more health-consciousness compared to the Chinese according to a Nielsen study (Nielsen, 2015). Both countries have a large middle class. Millennial generation in the USA is consuming less alcohol compared to other generations (Pellechia, 2017). In contrast, more of Chinese youth are consuming alcohol (Ge, 2018). China has a future market.</w:t>
      </w:r>
    </w:p>
    <w:p>
      <w:pPr>
        <w:rPr>
          <w:rFonts w:cs="Times New Roman"/>
          <w:szCs w:val="24"/>
        </w:rPr>
      </w:pPr>
    </w:p>
    <w:p>
      <w:pPr>
        <w:pStyle w:val="4"/>
      </w:pPr>
      <w:bookmarkStart w:id="9" w:name="_Toc1749750"/>
      <w:r>
        <w:t>Technology</w:t>
      </w:r>
      <w:bookmarkEnd w:id="9"/>
      <w:r>
        <w:t xml:space="preserve"> </w:t>
      </w:r>
    </w:p>
    <w:p>
      <w:pPr>
        <w:rPr>
          <w:rFonts w:cs="Times New Roman"/>
          <w:szCs w:val="24"/>
        </w:rPr>
      </w:pPr>
      <w:r>
        <w:rPr>
          <w:rFonts w:cs="Times New Roman"/>
          <w:szCs w:val="24"/>
        </w:rPr>
        <w:t xml:space="preserve">Both countries are technologically gifted. They have effective and reliable production and distribution systems. The rail, road and air transport systems are highly developed. The effectiveness associated with better transport network lowers the cost of distribution. Furthermore, their state of innovation is high. Both are leaders in e-commerce. E-Commerce will ease the distribution of goods across the country. However, the USA is more innovative than China. In China, Tomos Watkins trade secrets will likely be imitated by competitors. This is a threat to its differentiation. </w:t>
      </w:r>
    </w:p>
    <w:p>
      <w:pPr>
        <w:rPr>
          <w:rFonts w:cs="Times New Roman"/>
          <w:szCs w:val="24"/>
        </w:rPr>
      </w:pPr>
    </w:p>
    <w:p>
      <w:pPr>
        <w:pStyle w:val="4"/>
      </w:pPr>
      <w:bookmarkStart w:id="10" w:name="_Toc1749751"/>
      <w:r>
        <w:t>Legal</w:t>
      </w:r>
      <w:bookmarkEnd w:id="10"/>
      <w:r>
        <w:t xml:space="preserve"> </w:t>
      </w:r>
    </w:p>
    <w:p>
      <w:pPr>
        <w:rPr>
          <w:rFonts w:cs="Times New Roman"/>
          <w:szCs w:val="24"/>
        </w:rPr>
      </w:pPr>
      <w:r>
        <w:rPr>
          <w:rFonts w:cs="Times New Roman"/>
          <w:szCs w:val="24"/>
        </w:rPr>
        <w:t>The USA has a fair justice system. China’s legal system is influenced by the policies of the communist party. Equal opportunities laws in the USA are vigorously enforced than in the USA</w:t>
      </w:r>
      <w:r>
        <w:t xml:space="preserve"> (</w:t>
      </w:r>
      <w:r>
        <w:rPr>
          <w:rFonts w:cs="Times New Roman"/>
          <w:szCs w:val="24"/>
        </w:rPr>
        <w:t xml:space="preserve">Tao, 2015). Consumer laws in the USA are stricter compared to China. </w:t>
      </w:r>
    </w:p>
    <w:p>
      <w:pPr>
        <w:rPr>
          <w:rFonts w:cs="Times New Roman"/>
          <w:szCs w:val="24"/>
        </w:rPr>
      </w:pPr>
    </w:p>
    <w:p>
      <w:pPr>
        <w:pStyle w:val="4"/>
      </w:pPr>
      <w:bookmarkStart w:id="11" w:name="_Toc1749752"/>
      <w:r>
        <w:t>Environmental</w:t>
      </w:r>
      <w:bookmarkEnd w:id="11"/>
      <w:r>
        <w:t xml:space="preserve"> </w:t>
      </w:r>
    </w:p>
    <w:p>
      <w:pPr>
        <w:rPr>
          <w:rFonts w:cs="Times New Roman"/>
          <w:szCs w:val="24"/>
        </w:rPr>
      </w:pPr>
      <w:r>
        <w:rPr>
          <w:rFonts w:cs="Times New Roman"/>
          <w:szCs w:val="24"/>
        </w:rPr>
        <w:t>Both countries have strict environmental laws. Both are increasingly penalizing noncompliance firms. Still, the USA is stricter on its environmental regulations</w:t>
      </w:r>
      <w:r>
        <w:t xml:space="preserve"> (</w:t>
      </w:r>
      <w:r>
        <w:rPr>
          <w:rFonts w:cs="Times New Roman"/>
          <w:szCs w:val="24"/>
        </w:rPr>
        <w:t>McCright, Xiao, and Dunlap, 2014). Consumers in both countries want healthy products.</w:t>
      </w:r>
    </w:p>
    <w:p>
      <w:pPr>
        <w:rPr>
          <w:rFonts w:cs="Times New Roman"/>
          <w:szCs w:val="24"/>
        </w:rPr>
      </w:pPr>
    </w:p>
    <w:p>
      <w:pPr>
        <w:rPr>
          <w:rFonts w:cs="Times New Roman"/>
          <w:szCs w:val="24"/>
        </w:rPr>
      </w:pPr>
    </w:p>
    <w:p>
      <w:pPr>
        <w:pStyle w:val="3"/>
      </w:pPr>
      <w:bookmarkStart w:id="12" w:name="_Toc1749753"/>
      <w:r>
        <w:t>Possible Entry Modes</w:t>
      </w:r>
      <w:bookmarkEnd w:id="12"/>
    </w:p>
    <w:p>
      <w:pPr>
        <w:pStyle w:val="4"/>
      </w:pPr>
      <w:r>
        <w:t xml:space="preserve"> </w:t>
      </w:r>
      <w:bookmarkStart w:id="13" w:name="_Toc1749754"/>
      <w:r>
        <w:t>USA: Direct Export</w:t>
      </w:r>
      <w:bookmarkEnd w:id="13"/>
      <w:r>
        <w:t xml:space="preserve"> </w:t>
      </w:r>
    </w:p>
    <w:p>
      <w:pPr>
        <w:rPr>
          <w:rFonts w:cs="Times New Roman"/>
          <w:szCs w:val="24"/>
        </w:rPr>
      </w:pPr>
      <w:r>
        <w:rPr>
          <w:rFonts w:cs="Times New Roman"/>
          <w:szCs w:val="24"/>
        </w:rPr>
        <w:t>The USA has more entry options compared to China. Direct exporting is allowed in the USA. Direct selling is the act of selling products directly to the end consumer without involving intermediaries (Fernández‐Olmos, and Díez‐Vial, 2014). Tomos Watkins will have to establish own systems and processes in the country. This entry mode will give the new entrant more control over its merchandise which directly translates to more revenue (Almodóvar, Saiz-Briones, and Silverman, 2014). This approach will enable Tomos Watkins to learn more about its consumer base. This is an advantage as the new entrant has an opportunity to manage its customer relationships more effectively. However, Tomos Watkins will take longer to understand its customer profile. Additionally, the new entrant will bear all risks and incur high administrative costs.</w:t>
      </w:r>
    </w:p>
    <w:p>
      <w:pPr>
        <w:rPr>
          <w:rFonts w:cs="Times New Roman"/>
          <w:szCs w:val="24"/>
        </w:rPr>
      </w:pPr>
    </w:p>
    <w:p>
      <w:pPr>
        <w:pStyle w:val="4"/>
      </w:pPr>
      <w:bookmarkStart w:id="14" w:name="_Toc1749755"/>
      <w:r>
        <w:t>USA: Mergers and Acquisitions</w:t>
      </w:r>
      <w:bookmarkEnd w:id="14"/>
      <w:r>
        <w:t xml:space="preserve"> </w:t>
      </w:r>
    </w:p>
    <w:p>
      <w:pPr>
        <w:rPr>
          <w:rFonts w:cs="Times New Roman"/>
          <w:szCs w:val="24"/>
        </w:rPr>
      </w:pPr>
      <w:r>
        <w:rPr>
          <w:rFonts w:cs="Times New Roman"/>
          <w:szCs w:val="24"/>
        </w:rPr>
        <w:t>Tomos Watkins can enter the USA through mergers and acquisitions M&amp;A. Tomos Watkins can acquire or merge with another beverage firm in the USA. M&amp;A generates more value and creates a larger resource portfolio (Ferreira, Santos, de Almeida, and Reis, 2014). To Tomos Watkins, it is a cost-effective market expansion strategy. M&amp;A is another way of eliminating competition. However, it is never easy combining the different organisational cultures. Furthermore, Tomos Watkins may be exposed to new debt obligations (Lebedev, Peng, Xie, and Stevens, 2015). The decision-making model is extended as more people are involved in deliberating issues.</w:t>
      </w:r>
    </w:p>
    <w:p>
      <w:pPr>
        <w:rPr>
          <w:rFonts w:cs="Times New Roman"/>
          <w:szCs w:val="24"/>
        </w:rPr>
      </w:pPr>
    </w:p>
    <w:p>
      <w:pPr>
        <w:pStyle w:val="4"/>
        <w:rPr>
          <w:szCs w:val="26"/>
        </w:rPr>
      </w:pPr>
      <w:bookmarkStart w:id="15" w:name="_Toc1749756"/>
      <w:r>
        <w:t>China: Indirect Exporting</w:t>
      </w:r>
      <w:bookmarkEnd w:id="15"/>
      <w:r>
        <w:t xml:space="preserve"> </w:t>
      </w:r>
    </w:p>
    <w:p>
      <w:pPr>
        <w:rPr>
          <w:rFonts w:cs="Times New Roman"/>
          <w:szCs w:val="24"/>
        </w:rPr>
      </w:pPr>
      <w:r>
        <w:rPr>
          <w:rFonts w:cs="Times New Roman"/>
          <w:szCs w:val="24"/>
        </w:rPr>
        <w:t xml:space="preserve">Entry modes in China are limited. However, Tomos Watkins can rely on indirect exporting. Indirect exporting involves the services of a distributor who is usually located in the foreign market (Fernández‐Olmos, and Díez‐Vial, 2014). Tomos Watkins will rely on a localized agent to market its products. As the principal, Tomos Watkins will have greater control over its products (Bena and Li, 2014). The agent will advise the new entrant on the most profitable products to launch. In essence, the local partner will provide technical support. Another benefit is that Tomos Watkins will have greater control over the methods of marketing. However, controlling the local distributor will be a challenge. Evaluating its performance is an extra challenge. Conflict of interest may arise while maintaining sufficient stock inventory is a daunting task.  </w:t>
      </w:r>
    </w:p>
    <w:p>
      <w:pPr>
        <w:rPr>
          <w:rFonts w:cs="Times New Roman"/>
          <w:szCs w:val="24"/>
        </w:rPr>
      </w:pPr>
    </w:p>
    <w:p>
      <w:pPr>
        <w:pStyle w:val="4"/>
      </w:pPr>
      <w:bookmarkStart w:id="16" w:name="_Toc1749757"/>
      <w:r>
        <w:t>China: Joint Venture</w:t>
      </w:r>
      <w:bookmarkEnd w:id="16"/>
      <w:r>
        <w:t xml:space="preserve"> </w:t>
      </w:r>
    </w:p>
    <w:p>
      <w:pPr>
        <w:rPr>
          <w:rFonts w:cs="Times New Roman"/>
          <w:szCs w:val="24"/>
        </w:rPr>
      </w:pPr>
      <w:r>
        <w:rPr>
          <w:rFonts w:cs="Times New Roman"/>
          <w:szCs w:val="24"/>
        </w:rPr>
        <w:t>A joint venture (JV) is still viable. A JV will give Tomos Watkins access to more resources and capabilities. Risks are shared while at the same time giving Tomos Watkins a ready market (Sun and Lee, 2013). Furthermore, Tomos Watkins will have access to working distribution systems. Additionally, the JV is a tactic of reducing liabilities and obligations (Killing, 2013). The performance of the JV may be affected by ineffective communication and varying objectives. If the level of expertise and resource capacity differs significantly, problems may arise. The different cultures and management styles can affect integration and cooperation.</w:t>
      </w:r>
    </w:p>
    <w:p>
      <w:pPr>
        <w:rPr>
          <w:rFonts w:cs="Times New Roman"/>
          <w:szCs w:val="24"/>
        </w:rPr>
      </w:pPr>
    </w:p>
    <w:p>
      <w:pPr>
        <w:pStyle w:val="3"/>
      </w:pPr>
      <w:bookmarkStart w:id="17" w:name="_Toc1749758"/>
      <w:r>
        <w:t>The Particular Nuances between the USA and China</w:t>
      </w:r>
      <w:bookmarkEnd w:id="17"/>
      <w:r>
        <w:t xml:space="preserve"> </w:t>
      </w:r>
    </w:p>
    <w:p>
      <w:pPr>
        <w:pStyle w:val="4"/>
      </w:pPr>
      <w:bookmarkStart w:id="18" w:name="_Toc1749759"/>
      <w:r>
        <w:t>Availability of Substitutes</w:t>
      </w:r>
      <w:bookmarkEnd w:id="18"/>
      <w:r>
        <w:t xml:space="preserve"> </w:t>
      </w:r>
    </w:p>
    <w:p>
      <w:pPr>
        <w:rPr>
          <w:rFonts w:cs="Times New Roman"/>
          <w:szCs w:val="24"/>
        </w:rPr>
      </w:pPr>
      <w:r>
        <w:rPr>
          <w:rFonts w:cs="Times New Roman"/>
          <w:szCs w:val="24"/>
        </w:rPr>
        <w:t>Both countries have a high number of brands. The threat of substitutes in both countries is high. Alternatives brands should be considered as reliable alternatives. In China, alternative brands are the products provided by Tsingtao Brewery, Budweiser, Yanjing, Carlsberg and many more (Chen, 2017). Although the brands are differentiated, consumers have access to other quality brands. The low switching costs make this threat more potent. In the USA, the threat of substitutes is very high. The countless number of brands offers consumers space to purchase other high utility brands (Stoller, 2018). The implication for such a high number of brands is that no particular firm can control prices or other industry practices.</w:t>
      </w:r>
    </w:p>
    <w:p>
      <w:pPr>
        <w:rPr>
          <w:rFonts w:cs="Times New Roman"/>
          <w:szCs w:val="24"/>
        </w:rPr>
      </w:pPr>
    </w:p>
    <w:p>
      <w:pPr>
        <w:pStyle w:val="4"/>
      </w:pPr>
      <w:bookmarkStart w:id="19" w:name="_Toc1749760"/>
      <w:r>
        <w:t>Brand Preferences</w:t>
      </w:r>
      <w:bookmarkEnd w:id="19"/>
      <w:r>
        <w:t xml:space="preserve"> </w:t>
      </w:r>
    </w:p>
    <w:p>
      <w:pPr>
        <w:rPr>
          <w:rFonts w:cs="Times New Roman"/>
          <w:szCs w:val="24"/>
        </w:rPr>
      </w:pPr>
      <w:r>
        <w:rPr>
          <w:rFonts w:cs="Times New Roman"/>
          <w:szCs w:val="24"/>
        </w:rPr>
        <w:t>Beers are the most popular and in-demand alcoholic drink. In 2017, consumers bought more than 208 million barrels of beer</w:t>
      </w:r>
      <w:r>
        <w:t xml:space="preserve"> </w:t>
      </w:r>
      <w:r>
        <w:rPr>
          <w:rFonts w:cs="Times New Roman"/>
          <w:szCs w:val="24"/>
        </w:rPr>
        <w:t xml:space="preserve">(Harrington, 2018). Bud light was the most popular brand, followed by Budweiser. However, the beer market in America is changing drastically. Traditional beer sellers are losing their market share. This shift has been occasioned by the millennial transition towards Wines and mixed drinks. Another change is that Americans are developing taste for imported beer. For instance, Mexican brands such as Modelo and Corona are becoming popular (Harrington, 2018). In sum, Americans are shifting away from traditional beers. Secondly, imported beer is gaining traction and wines and mixed drinks have replaced traditional beers. The illustration below shows the changes in the American beer market. </w:t>
      </w:r>
    </w:p>
    <w:p>
      <w:pPr>
        <w:jc w:val="center"/>
        <w:rPr>
          <w:rFonts w:cs="Times New Roman"/>
          <w:szCs w:val="24"/>
        </w:rPr>
      </w:pPr>
      <w:r>
        <w:rPr>
          <w:lang w:val="en-US"/>
        </w:rPr>
        <w:drawing>
          <wp:inline distT="0" distB="0" distL="0" distR="0">
            <wp:extent cx="4772025" cy="2352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4772025" cy="2352675"/>
                    </a:xfrm>
                    <a:prstGeom prst="rect">
                      <a:avLst/>
                    </a:prstGeom>
                  </pic:spPr>
                </pic:pic>
              </a:graphicData>
            </a:graphic>
          </wp:inline>
        </w:drawing>
      </w:r>
    </w:p>
    <w:p>
      <w:pPr>
        <w:jc w:val="center"/>
        <w:rPr>
          <w:rFonts w:cs="Times New Roman"/>
          <w:szCs w:val="24"/>
        </w:rPr>
      </w:pPr>
      <w:r>
        <w:rPr>
          <w:rFonts w:cs="Times New Roman"/>
          <w:szCs w:val="24"/>
        </w:rPr>
        <w:t>Illustration 1: USA Beer Outlook</w:t>
      </w:r>
      <w:r>
        <w:t xml:space="preserve"> </w:t>
      </w:r>
      <w:r>
        <w:rPr>
          <w:rFonts w:cs="Times New Roman"/>
          <w:szCs w:val="24"/>
        </w:rPr>
        <w:t>(Sirrine, 2018)</w:t>
      </w:r>
    </w:p>
    <w:p>
      <w:pPr>
        <w:rPr>
          <w:rFonts w:cs="Times New Roman"/>
          <w:szCs w:val="24"/>
        </w:rPr>
      </w:pPr>
      <w:r>
        <w:rPr>
          <w:rFonts w:cs="Times New Roman"/>
          <w:szCs w:val="24"/>
        </w:rPr>
        <w:t>As shown above, the demand for Craft beer increased by 5% while the market for imported beer grew by 3.2%. The illustration further shows that the beer market declined by 1.2%</w:t>
      </w:r>
      <w:r>
        <w:t xml:space="preserve"> </w:t>
      </w:r>
      <w:r>
        <w:rPr>
          <w:rFonts w:cs="Times New Roman"/>
          <w:szCs w:val="24"/>
        </w:rPr>
        <w:t xml:space="preserve">(Sirrine, 2018). On the other hand, in China, competition in the beverage category is stiff and saturated. However, craft and wheat beers have good growth prospects (Zegler, 2018). Branded and imported beers are very popular among locals (Chen, 2017). America is the lead exporter of beer to China. In China, local brewers are still very popular. The illustration below indicates that the Chinese beer market has room for growth. </w:t>
      </w:r>
    </w:p>
    <w:p>
      <w:pPr>
        <w:jc w:val="center"/>
        <w:rPr>
          <w:rFonts w:cs="Times New Roman"/>
          <w:szCs w:val="24"/>
        </w:rPr>
      </w:pPr>
      <w:r>
        <w:rPr>
          <w:lang w:val="en-US"/>
        </w:rPr>
        <w:drawing>
          <wp:inline distT="0" distB="0" distL="0" distR="0">
            <wp:extent cx="2486025" cy="3209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stretch>
                      <a:fillRect/>
                    </a:stretch>
                  </pic:blipFill>
                  <pic:spPr>
                    <a:xfrm>
                      <a:off x="0" y="0"/>
                      <a:ext cx="2486025" cy="3209925"/>
                    </a:xfrm>
                    <a:prstGeom prst="rect">
                      <a:avLst/>
                    </a:prstGeom>
                  </pic:spPr>
                </pic:pic>
              </a:graphicData>
            </a:graphic>
          </wp:inline>
        </w:drawing>
      </w:r>
    </w:p>
    <w:p>
      <w:pPr>
        <w:jc w:val="center"/>
        <w:rPr>
          <w:rFonts w:cs="Times New Roman"/>
          <w:szCs w:val="24"/>
        </w:rPr>
      </w:pPr>
      <w:r>
        <w:rPr>
          <w:rFonts w:cs="Times New Roman"/>
          <w:szCs w:val="24"/>
        </w:rPr>
        <w:t>Illustration 1: China’s Beer Market</w:t>
      </w:r>
      <w:r>
        <w:t xml:space="preserve"> </w:t>
      </w:r>
      <w:r>
        <w:rPr>
          <w:rFonts w:cs="Times New Roman"/>
          <w:szCs w:val="24"/>
        </w:rPr>
        <w:t>(Harashima, 2018)</w:t>
      </w:r>
    </w:p>
    <w:p>
      <w:pPr>
        <w:rPr>
          <w:rFonts w:cs="Times New Roman"/>
          <w:szCs w:val="24"/>
        </w:rPr>
      </w:pPr>
      <w:r>
        <w:rPr>
          <w:rFonts w:cs="Times New Roman"/>
          <w:szCs w:val="24"/>
        </w:rPr>
        <w:t xml:space="preserve">As shown above, ‘other’ brands dominate 26.7%. In other words, this segment is not dominated by branded segments. Therefore, the branded beers such as Carlsberg and Tsingtao can still expand to this segment. </w:t>
      </w:r>
    </w:p>
    <w:p>
      <w:pPr>
        <w:rPr>
          <w:rFonts w:cs="Times New Roman"/>
          <w:szCs w:val="24"/>
        </w:rPr>
      </w:pPr>
    </w:p>
    <w:p>
      <w:pPr>
        <w:pStyle w:val="2"/>
      </w:pPr>
      <w:bookmarkStart w:id="20" w:name="_Toc1749761"/>
      <w:r>
        <w:t>Recommendations</w:t>
      </w:r>
      <w:bookmarkEnd w:id="20"/>
      <w:r>
        <w:t xml:space="preserve"> </w:t>
      </w:r>
    </w:p>
    <w:p>
      <w:pPr>
        <w:pStyle w:val="3"/>
      </w:pPr>
      <w:bookmarkStart w:id="21" w:name="_Toc1749762"/>
      <w:r>
        <w:t>Entry Mode</w:t>
      </w:r>
      <w:bookmarkEnd w:id="21"/>
      <w:r>
        <w:t xml:space="preserve"> </w:t>
      </w:r>
    </w:p>
    <w:p>
      <w:pPr>
        <w:rPr>
          <w:rFonts w:cs="Times New Roman"/>
          <w:szCs w:val="24"/>
        </w:rPr>
      </w:pPr>
      <w:r>
        <w:rPr>
          <w:rFonts w:cs="Times New Roman"/>
          <w:szCs w:val="24"/>
        </w:rPr>
        <w:t>Indirect exporting is the most appropriate entry mode. This mode is recommended due to a number of factors. The use of the local distributor is a cost-effective method of entering the Chinese market (Fernández‐Olmos, and Díez‐Vial, 2014). China is a vast country. It is inconceivable that Tomos Watkins will establish distribution points across the country. The company should select a local distributor who has sufficient networks across the country. The new entrant does not have to set up costly stores and distribution systems. In this respect, Tomos Watkins will have a presence in key areas with minimal cost obligations. Another justification to use indirect selling is that it gives Tomos Watkins an opportunity to understand the Chinese consumer and other aspects of the local economy. The Hofstede cultural dimension indicates that Wales and China have varied cultural systems (Hofstede Insights, 2019). Using local distributors is a way of compressing the cultural gap. The local distributor will provide Tomos Watkins on the tastes and preferences of the Chinese consumer.</w:t>
      </w:r>
    </w:p>
    <w:p>
      <w:pPr>
        <w:rPr>
          <w:rFonts w:cs="Times New Roman"/>
          <w:szCs w:val="24"/>
        </w:rPr>
      </w:pPr>
    </w:p>
    <w:p>
      <w:pPr>
        <w:pStyle w:val="3"/>
      </w:pPr>
      <w:bookmarkStart w:id="22" w:name="_Toc1749763"/>
      <w:r>
        <w:t>China as the Most Viable Market</w:t>
      </w:r>
      <w:bookmarkEnd w:id="22"/>
    </w:p>
    <w:p>
      <w:pPr>
        <w:rPr>
          <w:rFonts w:cs="Times New Roman"/>
          <w:szCs w:val="24"/>
        </w:rPr>
      </w:pPr>
      <w:r>
        <w:rPr>
          <w:rFonts w:cs="Times New Roman"/>
          <w:szCs w:val="24"/>
        </w:rPr>
        <w:t xml:space="preserve">The analysis shows that China is the most viable market to enter. Its beverages segment is not restricted. Tomos Watkins will face fewer restrictions. The second factor is access to cheap labour and large populations (Froud, Johal, Leaver, and Williams, 2014; World Ometers Info, 2019). That is, China’s demographic segment is more viable compared to that in the USA. Although competition is high, wheat and caste beer categories offer a profitable market to target (Zegler, 2018). The American market is saturated. It is highly competitive and has no room for growth. China’s corporate tax is relatively low. At 25%, China’s corporate tax is still reasonable (PwC, 2018). China’s middle class is expanding, a factor that guarantees a huge future market. The presence of e-commerce sites will ease the distribution of products. America’s millennial generation is consuming less alcohol which may affect market growth (Pellechia, 2017). On the other hand, Chinese affluent millennial generation is “drinking more”. These factors make China the most viable market. </w:t>
      </w:r>
    </w:p>
    <w:p>
      <w:pPr>
        <w:rPr>
          <w:rFonts w:cs="Times New Roman"/>
          <w:szCs w:val="24"/>
        </w:rPr>
      </w:pPr>
    </w:p>
    <w:p>
      <w:pPr>
        <w:pStyle w:val="3"/>
      </w:pPr>
      <w:bookmarkStart w:id="23" w:name="_Toc1749764"/>
      <w:r>
        <w:t>Localise Beer Brands</w:t>
      </w:r>
      <w:bookmarkEnd w:id="23"/>
      <w:r>
        <w:t xml:space="preserve"> </w:t>
      </w:r>
    </w:p>
    <w:p>
      <w:pPr>
        <w:rPr>
          <w:rFonts w:cs="Times New Roman"/>
          <w:szCs w:val="24"/>
        </w:rPr>
      </w:pPr>
      <w:r>
        <w:rPr>
          <w:rFonts w:cs="Times New Roman"/>
          <w:szCs w:val="24"/>
        </w:rPr>
        <w:t>The analysis has shown that Chinese consumers love imported beer.</w:t>
      </w:r>
      <w:r>
        <w:t xml:space="preserve"> Therefore, </w:t>
      </w:r>
      <w:r>
        <w:rPr>
          <w:rFonts w:cs="Times New Roman"/>
          <w:szCs w:val="24"/>
        </w:rPr>
        <w:t xml:space="preserve">Tomos Watkins should directly export the beet to China but the goods have to be localised. It makes more business sense to localise the beers. The justification is that the Chinese still love local tastes. </w:t>
      </w:r>
    </w:p>
    <w:p>
      <w:pPr>
        <w:rPr>
          <w:rFonts w:cs="Times New Roman"/>
          <w:szCs w:val="24"/>
        </w:rPr>
      </w:pPr>
    </w:p>
    <w:p>
      <w:pPr>
        <w:pStyle w:val="2"/>
        <w:rPr>
          <w:rFonts w:cs="Times New Roman"/>
          <w:szCs w:val="24"/>
        </w:rPr>
      </w:pPr>
      <w:bookmarkStart w:id="24" w:name="_Toc1749765"/>
      <w:r>
        <w:rPr>
          <w:rFonts w:cs="Times New Roman"/>
          <w:szCs w:val="24"/>
        </w:rPr>
        <w:t>Conclusion</w:t>
      </w:r>
      <w:bookmarkEnd w:id="24"/>
      <w:r>
        <w:rPr>
          <w:rFonts w:cs="Times New Roman"/>
          <w:szCs w:val="24"/>
        </w:rPr>
        <w:t xml:space="preserve"> </w:t>
      </w:r>
    </w:p>
    <w:p>
      <w:pPr>
        <w:rPr>
          <w:rFonts w:cs="Times New Roman"/>
          <w:szCs w:val="24"/>
        </w:rPr>
      </w:pPr>
      <w:r>
        <w:rPr>
          <w:rFonts w:cs="Times New Roman"/>
          <w:szCs w:val="24"/>
        </w:rPr>
        <w:t xml:space="preserve">This report views the Chinese market as the most viable option. Although the American market is still viable, its market is quickly maturing. Competition is very stiff and the market is declining in size. In contrast, China has viable growth prospects. The market is not yet saturated. Its millennial generation is drinking more, an assurance of a future market. The report has discussed that indirect exporting is the most viable entry mode. This mode will help Tomos Watkins compress the cultural gap and provide a reliable way to understand the Chinese consumer. Indirect exporting is also a cost-effective strategy to enter the Chinese market. </w:t>
      </w:r>
    </w:p>
    <w:p>
      <w:pPr>
        <w:rPr>
          <w:rFonts w:cs="Times New Roman"/>
          <w:szCs w:val="24"/>
        </w:rPr>
      </w:pPr>
      <w:r>
        <w:rPr>
          <w:rFonts w:cs="Times New Roman"/>
          <w:szCs w:val="24"/>
        </w:rPr>
        <w:br w:type="page"/>
      </w:r>
    </w:p>
    <w:p>
      <w:pPr>
        <w:pStyle w:val="2"/>
        <w:numPr>
          <w:ilvl w:val="0"/>
          <w:numId w:val="0"/>
        </w:numPr>
        <w:ind w:left="432" w:hanging="432"/>
        <w:jc w:val="center"/>
        <w:rPr>
          <w:rFonts w:cs="Times New Roman"/>
          <w:szCs w:val="24"/>
        </w:rPr>
      </w:pPr>
      <w:bookmarkStart w:id="25" w:name="_Toc1749766"/>
      <w:r>
        <w:rPr>
          <w:rFonts w:cs="Times New Roman"/>
          <w:szCs w:val="24"/>
        </w:rPr>
        <w:t>List of References</w:t>
      </w:r>
      <w:bookmarkEnd w:id="25"/>
    </w:p>
    <w:p>
      <w:pPr>
        <w:ind w:left="720" w:hanging="720"/>
        <w:rPr>
          <w:rFonts w:cs="Times New Roman"/>
          <w:szCs w:val="24"/>
          <w:shd w:val="clear" w:color="auto" w:fill="FFFFFF"/>
        </w:rPr>
      </w:pPr>
      <w:r>
        <w:rPr>
          <w:rFonts w:cs="Times New Roman"/>
          <w:szCs w:val="24"/>
          <w:shd w:val="clear" w:color="auto" w:fill="FFFFFF"/>
        </w:rPr>
        <w:t>Almodóvar, P., Saiz-Briones, J., and Silverman, B. S. (2014). Learning through foreign market participation: the relative benefits of exporting, importing, and foreign direct investment. </w:t>
      </w:r>
      <w:r>
        <w:rPr>
          <w:rFonts w:cs="Times New Roman"/>
          <w:i/>
          <w:iCs/>
          <w:szCs w:val="24"/>
          <w:shd w:val="clear" w:color="auto" w:fill="FFFFFF"/>
        </w:rPr>
        <w:t>The Journal of Technology Transfer</w:t>
      </w:r>
      <w:r>
        <w:rPr>
          <w:rFonts w:cs="Times New Roman"/>
          <w:szCs w:val="24"/>
          <w:shd w:val="clear" w:color="auto" w:fill="FFFFFF"/>
        </w:rPr>
        <w:t xml:space="preserve">, vol. </w:t>
      </w:r>
      <w:r>
        <w:rPr>
          <w:rFonts w:cs="Times New Roman"/>
          <w:iCs/>
          <w:szCs w:val="24"/>
          <w:shd w:val="clear" w:color="auto" w:fill="FFFFFF"/>
        </w:rPr>
        <w:t>39</w:t>
      </w:r>
      <w:r>
        <w:rPr>
          <w:rFonts w:cs="Times New Roman"/>
          <w:szCs w:val="24"/>
          <w:shd w:val="clear" w:color="auto" w:fill="FFFFFF"/>
        </w:rPr>
        <w:t>, no.6, pp. 915-944.</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Amadeo, K. (2018). </w:t>
      </w:r>
      <w:r>
        <w:rPr>
          <w:rFonts w:eastAsia="Times New Roman" w:cs="Times New Roman"/>
          <w:i/>
          <w:iCs/>
          <w:color w:val="000000"/>
          <w:szCs w:val="24"/>
          <w:lang w:eastAsia="en-GB"/>
        </w:rPr>
        <w:t>China's Hidden Influence on the U.S. Dollar</w:t>
      </w:r>
      <w:r>
        <w:rPr>
          <w:rFonts w:eastAsia="Times New Roman" w:cs="Times New Roman"/>
          <w:color w:val="000000"/>
          <w:szCs w:val="24"/>
          <w:lang w:eastAsia="en-GB"/>
        </w:rPr>
        <w:t>. [online] The Balance. Available at: https://www.thebalance.com/how-does-china-influence-the-u-s-dollar-3970466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BBC News. (2018). </w:t>
      </w:r>
      <w:r>
        <w:rPr>
          <w:rFonts w:eastAsia="Times New Roman" w:cs="Times New Roman"/>
          <w:i/>
          <w:iCs/>
          <w:color w:val="000000"/>
          <w:szCs w:val="24"/>
          <w:lang w:eastAsia="en-GB"/>
        </w:rPr>
        <w:t>China slowdown: Can it avoid a crash?</w:t>
      </w:r>
      <w:r>
        <w:rPr>
          <w:rFonts w:eastAsia="Times New Roman" w:cs="Times New Roman"/>
          <w:color w:val="000000"/>
          <w:szCs w:val="24"/>
          <w:lang w:eastAsia="en-GB"/>
        </w:rPr>
        <w:t>. [online] Available at: https://www.bbc.com/news/av/world-asia-china-35356055/china-economic-slowdown-can-it-avoid-a-crash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BBC News. (2018). </w:t>
      </w:r>
      <w:r>
        <w:rPr>
          <w:rFonts w:eastAsia="Times New Roman" w:cs="Times New Roman"/>
          <w:i/>
          <w:iCs/>
          <w:color w:val="000000"/>
          <w:szCs w:val="24"/>
          <w:lang w:eastAsia="en-GB"/>
        </w:rPr>
        <w:t>EU tariffs on US goods come into force</w:t>
      </w:r>
      <w:r>
        <w:rPr>
          <w:rFonts w:eastAsia="Times New Roman" w:cs="Times New Roman"/>
          <w:color w:val="000000"/>
          <w:szCs w:val="24"/>
          <w:lang w:eastAsia="en-GB"/>
        </w:rPr>
        <w:t>. [online] Available at: https://www.bbc.com/news/business-44567636 [Accessed 20 Feb. 2019].</w:t>
      </w:r>
    </w:p>
    <w:p>
      <w:pPr>
        <w:ind w:left="720" w:hanging="720"/>
        <w:rPr>
          <w:rFonts w:cs="Times New Roman"/>
          <w:szCs w:val="24"/>
          <w:shd w:val="clear" w:color="auto" w:fill="FFFFFF"/>
        </w:rPr>
      </w:pPr>
      <w:r>
        <w:rPr>
          <w:rFonts w:cs="Times New Roman"/>
          <w:szCs w:val="24"/>
          <w:shd w:val="clear" w:color="auto" w:fill="FFFFFF"/>
        </w:rPr>
        <w:t>Bena, J., and Li, K. (2014). Corporate innovations and mergers and acquisitions. </w:t>
      </w:r>
      <w:r>
        <w:rPr>
          <w:rFonts w:cs="Times New Roman"/>
          <w:i/>
          <w:iCs/>
          <w:szCs w:val="24"/>
          <w:shd w:val="clear" w:color="auto" w:fill="FFFFFF"/>
        </w:rPr>
        <w:t>The Journal of Finance</w:t>
      </w:r>
      <w:r>
        <w:rPr>
          <w:rFonts w:cs="Times New Roman"/>
          <w:szCs w:val="24"/>
          <w:shd w:val="clear" w:color="auto" w:fill="FFFFFF"/>
        </w:rPr>
        <w:t xml:space="preserve">, vol. </w:t>
      </w:r>
      <w:r>
        <w:rPr>
          <w:rFonts w:cs="Times New Roman"/>
          <w:iCs/>
          <w:szCs w:val="24"/>
          <w:shd w:val="clear" w:color="auto" w:fill="FFFFFF"/>
        </w:rPr>
        <w:t>69</w:t>
      </w:r>
      <w:r>
        <w:rPr>
          <w:rFonts w:cs="Times New Roman"/>
          <w:szCs w:val="24"/>
          <w:shd w:val="clear" w:color="auto" w:fill="FFFFFF"/>
        </w:rPr>
        <w:t>, no.5, pp. 1923-1960.</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Bremmer, I. (2018). </w:t>
      </w:r>
      <w:r>
        <w:rPr>
          <w:rFonts w:eastAsia="Times New Roman" w:cs="Times New Roman"/>
          <w:i/>
          <w:iCs/>
          <w:color w:val="000000"/>
          <w:szCs w:val="24"/>
          <w:lang w:eastAsia="en-GB"/>
        </w:rPr>
        <w:t>The E.U. Looks to China to Shield Itself From the Fallout of Trump’s Trade War</w:t>
      </w:r>
      <w:r>
        <w:rPr>
          <w:rFonts w:eastAsia="Times New Roman" w:cs="Times New Roman"/>
          <w:color w:val="000000"/>
          <w:szCs w:val="24"/>
          <w:lang w:eastAsia="en-GB"/>
        </w:rPr>
        <w:t>. [online] Time. Available at: http://time.com/5342765/eu-china-trade-war/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Chen, C. (2017). </w:t>
      </w:r>
      <w:r>
        <w:rPr>
          <w:rFonts w:eastAsia="Times New Roman" w:cs="Times New Roman"/>
          <w:i/>
          <w:iCs/>
          <w:color w:val="000000"/>
          <w:szCs w:val="24"/>
          <w:lang w:eastAsia="en-GB"/>
        </w:rPr>
        <w:t>More reasons for investor cheer over beer in China</w:t>
      </w:r>
      <w:r>
        <w:rPr>
          <w:rFonts w:eastAsia="Times New Roman" w:cs="Times New Roman"/>
          <w:color w:val="000000"/>
          <w:szCs w:val="24"/>
          <w:lang w:eastAsia="en-GB"/>
        </w:rPr>
        <w:t>. [online] Business in Vancouver. Available at: https://biv.com/article/2017/03/more-reasons-investor-cheer-over-beer-china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Cheng, E. (2019). </w:t>
      </w:r>
      <w:r>
        <w:rPr>
          <w:rFonts w:eastAsia="Times New Roman" w:cs="Times New Roman"/>
          <w:i/>
          <w:iCs/>
          <w:color w:val="000000"/>
          <w:szCs w:val="24"/>
          <w:lang w:eastAsia="en-GB"/>
        </w:rPr>
        <w:t>Chinese unemployment worries are growing as Beijing beefs up stimulus</w:t>
      </w:r>
      <w:r>
        <w:rPr>
          <w:rFonts w:eastAsia="Times New Roman" w:cs="Times New Roman"/>
          <w:color w:val="000000"/>
          <w:szCs w:val="24"/>
          <w:lang w:eastAsia="en-GB"/>
        </w:rPr>
        <w:t>. [online] CNBC. Available at: https://www.cnbc.com/2019/01/16/unemployment-worries-in-china-grow-as-beijing-beefs-up-stimulus.html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Collins, M. (2015). </w:t>
      </w:r>
      <w:r>
        <w:rPr>
          <w:rFonts w:eastAsia="Times New Roman" w:cs="Times New Roman"/>
          <w:i/>
          <w:iCs/>
          <w:color w:val="000000"/>
          <w:szCs w:val="24"/>
          <w:lang w:eastAsia="en-GB"/>
        </w:rPr>
        <w:t>The Pros And Cons Of Globalization</w:t>
      </w:r>
      <w:r>
        <w:rPr>
          <w:rFonts w:eastAsia="Times New Roman" w:cs="Times New Roman"/>
          <w:color w:val="000000"/>
          <w:szCs w:val="24"/>
          <w:lang w:eastAsia="en-GB"/>
        </w:rPr>
        <w:t>. [online] Forbes.com. Available at: https://www.forbes.com/sites/mikecollins/2015/05/06/the-pros-and-cons-of-globalization/#2e6a3552ccce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Cox, J. (2018). </w:t>
      </w:r>
      <w:r>
        <w:rPr>
          <w:rFonts w:eastAsia="Times New Roman" w:cs="Times New Roman"/>
          <w:i/>
          <w:iCs/>
          <w:color w:val="000000"/>
          <w:szCs w:val="24"/>
          <w:lang w:eastAsia="en-GB"/>
        </w:rPr>
        <w:t>Fed hikes rate, lowers 2019 projection to 2 increases</w:t>
      </w:r>
      <w:r>
        <w:rPr>
          <w:rFonts w:eastAsia="Times New Roman" w:cs="Times New Roman"/>
          <w:color w:val="000000"/>
          <w:szCs w:val="24"/>
          <w:lang w:eastAsia="en-GB"/>
        </w:rPr>
        <w:t>. [online] CNBC. Available at: https://www.cnbc.com/2018/12/19/fed-hikes-rates-by-a-quarter-point-.html [Accessed 20 Feb. 2019].</w:t>
      </w:r>
    </w:p>
    <w:p>
      <w:pPr>
        <w:ind w:left="720" w:hanging="720"/>
        <w:rPr>
          <w:rFonts w:cs="Times New Roman"/>
          <w:szCs w:val="24"/>
          <w:shd w:val="clear" w:color="auto" w:fill="FFFFFF"/>
        </w:rPr>
      </w:pPr>
      <w:r>
        <w:rPr>
          <w:rFonts w:cs="Times New Roman"/>
          <w:szCs w:val="24"/>
          <w:shd w:val="clear" w:color="auto" w:fill="FFFFFF"/>
        </w:rPr>
        <w:t>Fernández‐Olmos, M., &amp; Díez‐Vial, I. (2014). The Direct or Indirect Exporting Decision in Agri‐food Firms. </w:t>
      </w:r>
      <w:r>
        <w:rPr>
          <w:rFonts w:cs="Times New Roman"/>
          <w:i/>
          <w:iCs/>
          <w:szCs w:val="24"/>
          <w:shd w:val="clear" w:color="auto" w:fill="FFFFFF"/>
        </w:rPr>
        <w:t>Agribusiness</w:t>
      </w:r>
      <w:r>
        <w:rPr>
          <w:rFonts w:cs="Times New Roman"/>
          <w:szCs w:val="24"/>
          <w:shd w:val="clear" w:color="auto" w:fill="FFFFFF"/>
        </w:rPr>
        <w:t xml:space="preserve">, vol. </w:t>
      </w:r>
      <w:r>
        <w:rPr>
          <w:rFonts w:cs="Times New Roman"/>
          <w:iCs/>
          <w:szCs w:val="24"/>
          <w:shd w:val="clear" w:color="auto" w:fill="FFFFFF"/>
        </w:rPr>
        <w:t>30</w:t>
      </w:r>
      <w:r>
        <w:rPr>
          <w:rFonts w:cs="Times New Roman"/>
          <w:szCs w:val="24"/>
          <w:shd w:val="clear" w:color="auto" w:fill="FFFFFF"/>
        </w:rPr>
        <w:t>, no.2, pp. 148-164.</w:t>
      </w:r>
    </w:p>
    <w:p>
      <w:pPr>
        <w:ind w:left="720" w:hanging="720"/>
        <w:rPr>
          <w:rFonts w:cs="Times New Roman"/>
          <w:szCs w:val="24"/>
          <w:shd w:val="clear" w:color="auto" w:fill="FFFFFF"/>
        </w:rPr>
      </w:pPr>
      <w:r>
        <w:rPr>
          <w:rFonts w:cs="Times New Roman"/>
          <w:szCs w:val="24"/>
          <w:shd w:val="clear" w:color="auto" w:fill="FFFFFF"/>
        </w:rPr>
        <w:t>Ferreira, M. P., Santos, J. C., de Almeida, M. I. R., and Reis, N. R. (2014). Mergers &amp; acquisitions research: A bibliometric study of top strategy and international business journals, 1980–2010. </w:t>
      </w:r>
      <w:r>
        <w:rPr>
          <w:rFonts w:cs="Times New Roman"/>
          <w:i/>
          <w:iCs/>
          <w:szCs w:val="24"/>
          <w:shd w:val="clear" w:color="auto" w:fill="FFFFFF"/>
        </w:rPr>
        <w:t>Journal of Business Research</w:t>
      </w:r>
      <w:r>
        <w:rPr>
          <w:rFonts w:cs="Times New Roman"/>
          <w:szCs w:val="24"/>
          <w:shd w:val="clear" w:color="auto" w:fill="FFFFFF"/>
        </w:rPr>
        <w:t xml:space="preserve">, vol. </w:t>
      </w:r>
      <w:r>
        <w:rPr>
          <w:rFonts w:cs="Times New Roman"/>
          <w:iCs/>
          <w:szCs w:val="24"/>
          <w:shd w:val="clear" w:color="auto" w:fill="FFFFFF"/>
        </w:rPr>
        <w:t>67</w:t>
      </w:r>
      <w:r>
        <w:rPr>
          <w:rFonts w:cs="Times New Roman"/>
          <w:szCs w:val="24"/>
          <w:shd w:val="clear" w:color="auto" w:fill="FFFFFF"/>
        </w:rPr>
        <w:t>, no.12, pp. 2550-2558.</w:t>
      </w:r>
    </w:p>
    <w:p>
      <w:pPr>
        <w:ind w:left="720" w:hanging="720"/>
        <w:rPr>
          <w:rFonts w:cs="Times New Roman"/>
          <w:szCs w:val="24"/>
          <w:shd w:val="clear" w:color="auto" w:fill="FFFFFF"/>
        </w:rPr>
      </w:pPr>
      <w:r>
        <w:rPr>
          <w:rFonts w:cs="Times New Roman"/>
          <w:szCs w:val="24"/>
          <w:shd w:val="clear" w:color="auto" w:fill="FFFFFF"/>
        </w:rPr>
        <w:t>Fletcher, R., and Crawford, H. (2013). </w:t>
      </w:r>
      <w:r>
        <w:rPr>
          <w:rFonts w:cs="Times New Roman"/>
          <w:i/>
          <w:iCs/>
          <w:szCs w:val="24"/>
          <w:shd w:val="clear" w:color="auto" w:fill="FFFFFF"/>
        </w:rPr>
        <w:t>International marketing: an Asia-Pacific perspective</w:t>
      </w:r>
      <w:r>
        <w:rPr>
          <w:rFonts w:cs="Times New Roman"/>
          <w:szCs w:val="24"/>
          <w:shd w:val="clear" w:color="auto" w:fill="FFFFFF"/>
        </w:rPr>
        <w:t>. Pearson Higher Education AU.</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Fromm, J. (2014). </w:t>
      </w:r>
      <w:r>
        <w:rPr>
          <w:rFonts w:eastAsia="Times New Roman" w:cs="Times New Roman"/>
          <w:i/>
          <w:iCs/>
          <w:color w:val="000000"/>
          <w:szCs w:val="24"/>
          <w:lang w:eastAsia="en-GB"/>
        </w:rPr>
        <w:t>Five Marketing Lessons For Brands In The Adult Beverage Category</w:t>
      </w:r>
      <w:r>
        <w:rPr>
          <w:rFonts w:eastAsia="Times New Roman" w:cs="Times New Roman"/>
          <w:color w:val="000000"/>
          <w:szCs w:val="24"/>
          <w:lang w:eastAsia="en-GB"/>
        </w:rPr>
        <w:t>. [online] Forbes.com. Available at: https://www.forbes.com/sites/jefffromm/2014/10/28/five-marketing-lessons-for-brands-in-the-adult-beverage-category/#fdfa1ee3b8b7 [Accessed 20 Feb. 2019].</w:t>
      </w:r>
    </w:p>
    <w:p>
      <w:pPr>
        <w:ind w:left="720" w:hanging="720"/>
        <w:rPr>
          <w:rFonts w:cs="Times New Roman"/>
          <w:szCs w:val="24"/>
          <w:shd w:val="clear" w:color="auto" w:fill="FFFFFF"/>
        </w:rPr>
      </w:pPr>
      <w:r>
        <w:rPr>
          <w:rFonts w:cs="Times New Roman"/>
          <w:szCs w:val="24"/>
          <w:shd w:val="clear" w:color="auto" w:fill="FFFFFF"/>
        </w:rPr>
        <w:t>Froud, J., Johal, S., Leaver, A., and Williams, K. (2014). Financialization across the Pacific: Manufacturing cost ratios, supply chains and power. </w:t>
      </w:r>
      <w:r>
        <w:rPr>
          <w:rFonts w:cs="Times New Roman"/>
          <w:i/>
          <w:iCs/>
          <w:szCs w:val="24"/>
          <w:shd w:val="clear" w:color="auto" w:fill="FFFFFF"/>
        </w:rPr>
        <w:t>Critical Perspectives on Accounting</w:t>
      </w:r>
      <w:r>
        <w:rPr>
          <w:rFonts w:cs="Times New Roman"/>
          <w:szCs w:val="24"/>
          <w:shd w:val="clear" w:color="auto" w:fill="FFFFFF"/>
        </w:rPr>
        <w:t xml:space="preserve">, vol. </w:t>
      </w:r>
      <w:r>
        <w:rPr>
          <w:rFonts w:cs="Times New Roman"/>
          <w:i/>
          <w:iCs/>
          <w:szCs w:val="24"/>
          <w:shd w:val="clear" w:color="auto" w:fill="FFFFFF"/>
        </w:rPr>
        <w:t>25</w:t>
      </w:r>
      <w:r>
        <w:rPr>
          <w:rFonts w:cs="Times New Roman"/>
          <w:szCs w:val="24"/>
          <w:shd w:val="clear" w:color="auto" w:fill="FFFFFF"/>
        </w:rPr>
        <w:t>, no.1, pp. 46-57.</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Ge, C. (2018). </w:t>
      </w:r>
      <w:r>
        <w:rPr>
          <w:rFonts w:eastAsia="Times New Roman" w:cs="Times New Roman"/>
          <w:i/>
          <w:iCs/>
          <w:color w:val="000000"/>
          <w:szCs w:val="24"/>
          <w:lang w:eastAsia="en-GB"/>
        </w:rPr>
        <w:t>China’s new wine lovers: affluent millenials drinking more, turning to France, Chile and Australia</w:t>
      </w:r>
      <w:r>
        <w:rPr>
          <w:rFonts w:eastAsia="Times New Roman" w:cs="Times New Roman"/>
          <w:color w:val="000000"/>
          <w:szCs w:val="24"/>
          <w:lang w:eastAsia="en-GB"/>
        </w:rPr>
        <w:t>. [online] South China Morning Post. Available at: https://www.scmp.com/news/china/money-wealth/article/1981534/chinas-new-wine-lovers-affluent-millenials-drinking-more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Gittleson, K. (2018). </w:t>
      </w:r>
      <w:r>
        <w:rPr>
          <w:rFonts w:eastAsia="Times New Roman" w:cs="Times New Roman"/>
          <w:i/>
          <w:iCs/>
          <w:color w:val="000000"/>
          <w:szCs w:val="24"/>
          <w:lang w:eastAsia="en-GB"/>
        </w:rPr>
        <w:t>Reality Check: Are Trump's tax cuts biggest in history?</w:t>
      </w:r>
      <w:r>
        <w:rPr>
          <w:rFonts w:eastAsia="Times New Roman" w:cs="Times New Roman"/>
          <w:color w:val="000000"/>
          <w:szCs w:val="24"/>
          <w:lang w:eastAsia="en-GB"/>
        </w:rPr>
        <w:t>. [online] BBC News. Available at: https://www.bbc.com/news/world-43790895 [Accessed 20 Feb. 2019].</w:t>
      </w:r>
    </w:p>
    <w:p>
      <w:pPr>
        <w:spacing w:after="180"/>
        <w:ind w:left="720" w:hanging="720"/>
        <w:contextualSpacing w:val="0"/>
        <w:jc w:val="left"/>
        <w:rPr>
          <w:rFonts w:eastAsia="Times New Roman" w:cs="Times New Roman"/>
          <w:color w:val="000000"/>
          <w:szCs w:val="24"/>
          <w:lang w:eastAsia="en-GB"/>
        </w:rPr>
      </w:pPr>
      <w:r>
        <w:rPr>
          <w:rFonts w:eastAsia="Times New Roman" w:cs="Times New Roman"/>
          <w:color w:val="000000"/>
          <w:szCs w:val="24"/>
          <w:lang w:eastAsia="en-GB"/>
        </w:rPr>
        <w:t>HARASHIMA, D. (2018). </w:t>
      </w:r>
      <w:r>
        <w:rPr>
          <w:rFonts w:eastAsia="Times New Roman" w:cs="Times New Roman"/>
          <w:i/>
          <w:iCs/>
          <w:color w:val="000000"/>
          <w:szCs w:val="24"/>
          <w:lang w:eastAsia="en-GB"/>
        </w:rPr>
        <w:t>China's top brewers try shake off image of 'cheap beer'</w:t>
      </w:r>
      <w:r>
        <w:rPr>
          <w:rFonts w:eastAsia="Times New Roman" w:cs="Times New Roman"/>
          <w:color w:val="000000"/>
          <w:szCs w:val="24"/>
          <w:lang w:eastAsia="en-GB"/>
        </w:rPr>
        <w:t>. [online] Nikkei Asian Review. Available at: https://asia.nikkei.com/Asia300/China-s-top-brewers-try-shake-off-image-of-cheap-beer [Accessed 22 Feb. 2019].</w:t>
      </w:r>
    </w:p>
    <w:p>
      <w:pPr>
        <w:spacing w:after="180"/>
        <w:ind w:left="720" w:hanging="720"/>
        <w:contextualSpacing w:val="0"/>
        <w:jc w:val="left"/>
        <w:rPr>
          <w:rFonts w:eastAsia="Times New Roman" w:cs="Times New Roman"/>
          <w:color w:val="000000"/>
          <w:szCs w:val="24"/>
          <w:lang w:eastAsia="en-GB"/>
        </w:rPr>
      </w:pPr>
      <w:r>
        <w:rPr>
          <w:rFonts w:eastAsia="Times New Roman" w:cs="Times New Roman"/>
          <w:color w:val="000000"/>
          <w:szCs w:val="24"/>
          <w:lang w:eastAsia="en-GB"/>
        </w:rPr>
        <w:t>Harrington, J. (2018). </w:t>
      </w:r>
      <w:r>
        <w:rPr>
          <w:rFonts w:eastAsia="Times New Roman" w:cs="Times New Roman"/>
          <w:i/>
          <w:iCs/>
          <w:color w:val="000000"/>
          <w:szCs w:val="24"/>
          <w:lang w:eastAsia="en-GB"/>
        </w:rPr>
        <w:t>Which beer is loved most by consumers? 26 most popular U.S. beer brands</w:t>
      </w:r>
      <w:r>
        <w:rPr>
          <w:rFonts w:eastAsia="Times New Roman" w:cs="Times New Roman"/>
          <w:color w:val="000000"/>
          <w:szCs w:val="24"/>
          <w:lang w:eastAsia="en-GB"/>
        </w:rPr>
        <w:t>. [online] Usatoday.com. Available at: https://www.usatoday.com/story/money/food/2018/05/03/most-popular-us-beer-brands/573703002/ [Accessed 22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Hofstede Insights. (2019). </w:t>
      </w:r>
      <w:r>
        <w:rPr>
          <w:rFonts w:eastAsia="Times New Roman" w:cs="Times New Roman"/>
          <w:i/>
          <w:iCs/>
          <w:color w:val="000000"/>
          <w:szCs w:val="24"/>
          <w:lang w:eastAsia="en-GB"/>
        </w:rPr>
        <w:t>Compare countries - Hofstede Insights</w:t>
      </w:r>
      <w:r>
        <w:rPr>
          <w:rFonts w:eastAsia="Times New Roman" w:cs="Times New Roman"/>
          <w:color w:val="000000"/>
          <w:szCs w:val="24"/>
          <w:lang w:eastAsia="en-GB"/>
        </w:rPr>
        <w:t>. [online] Available at: https://www.hofstede-insights.com/product/compare-countries/ [Accessed 20 Feb. 2019].</w:t>
      </w:r>
    </w:p>
    <w:p>
      <w:pPr>
        <w:ind w:left="720" w:hanging="720"/>
        <w:rPr>
          <w:rFonts w:cs="Times New Roman"/>
          <w:szCs w:val="24"/>
          <w:shd w:val="clear" w:color="auto" w:fill="FFFFFF"/>
        </w:rPr>
      </w:pPr>
      <w:r>
        <w:rPr>
          <w:rFonts w:cs="Times New Roman"/>
          <w:szCs w:val="24"/>
          <w:shd w:val="clear" w:color="auto" w:fill="FFFFFF"/>
        </w:rPr>
        <w:t>Killing, P. (2013). </w:t>
      </w:r>
      <w:r>
        <w:rPr>
          <w:rFonts w:cs="Times New Roman"/>
          <w:i/>
          <w:iCs/>
          <w:szCs w:val="24"/>
          <w:shd w:val="clear" w:color="auto" w:fill="FFFFFF"/>
        </w:rPr>
        <w:t>Strategies for joint venture success (RLE International Business)</w:t>
      </w:r>
      <w:r>
        <w:rPr>
          <w:rFonts w:cs="Times New Roman"/>
          <w:szCs w:val="24"/>
          <w:shd w:val="clear" w:color="auto" w:fill="FFFFFF"/>
        </w:rPr>
        <w:t>. Routledge.</w:t>
      </w:r>
    </w:p>
    <w:p>
      <w:pPr>
        <w:ind w:left="720" w:hanging="720"/>
        <w:rPr>
          <w:rFonts w:cs="Times New Roman"/>
          <w:szCs w:val="24"/>
          <w:shd w:val="clear" w:color="auto" w:fill="FFFFFF"/>
        </w:rPr>
      </w:pPr>
      <w:r>
        <w:rPr>
          <w:rFonts w:cs="Times New Roman"/>
          <w:szCs w:val="24"/>
          <w:shd w:val="clear" w:color="auto" w:fill="FFFFFF"/>
        </w:rPr>
        <w:t>Lebedev, S., Peng, M. W., Xie, E., and Stevens, C. E. (2015). Mergers and acquisitions in and out of emerging economies. </w:t>
      </w:r>
      <w:r>
        <w:rPr>
          <w:rFonts w:cs="Times New Roman"/>
          <w:i/>
          <w:iCs/>
          <w:szCs w:val="24"/>
          <w:shd w:val="clear" w:color="auto" w:fill="FFFFFF"/>
        </w:rPr>
        <w:t>Journal of World Business</w:t>
      </w:r>
      <w:r>
        <w:rPr>
          <w:rFonts w:cs="Times New Roman"/>
          <w:szCs w:val="24"/>
          <w:shd w:val="clear" w:color="auto" w:fill="FFFFFF"/>
        </w:rPr>
        <w:t xml:space="preserve">, vol. </w:t>
      </w:r>
      <w:r>
        <w:rPr>
          <w:rFonts w:cs="Times New Roman"/>
          <w:iCs/>
          <w:szCs w:val="24"/>
          <w:shd w:val="clear" w:color="auto" w:fill="FFFFFF"/>
        </w:rPr>
        <w:t>50</w:t>
      </w:r>
      <w:r>
        <w:rPr>
          <w:rFonts w:cs="Times New Roman"/>
          <w:szCs w:val="24"/>
          <w:shd w:val="clear" w:color="auto" w:fill="FFFFFF"/>
        </w:rPr>
        <w:t>, no.4, pp. 651-662.</w:t>
      </w:r>
    </w:p>
    <w:p>
      <w:pPr>
        <w:ind w:left="720" w:hanging="720"/>
        <w:rPr>
          <w:rFonts w:cs="Times New Roman"/>
          <w:szCs w:val="24"/>
        </w:rPr>
      </w:pPr>
      <w:r>
        <w:rPr>
          <w:rFonts w:cs="Times New Roman"/>
          <w:szCs w:val="24"/>
          <w:shd w:val="clear" w:color="auto" w:fill="FFFFFF"/>
        </w:rPr>
        <w:t>McCright, A. M., Xiao, C., and Dunlap, R. E. (2014). Political polarization on support for government spending on environmental protection in the USA, 1974–2012. </w:t>
      </w:r>
      <w:r>
        <w:rPr>
          <w:rFonts w:cs="Times New Roman"/>
          <w:i/>
          <w:iCs/>
          <w:szCs w:val="24"/>
          <w:shd w:val="clear" w:color="auto" w:fill="FFFFFF"/>
        </w:rPr>
        <w:t>Social Science Research</w:t>
      </w:r>
      <w:r>
        <w:rPr>
          <w:rFonts w:cs="Times New Roman"/>
          <w:szCs w:val="24"/>
          <w:shd w:val="clear" w:color="auto" w:fill="FFFFFF"/>
        </w:rPr>
        <w:t xml:space="preserve">, vol. </w:t>
      </w:r>
      <w:r>
        <w:rPr>
          <w:rFonts w:cs="Times New Roman"/>
          <w:iCs/>
          <w:szCs w:val="24"/>
          <w:shd w:val="clear" w:color="auto" w:fill="FFFFFF"/>
        </w:rPr>
        <w:t>48</w:t>
      </w:r>
      <w:r>
        <w:rPr>
          <w:rFonts w:cs="Times New Roman"/>
          <w:szCs w:val="24"/>
          <w:shd w:val="clear" w:color="auto" w:fill="FFFFFF"/>
        </w:rPr>
        <w:t>, pp. 251-260.</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Medium. (2018). </w:t>
      </w:r>
      <w:r>
        <w:rPr>
          <w:rFonts w:eastAsia="Times New Roman" w:cs="Times New Roman"/>
          <w:i/>
          <w:iCs/>
          <w:color w:val="000000"/>
          <w:szCs w:val="24"/>
          <w:lang w:eastAsia="en-GB"/>
        </w:rPr>
        <w:t>Why Amazon Won’t Crush the Liquor Industry – Drync – Medium</w:t>
      </w:r>
      <w:r>
        <w:rPr>
          <w:rFonts w:eastAsia="Times New Roman" w:cs="Times New Roman"/>
          <w:color w:val="000000"/>
          <w:szCs w:val="24"/>
          <w:lang w:eastAsia="en-GB"/>
        </w:rPr>
        <w:t>. [online] Available at: https://medium.com/@drync/why-amazon-wont-crush-the-liquor-industry-cc4a5fdd5bae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Morris, C. (2018). </w:t>
      </w:r>
      <w:r>
        <w:rPr>
          <w:rFonts w:eastAsia="Times New Roman" w:cs="Times New Roman"/>
          <w:i/>
          <w:iCs/>
          <w:color w:val="000000"/>
          <w:szCs w:val="24"/>
          <w:lang w:eastAsia="en-GB"/>
        </w:rPr>
        <w:t>Craft Beer's Days of Explosive Growth Are Over</w:t>
      </w:r>
      <w:r>
        <w:rPr>
          <w:rFonts w:eastAsia="Times New Roman" w:cs="Times New Roman"/>
          <w:color w:val="000000"/>
          <w:szCs w:val="24"/>
          <w:lang w:eastAsia="en-GB"/>
        </w:rPr>
        <w:t>. [online] Fortune. Available at: http://fortune.com/2018/03/27/craft-beer-2017-sales/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Nielsen. (2015). </w:t>
      </w:r>
      <w:r>
        <w:rPr>
          <w:rFonts w:eastAsia="Times New Roman" w:cs="Times New Roman"/>
          <w:i/>
          <w:iCs/>
          <w:color w:val="000000"/>
          <w:szCs w:val="24"/>
          <w:lang w:eastAsia="en-GB"/>
        </w:rPr>
        <w:t>We Are What We Eat Healthy Eating Trends Around The World</w:t>
      </w:r>
      <w:r>
        <w:rPr>
          <w:rFonts w:eastAsia="Times New Roman" w:cs="Times New Roman"/>
          <w:color w:val="000000"/>
          <w:szCs w:val="24"/>
          <w:lang w:eastAsia="en-GB"/>
        </w:rPr>
        <w:t>. [online] Available at: https://www.nielsen.com/content/dam/nielsenglobal/eu/nielseninsights/pdfs/Nielsen%20Global%20Health%20and%20Wellness%20Report%20-%20January%202015.pdf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Pellechia, T. (2017). </w:t>
      </w:r>
      <w:r>
        <w:rPr>
          <w:rFonts w:eastAsia="Times New Roman" w:cs="Times New Roman"/>
          <w:i/>
          <w:iCs/>
          <w:color w:val="000000"/>
          <w:szCs w:val="24"/>
          <w:lang w:eastAsia="en-GB"/>
        </w:rPr>
        <w:t>Millennials Are Blamed For Falling Beer Sales In The U.S.</w:t>
      </w:r>
      <w:r>
        <w:rPr>
          <w:rFonts w:eastAsia="Times New Roman" w:cs="Times New Roman"/>
          <w:color w:val="000000"/>
          <w:szCs w:val="24"/>
          <w:lang w:eastAsia="en-GB"/>
        </w:rPr>
        <w:t>. [online] Forbes.com. Available at: https://www.forbes.com/sites/thomaspellechia/2017/10/27/millennials-are-blamed-for-falling-beer-sales-in-the-u-s/#293d9db64a78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PwC. (2018). </w:t>
      </w:r>
      <w:r>
        <w:rPr>
          <w:rFonts w:eastAsia="Times New Roman" w:cs="Times New Roman"/>
          <w:i/>
          <w:iCs/>
          <w:color w:val="000000"/>
          <w:szCs w:val="24"/>
          <w:lang w:eastAsia="en-GB"/>
        </w:rPr>
        <w:t>Overview of PRC Taxation System</w:t>
      </w:r>
      <w:r>
        <w:rPr>
          <w:rFonts w:eastAsia="Times New Roman" w:cs="Times New Roman"/>
          <w:color w:val="000000"/>
          <w:szCs w:val="24"/>
          <w:lang w:eastAsia="en-GB"/>
        </w:rPr>
        <w:t>. [online] Available at: https://www.pwccn.com/en/services/tax/accounting-and-payroll/overview-of-prc-taxation-system.html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Schneider, A. (2018). </w:t>
      </w:r>
      <w:r>
        <w:rPr>
          <w:rFonts w:eastAsia="Times New Roman" w:cs="Times New Roman"/>
          <w:i/>
          <w:iCs/>
          <w:color w:val="000000"/>
          <w:szCs w:val="24"/>
          <w:lang w:eastAsia="en-GB"/>
        </w:rPr>
        <w:t>U.S. Unemployment Rate Drops To 3.7 Percent, Lowest In Nearly 50 Years</w:t>
      </w:r>
      <w:r>
        <w:rPr>
          <w:rFonts w:eastAsia="Times New Roman" w:cs="Times New Roman"/>
          <w:color w:val="000000"/>
          <w:szCs w:val="24"/>
          <w:lang w:eastAsia="en-GB"/>
        </w:rPr>
        <w:t>. [online] Npr.org. Available at: https://www.npr.org/2018/10/05/654417887/u-s-unemployment-rate-drops-to-3-7-percent-lowest-in-nearly-50-years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Shen, Q. (2018). </w:t>
      </w:r>
      <w:r>
        <w:rPr>
          <w:rFonts w:eastAsia="Times New Roman" w:cs="Times New Roman"/>
          <w:i/>
          <w:iCs/>
          <w:color w:val="000000"/>
          <w:szCs w:val="24"/>
          <w:lang w:eastAsia="en-GB"/>
        </w:rPr>
        <w:t>China keeps short-term borrowing rates steady after Fed hike</w:t>
      </w:r>
      <w:r>
        <w:rPr>
          <w:rFonts w:eastAsia="Times New Roman" w:cs="Times New Roman"/>
          <w:color w:val="000000"/>
          <w:szCs w:val="24"/>
          <w:lang w:eastAsia="en-GB"/>
        </w:rPr>
        <w:t>. [online] CNBC. Available at: https://www.cnbc.com/2018/12/20/china-keeps-short-term-borrowing-rates-steady-after-fed-hike.html [Accessed 20 Feb. 2019].</w:t>
      </w:r>
    </w:p>
    <w:p>
      <w:pPr>
        <w:spacing w:after="180"/>
        <w:ind w:left="720" w:hanging="720"/>
        <w:contextualSpacing w:val="0"/>
        <w:jc w:val="left"/>
        <w:rPr>
          <w:rFonts w:eastAsia="Times New Roman" w:cs="Times New Roman"/>
          <w:color w:val="000000"/>
          <w:szCs w:val="24"/>
          <w:lang w:eastAsia="en-GB"/>
        </w:rPr>
      </w:pPr>
      <w:r>
        <w:rPr>
          <w:rFonts w:eastAsia="Times New Roman" w:cs="Times New Roman"/>
          <w:color w:val="000000"/>
          <w:szCs w:val="24"/>
          <w:lang w:eastAsia="en-GB"/>
        </w:rPr>
        <w:t>Sirrine, R. (2018). </w:t>
      </w:r>
      <w:r>
        <w:rPr>
          <w:rFonts w:eastAsia="Times New Roman" w:cs="Times New Roman"/>
          <w:i/>
          <w:iCs/>
          <w:color w:val="000000"/>
          <w:szCs w:val="24"/>
          <w:lang w:eastAsia="en-GB"/>
        </w:rPr>
        <w:t>The evolving craft beer market and the raw material supply sector</w:t>
      </w:r>
      <w:r>
        <w:rPr>
          <w:rFonts w:eastAsia="Times New Roman" w:cs="Times New Roman"/>
          <w:color w:val="000000"/>
          <w:szCs w:val="24"/>
          <w:lang w:eastAsia="en-GB"/>
        </w:rPr>
        <w:t>. [online] Hops. Available at: https://www.canr.msu.edu/news/the-evolving-craft-beer-market-and-the-raw-material-supply-sector [Accessed 22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Stoller, G. (2018). </w:t>
      </w:r>
      <w:r>
        <w:rPr>
          <w:rFonts w:eastAsia="Times New Roman" w:cs="Times New Roman"/>
          <w:i/>
          <w:iCs/>
          <w:color w:val="000000"/>
          <w:szCs w:val="24"/>
          <w:lang w:eastAsia="en-GB"/>
        </w:rPr>
        <w:t>Craft Breweries Dominate The Top 50, But Guess Which Giants Rule The Beer Market</w:t>
      </w:r>
      <w:r>
        <w:rPr>
          <w:rFonts w:eastAsia="Times New Roman" w:cs="Times New Roman"/>
          <w:color w:val="000000"/>
          <w:szCs w:val="24"/>
          <w:lang w:eastAsia="en-GB"/>
        </w:rPr>
        <w:t>. [online] Forbes.com. Available at: https://www.forbes.com/sites/garystoller/2018/03/20/craft-breweries-dominate-the-top-50-but-guess-which-giants-rule-the-beer-market/#123efb8dcad3 [Accessed 20 Feb. 2019].</w:t>
      </w:r>
    </w:p>
    <w:p>
      <w:pPr>
        <w:ind w:left="720" w:hanging="720"/>
        <w:rPr>
          <w:rFonts w:cs="Times New Roman"/>
          <w:szCs w:val="24"/>
          <w:shd w:val="clear" w:color="auto" w:fill="FFFFFF"/>
        </w:rPr>
      </w:pPr>
      <w:r>
        <w:rPr>
          <w:rFonts w:cs="Times New Roman"/>
          <w:szCs w:val="24"/>
          <w:shd w:val="clear" w:color="auto" w:fill="FFFFFF"/>
        </w:rPr>
        <w:t>Sun, S. L., and Lee, R. P. (2013). Enhancing innovation through international joint venture portfolios: From the emerging firm perspective. </w:t>
      </w:r>
      <w:r>
        <w:rPr>
          <w:rFonts w:cs="Times New Roman"/>
          <w:i/>
          <w:iCs/>
          <w:szCs w:val="24"/>
          <w:shd w:val="clear" w:color="auto" w:fill="FFFFFF"/>
        </w:rPr>
        <w:t>Journal of International Marketing</w:t>
      </w:r>
      <w:r>
        <w:rPr>
          <w:rFonts w:cs="Times New Roman"/>
          <w:szCs w:val="24"/>
          <w:shd w:val="clear" w:color="auto" w:fill="FFFFFF"/>
        </w:rPr>
        <w:t xml:space="preserve">, vol. </w:t>
      </w:r>
      <w:r>
        <w:rPr>
          <w:rFonts w:cs="Times New Roman"/>
          <w:i/>
          <w:iCs/>
          <w:szCs w:val="24"/>
          <w:shd w:val="clear" w:color="auto" w:fill="FFFFFF"/>
        </w:rPr>
        <w:t>21</w:t>
      </w:r>
      <w:r>
        <w:rPr>
          <w:rFonts w:cs="Times New Roman"/>
          <w:szCs w:val="24"/>
          <w:shd w:val="clear" w:color="auto" w:fill="FFFFFF"/>
        </w:rPr>
        <w:t>, no.3, pp. 1-21.</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Tabeta, S. and Harada, I. (2018). </w:t>
      </w:r>
      <w:r>
        <w:rPr>
          <w:rFonts w:eastAsia="Times New Roman" w:cs="Times New Roman"/>
          <w:i/>
          <w:iCs/>
          <w:color w:val="000000"/>
          <w:szCs w:val="24"/>
          <w:lang w:eastAsia="en-GB"/>
        </w:rPr>
        <w:t>Trade war begins to squeeze Chinese wallets</w:t>
      </w:r>
      <w:r>
        <w:rPr>
          <w:rFonts w:eastAsia="Times New Roman" w:cs="Times New Roman"/>
          <w:color w:val="000000"/>
          <w:szCs w:val="24"/>
          <w:lang w:eastAsia="en-GB"/>
        </w:rPr>
        <w:t>. [online] Nikkei Asian Review. Available at: https://asia.nikkei.com/Economy/Trade-War/Trade-war-begins-to-squeeze-Chinese-wallets [Accessed 20 Feb. 2019].</w:t>
      </w:r>
    </w:p>
    <w:p>
      <w:pPr>
        <w:ind w:left="720" w:hanging="720"/>
        <w:rPr>
          <w:rFonts w:cs="Times New Roman"/>
          <w:szCs w:val="24"/>
          <w:shd w:val="clear" w:color="auto" w:fill="FFFFFF"/>
        </w:rPr>
      </w:pPr>
      <w:r>
        <w:rPr>
          <w:rFonts w:cs="Times New Roman"/>
          <w:szCs w:val="24"/>
          <w:shd w:val="clear" w:color="auto" w:fill="FFFFFF"/>
        </w:rPr>
        <w:t>Tao, Y. (2015). Universal laws of human society’s income distribution. </w:t>
      </w:r>
      <w:r>
        <w:rPr>
          <w:rFonts w:cs="Times New Roman"/>
          <w:i/>
          <w:iCs/>
          <w:szCs w:val="24"/>
          <w:shd w:val="clear" w:color="auto" w:fill="FFFFFF"/>
        </w:rPr>
        <w:t>Physica A: Statistical Mechanics and its Applications</w:t>
      </w:r>
      <w:r>
        <w:rPr>
          <w:rFonts w:cs="Times New Roman"/>
          <w:szCs w:val="24"/>
          <w:shd w:val="clear" w:color="auto" w:fill="FFFFFF"/>
        </w:rPr>
        <w:t xml:space="preserve">, vol. </w:t>
      </w:r>
      <w:r>
        <w:rPr>
          <w:rFonts w:cs="Times New Roman"/>
          <w:iCs/>
          <w:szCs w:val="24"/>
          <w:shd w:val="clear" w:color="auto" w:fill="FFFFFF"/>
        </w:rPr>
        <w:t>435</w:t>
      </w:r>
      <w:r>
        <w:rPr>
          <w:rFonts w:cs="Times New Roman"/>
          <w:szCs w:val="24"/>
          <w:shd w:val="clear" w:color="auto" w:fill="FFFFFF"/>
        </w:rPr>
        <w:t>, pp. 89-94.</w:t>
      </w:r>
    </w:p>
    <w:p>
      <w:pPr>
        <w:spacing w:after="180"/>
        <w:ind w:left="720" w:hanging="720"/>
        <w:contextualSpacing w:val="0"/>
        <w:jc w:val="left"/>
        <w:rPr>
          <w:rFonts w:eastAsia="Times New Roman" w:cs="Times New Roman"/>
          <w:color w:val="000000"/>
          <w:szCs w:val="24"/>
          <w:lang w:eastAsia="en-GB"/>
        </w:rPr>
      </w:pPr>
      <w:r>
        <w:rPr>
          <w:rFonts w:eastAsia="Times New Roman" w:cs="Times New Roman"/>
          <w:color w:val="000000"/>
          <w:szCs w:val="24"/>
          <w:lang w:eastAsia="en-GB"/>
        </w:rPr>
        <w:t>Tomos Watkin. (2019). </w:t>
      </w:r>
      <w:r>
        <w:rPr>
          <w:rFonts w:eastAsia="Times New Roman" w:cs="Times New Roman"/>
          <w:i/>
          <w:iCs/>
          <w:color w:val="000000"/>
          <w:szCs w:val="24"/>
          <w:lang w:eastAsia="en-GB"/>
        </w:rPr>
        <w:t>Tomos Watkin - The Great Ales of Wales - Buy Your Beer Online Today!</w:t>
      </w:r>
      <w:r>
        <w:rPr>
          <w:rFonts w:eastAsia="Times New Roman" w:cs="Times New Roman"/>
          <w:color w:val="000000"/>
          <w:szCs w:val="24"/>
          <w:lang w:eastAsia="en-GB"/>
        </w:rPr>
        <w:t>. [online] Available at: https://tomoswatkin.com/ [Accessed 22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World Ometers Info. (2019). </w:t>
      </w:r>
      <w:r>
        <w:rPr>
          <w:rFonts w:eastAsia="Times New Roman" w:cs="Times New Roman"/>
          <w:i/>
          <w:iCs/>
          <w:color w:val="000000"/>
          <w:szCs w:val="24"/>
          <w:lang w:eastAsia="en-GB"/>
        </w:rPr>
        <w:t>China Population (2019) - Worldometers</w:t>
      </w:r>
      <w:r>
        <w:rPr>
          <w:rFonts w:eastAsia="Times New Roman" w:cs="Times New Roman"/>
          <w:color w:val="000000"/>
          <w:szCs w:val="24"/>
          <w:lang w:eastAsia="en-GB"/>
        </w:rPr>
        <w:t>. [online] Available at: http://www.worldometers.info/world-population/china-population/ [Accessed 20 Feb. 2019].</w:t>
      </w:r>
    </w:p>
    <w:p>
      <w:pPr>
        <w:spacing w:after="180"/>
        <w:ind w:left="720" w:hanging="720"/>
        <w:rPr>
          <w:rFonts w:eastAsia="Times New Roman" w:cs="Times New Roman"/>
          <w:color w:val="000000"/>
          <w:szCs w:val="24"/>
          <w:lang w:eastAsia="en-GB"/>
        </w:rPr>
      </w:pPr>
      <w:r>
        <w:rPr>
          <w:rFonts w:eastAsia="Times New Roman" w:cs="Times New Roman"/>
          <w:color w:val="000000"/>
          <w:szCs w:val="24"/>
          <w:lang w:eastAsia="en-GB"/>
        </w:rPr>
        <w:t>Zegler, J. (2018). </w:t>
      </w:r>
      <w:r>
        <w:rPr>
          <w:rFonts w:eastAsia="Times New Roman" w:cs="Times New Roman"/>
          <w:i/>
          <w:iCs/>
          <w:color w:val="000000"/>
          <w:szCs w:val="24"/>
          <w:lang w:eastAsia="en-GB"/>
        </w:rPr>
        <w:t>Ways to fuel China's slowing beer industry</w:t>
      </w:r>
      <w:r>
        <w:rPr>
          <w:rFonts w:eastAsia="Times New Roman" w:cs="Times New Roman"/>
          <w:color w:val="000000"/>
          <w:szCs w:val="24"/>
          <w:lang w:eastAsia="en-GB"/>
        </w:rPr>
        <w:t>. [online] Mintel. Available at: http://www.mintel.com/blog/drink-market-news/how-can-beer-companies-fuel-chinas-slowing-beer-industry [Accessed 20 Feb. 2019].</w:t>
      </w:r>
    </w:p>
    <w:sectPr>
      <w:headerReference r:id="rId5" w:type="first"/>
      <w:footerReference r:id="rId8" w:type="first"/>
      <w:headerReference r:id="rId3" w:type="default"/>
      <w:footerReference r:id="rId6" w:type="default"/>
      <w:headerReference r:id="rId4" w:type="even"/>
      <w:footerReference r:id="rId7" w:type="even"/>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 w:name="Courier New">
    <w:panose1 w:val="02070309020205020404"/>
    <w:charset w:val="00"/>
    <w:family w:val="modern"/>
    <w:pitch w:val="default"/>
    <w:sig w:usb0="E0002EFF" w:usb1="C0007843" w:usb2="00000009" w:usb3="00000000" w:csb0="400001FF" w:csb1="FFFF0000"/>
  </w:font>
  <w:font w:name="Symbol">
    <w:panose1 w:val="05050102010706020507"/>
    <w:charset w:val="00"/>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81727391"/>
    </w:sdtPr>
    <w:sdtEndPr>
      <w:rPr>
        <w:rFonts w:cs="Times New Roman"/>
        <w:szCs w:val="24"/>
      </w:rPr>
    </w:sdtEndPr>
    <w:sdtContent>
      <w:p>
        <w:pPr>
          <w:pStyle w:val="13"/>
          <w:jc w:val="center"/>
          <w:rPr>
            <w:rFonts w:cs="Times New Roman"/>
            <w:szCs w:val="24"/>
          </w:rPr>
        </w:pPr>
        <w:r>
          <w:rPr>
            <w:rFonts w:cs="Times New Roman"/>
            <w:szCs w:val="24"/>
          </w:rPr>
          <w:fldChar w:fldCharType="begin"/>
        </w:r>
        <w:r>
          <w:rPr>
            <w:rFonts w:cs="Times New Roman"/>
            <w:szCs w:val="24"/>
          </w:rPr>
          <w:instrText xml:space="preserve"> PAGE   \* MERGEFORMAT </w:instrText>
        </w:r>
        <w:r>
          <w:rPr>
            <w:rFonts w:cs="Times New Roman"/>
            <w:szCs w:val="24"/>
          </w:rPr>
          <w:fldChar w:fldCharType="separate"/>
        </w:r>
        <w:r>
          <w:rPr>
            <w:rFonts w:cs="Times New Roman"/>
            <w:szCs w:val="24"/>
          </w:rPr>
          <w:t>1</w:t>
        </w:r>
        <w:r>
          <w:rPr>
            <w:rFonts w:cs="Times New Roman"/>
            <w:szCs w:val="24"/>
          </w:rPr>
          <w:fldChar w:fldCharType="end"/>
        </w:r>
      </w:p>
    </w:sdtContent>
  </w:sdt>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506AB3"/>
    <w:multiLevelType w:val="multilevel"/>
    <w:tmpl w:val="39506AB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48471975"/>
    <w:multiLevelType w:val="multilevel"/>
    <w:tmpl w:val="4847197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1DB380B"/>
    <w:multiLevelType w:val="multilevel"/>
    <w:tmpl w:val="71DB380B"/>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37726562"/>
  </w:rsids>
  <m:mathPr>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contextualSpacing/>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20"/>
    <w:qFormat/>
    <w:uiPriority w:val="9"/>
    <w:pPr>
      <w:keepNext/>
      <w:keepLines/>
      <w:numPr>
        <w:ilvl w:val="0"/>
        <w:numId w:val="1"/>
      </w:numPr>
      <w:jc w:val="left"/>
      <w:outlineLvl w:val="0"/>
    </w:pPr>
    <w:rPr>
      <w:rFonts w:eastAsiaTheme="majorEastAsia" w:cstheme="majorBidi"/>
      <w:b/>
      <w:bCs/>
      <w:color w:val="000000" w:themeColor="text1"/>
      <w:szCs w:val="28"/>
      <w14:textFill>
        <w14:solidFill>
          <w14:schemeClr w14:val="tx1"/>
        </w14:solidFill>
      </w14:textFill>
    </w:rPr>
  </w:style>
  <w:style w:type="paragraph" w:styleId="3">
    <w:name w:val="heading 2"/>
    <w:basedOn w:val="1"/>
    <w:next w:val="1"/>
    <w:link w:val="21"/>
    <w:unhideWhenUsed/>
    <w:qFormat/>
    <w:uiPriority w:val="9"/>
    <w:pPr>
      <w:keepNext/>
      <w:keepLines/>
      <w:numPr>
        <w:ilvl w:val="1"/>
        <w:numId w:val="1"/>
      </w:numPr>
      <w:jc w:val="left"/>
      <w:outlineLvl w:val="1"/>
    </w:pPr>
    <w:rPr>
      <w:rFonts w:eastAsiaTheme="majorEastAsia" w:cstheme="majorBidi"/>
      <w:b/>
      <w:bCs/>
      <w:color w:val="000000" w:themeColor="text1"/>
      <w:szCs w:val="26"/>
      <w14:textFill>
        <w14:solidFill>
          <w14:schemeClr w14:val="tx1"/>
        </w14:solidFill>
      </w14:textFill>
    </w:rPr>
  </w:style>
  <w:style w:type="paragraph" w:styleId="4">
    <w:name w:val="heading 3"/>
    <w:basedOn w:val="1"/>
    <w:next w:val="1"/>
    <w:link w:val="22"/>
    <w:unhideWhenUsed/>
    <w:qFormat/>
    <w:uiPriority w:val="9"/>
    <w:pPr>
      <w:keepNext/>
      <w:keepLines/>
      <w:numPr>
        <w:ilvl w:val="2"/>
        <w:numId w:val="1"/>
      </w:numPr>
      <w:jc w:val="left"/>
      <w:outlineLvl w:val="2"/>
    </w:pPr>
    <w:rPr>
      <w:rFonts w:eastAsiaTheme="majorEastAsia" w:cstheme="majorBidi"/>
      <w:b/>
      <w:bCs/>
      <w:color w:val="000000" w:themeColor="text1"/>
      <w14:textFill>
        <w14:solidFill>
          <w14:schemeClr w14:val="tx1"/>
        </w14:solidFill>
      </w14:textFill>
    </w:rPr>
  </w:style>
  <w:style w:type="paragraph" w:styleId="5">
    <w:name w:val="heading 4"/>
    <w:basedOn w:val="1"/>
    <w:next w:val="1"/>
    <w:link w:val="23"/>
    <w:unhideWhenUsed/>
    <w:qFormat/>
    <w:uiPriority w:val="9"/>
    <w:pPr>
      <w:keepNext/>
      <w:keepLines/>
      <w:numPr>
        <w:ilvl w:val="3"/>
        <w:numId w:val="1"/>
      </w:numPr>
      <w:spacing w:before="20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24"/>
    <w:unhideWhenUsed/>
    <w:qFormat/>
    <w:uiPriority w:val="9"/>
    <w:pPr>
      <w:keepNext/>
      <w:keepLines/>
      <w:numPr>
        <w:ilvl w:val="4"/>
        <w:numId w:val="1"/>
      </w:numPr>
      <w:spacing w:before="20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25"/>
    <w:unhideWhenUsed/>
    <w:qFormat/>
    <w:uiPriority w:val="9"/>
    <w:pPr>
      <w:keepNext/>
      <w:keepLines/>
      <w:numPr>
        <w:ilvl w:val="5"/>
        <w:numId w:val="1"/>
      </w:numPr>
      <w:spacing w:before="20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26"/>
    <w:unhideWhenUsed/>
    <w:qFormat/>
    <w:uiPriority w:val="9"/>
    <w:pPr>
      <w:keepNext/>
      <w:keepLines/>
      <w:numPr>
        <w:ilvl w:val="6"/>
        <w:numId w:val="1"/>
      </w:numPr>
      <w:spacing w:before="20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27"/>
    <w:unhideWhenUsed/>
    <w:qFormat/>
    <w:uiPriority w:val="9"/>
    <w:pPr>
      <w:keepNext/>
      <w:keepLines/>
      <w:numPr>
        <w:ilvl w:val="7"/>
        <w:numId w:val="1"/>
      </w:numPr>
      <w:spacing w:before="200"/>
      <w:outlineLvl w:val="7"/>
    </w:pPr>
    <w:rPr>
      <w:rFonts w:asciiTheme="majorHAnsi" w:hAnsiTheme="majorHAnsi"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28"/>
    <w:unhideWhenUsed/>
    <w:qFormat/>
    <w:uiPriority w:val="9"/>
    <w:pPr>
      <w:keepNext/>
      <w:keepLines/>
      <w:numPr>
        <w:ilvl w:val="8"/>
        <w:numId w:val="1"/>
      </w:numPr>
      <w:spacing w:before="20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8">
    <w:name w:val="Default Paragraph Font"/>
    <w:unhideWhenUsed/>
    <w:qFormat/>
    <w:uiPriority w:val="1"/>
  </w:style>
  <w:style w:type="table" w:default="1" w:styleId="17">
    <w:name w:val="Normal Table"/>
    <w:unhideWhenUsed/>
    <w:qFormat/>
    <w:uiPriority w:val="99"/>
    <w:tblPr>
      <w:tblLayout w:type="fixed"/>
      <w:tblCellMar>
        <w:top w:w="0" w:type="dxa"/>
        <w:left w:w="108" w:type="dxa"/>
        <w:bottom w:w="0" w:type="dxa"/>
        <w:right w:w="108" w:type="dxa"/>
      </w:tblCellMar>
    </w:tblPr>
  </w:style>
  <w:style w:type="paragraph" w:styleId="11">
    <w:name w:val="toc 3"/>
    <w:basedOn w:val="1"/>
    <w:next w:val="1"/>
    <w:unhideWhenUsed/>
    <w:qFormat/>
    <w:uiPriority w:val="39"/>
    <w:pPr>
      <w:spacing w:after="100"/>
      <w:ind w:left="440"/>
    </w:pPr>
  </w:style>
  <w:style w:type="paragraph" w:styleId="12">
    <w:name w:val="Balloon Text"/>
    <w:basedOn w:val="1"/>
    <w:link w:val="30"/>
    <w:unhideWhenUsed/>
    <w:qFormat/>
    <w:uiPriority w:val="99"/>
    <w:pPr>
      <w:spacing w:line="240" w:lineRule="auto"/>
    </w:pPr>
    <w:rPr>
      <w:rFonts w:ascii="Tahoma" w:hAnsi="Tahoma" w:cs="Tahoma"/>
      <w:sz w:val="16"/>
      <w:szCs w:val="16"/>
    </w:rPr>
  </w:style>
  <w:style w:type="paragraph" w:styleId="13">
    <w:name w:val="footer"/>
    <w:basedOn w:val="1"/>
    <w:link w:val="32"/>
    <w:unhideWhenUsed/>
    <w:qFormat/>
    <w:uiPriority w:val="99"/>
    <w:pPr>
      <w:tabs>
        <w:tab w:val="center" w:pos="4513"/>
        <w:tab w:val="right" w:pos="9026"/>
      </w:tabs>
      <w:spacing w:line="240" w:lineRule="auto"/>
    </w:pPr>
  </w:style>
  <w:style w:type="paragraph" w:styleId="14">
    <w:name w:val="header"/>
    <w:basedOn w:val="1"/>
    <w:link w:val="31"/>
    <w:unhideWhenUsed/>
    <w:qFormat/>
    <w:uiPriority w:val="99"/>
    <w:pPr>
      <w:tabs>
        <w:tab w:val="center" w:pos="4513"/>
        <w:tab w:val="right" w:pos="9026"/>
      </w:tabs>
      <w:spacing w:line="240" w:lineRule="auto"/>
    </w:pPr>
  </w:style>
  <w:style w:type="paragraph" w:styleId="15">
    <w:name w:val="toc 1"/>
    <w:basedOn w:val="1"/>
    <w:next w:val="1"/>
    <w:unhideWhenUsed/>
    <w:qFormat/>
    <w:uiPriority w:val="39"/>
    <w:pPr>
      <w:spacing w:after="100"/>
    </w:pPr>
  </w:style>
  <w:style w:type="paragraph" w:styleId="16">
    <w:name w:val="toc 2"/>
    <w:basedOn w:val="1"/>
    <w:next w:val="1"/>
    <w:unhideWhenUsed/>
    <w:qFormat/>
    <w:uiPriority w:val="39"/>
    <w:pPr>
      <w:spacing w:after="100"/>
      <w:ind w:left="220"/>
    </w:pPr>
  </w:style>
  <w:style w:type="character" w:styleId="19">
    <w:name w:val="Hyperlink"/>
    <w:basedOn w:val="18"/>
    <w:unhideWhenUsed/>
    <w:qFormat/>
    <w:uiPriority w:val="99"/>
    <w:rPr>
      <w:color w:val="0000FF" w:themeColor="hyperlink"/>
      <w:u w:val="single"/>
      <w14:textFill>
        <w14:solidFill>
          <w14:schemeClr w14:val="hlink"/>
        </w14:solidFill>
      </w14:textFill>
    </w:rPr>
  </w:style>
  <w:style w:type="character" w:customStyle="1" w:styleId="20">
    <w:name w:val="Heading 1 Char"/>
    <w:basedOn w:val="18"/>
    <w:link w:val="2"/>
    <w:qFormat/>
    <w:uiPriority w:val="9"/>
    <w:rPr>
      <w:rFonts w:ascii="Times New Roman" w:hAnsi="Times New Roman" w:eastAsiaTheme="majorEastAsia" w:cstheme="majorBidi"/>
      <w:b/>
      <w:bCs/>
      <w:color w:val="000000" w:themeColor="text1"/>
      <w:sz w:val="24"/>
      <w:szCs w:val="28"/>
      <w14:textFill>
        <w14:solidFill>
          <w14:schemeClr w14:val="tx1"/>
        </w14:solidFill>
      </w14:textFill>
    </w:rPr>
  </w:style>
  <w:style w:type="character" w:customStyle="1" w:styleId="21">
    <w:name w:val="Heading 2 Char"/>
    <w:basedOn w:val="18"/>
    <w:link w:val="3"/>
    <w:qFormat/>
    <w:uiPriority w:val="9"/>
    <w:rPr>
      <w:rFonts w:ascii="Times New Roman" w:hAnsi="Times New Roman" w:eastAsiaTheme="majorEastAsia" w:cstheme="majorBidi"/>
      <w:b/>
      <w:bCs/>
      <w:color w:val="000000" w:themeColor="text1"/>
      <w:sz w:val="24"/>
      <w:szCs w:val="26"/>
      <w14:textFill>
        <w14:solidFill>
          <w14:schemeClr w14:val="tx1"/>
        </w14:solidFill>
      </w14:textFill>
    </w:rPr>
  </w:style>
  <w:style w:type="character" w:customStyle="1" w:styleId="22">
    <w:name w:val="Heading 3 Char"/>
    <w:basedOn w:val="18"/>
    <w:link w:val="4"/>
    <w:qFormat/>
    <w:uiPriority w:val="9"/>
    <w:rPr>
      <w:rFonts w:ascii="Times New Roman" w:hAnsi="Times New Roman" w:eastAsiaTheme="majorEastAsia" w:cstheme="majorBidi"/>
      <w:b/>
      <w:bCs/>
      <w:color w:val="000000" w:themeColor="text1"/>
      <w:sz w:val="24"/>
      <w14:textFill>
        <w14:solidFill>
          <w14:schemeClr w14:val="tx1"/>
        </w14:solidFill>
      </w14:textFill>
    </w:rPr>
  </w:style>
  <w:style w:type="character" w:customStyle="1" w:styleId="23">
    <w:name w:val="Heading 4 Char"/>
    <w:basedOn w:val="18"/>
    <w:link w:val="5"/>
    <w:qFormat/>
    <w:uiPriority w:val="9"/>
    <w:rPr>
      <w:rFonts w:asciiTheme="majorHAnsi" w:hAnsiTheme="majorHAnsi" w:eastAsiaTheme="majorEastAsia" w:cstheme="majorBidi"/>
      <w:b/>
      <w:bCs/>
      <w:i/>
      <w:iCs/>
      <w:color w:val="4F81BD" w:themeColor="accent1"/>
      <w:sz w:val="24"/>
      <w14:textFill>
        <w14:solidFill>
          <w14:schemeClr w14:val="accent1"/>
        </w14:solidFill>
      </w14:textFill>
    </w:rPr>
  </w:style>
  <w:style w:type="character" w:customStyle="1" w:styleId="24">
    <w:name w:val="Heading 5 Char"/>
    <w:basedOn w:val="18"/>
    <w:link w:val="6"/>
    <w:semiHidden/>
    <w:qFormat/>
    <w:uiPriority w:val="9"/>
    <w:rPr>
      <w:rFonts w:asciiTheme="majorHAnsi" w:hAnsiTheme="majorHAnsi" w:eastAsiaTheme="majorEastAsia" w:cstheme="majorBidi"/>
      <w:color w:val="254061" w:themeColor="accent1" w:themeShade="80"/>
      <w:sz w:val="24"/>
    </w:rPr>
  </w:style>
  <w:style w:type="character" w:customStyle="1" w:styleId="25">
    <w:name w:val="Heading 6 Char"/>
    <w:basedOn w:val="18"/>
    <w:link w:val="7"/>
    <w:semiHidden/>
    <w:qFormat/>
    <w:uiPriority w:val="9"/>
    <w:rPr>
      <w:rFonts w:asciiTheme="majorHAnsi" w:hAnsiTheme="majorHAnsi" w:eastAsiaTheme="majorEastAsia" w:cstheme="majorBidi"/>
      <w:i/>
      <w:iCs/>
      <w:color w:val="254061" w:themeColor="accent1" w:themeShade="80"/>
      <w:sz w:val="24"/>
    </w:rPr>
  </w:style>
  <w:style w:type="character" w:customStyle="1" w:styleId="26">
    <w:name w:val="Heading 7 Char"/>
    <w:basedOn w:val="18"/>
    <w:link w:val="8"/>
    <w:semiHidden/>
    <w:qFormat/>
    <w:uiPriority w:val="9"/>
    <w:rPr>
      <w:rFonts w:asciiTheme="majorHAnsi" w:hAnsiTheme="majorHAnsi" w:eastAsiaTheme="majorEastAsia" w:cstheme="majorBidi"/>
      <w:i/>
      <w:iCs/>
      <w:color w:val="404040" w:themeColor="text1" w:themeTint="BF"/>
      <w:sz w:val="24"/>
      <w14:textFill>
        <w14:solidFill>
          <w14:schemeClr w14:val="tx1">
            <w14:lumMod w14:val="75000"/>
            <w14:lumOff w14:val="25000"/>
          </w14:schemeClr>
        </w14:solidFill>
      </w14:textFill>
    </w:rPr>
  </w:style>
  <w:style w:type="character" w:customStyle="1" w:styleId="27">
    <w:name w:val="Heading 8 Char"/>
    <w:basedOn w:val="18"/>
    <w:link w:val="9"/>
    <w:semiHidden/>
    <w:qFormat/>
    <w:uiPriority w:val="9"/>
    <w:rPr>
      <w:rFonts w:asciiTheme="majorHAnsi" w:hAnsiTheme="majorHAnsi" w:eastAsiaTheme="majorEastAsia" w:cstheme="majorBidi"/>
      <w:color w:val="404040" w:themeColor="text1" w:themeTint="BF"/>
      <w:sz w:val="20"/>
      <w:szCs w:val="20"/>
      <w14:textFill>
        <w14:solidFill>
          <w14:schemeClr w14:val="tx1">
            <w14:lumMod w14:val="75000"/>
            <w14:lumOff w14:val="25000"/>
          </w14:schemeClr>
        </w14:solidFill>
      </w14:textFill>
    </w:rPr>
  </w:style>
  <w:style w:type="character" w:customStyle="1" w:styleId="28">
    <w:name w:val="Heading 9 Char"/>
    <w:basedOn w:val="18"/>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customStyle="1" w:styleId="29">
    <w:name w:val="TOC Heading"/>
    <w:basedOn w:val="2"/>
    <w:next w:val="1"/>
    <w:unhideWhenUsed/>
    <w:qFormat/>
    <w:uiPriority w:val="39"/>
    <w:pPr>
      <w:numPr>
        <w:numId w:val="0"/>
      </w:numPr>
      <w:outlineLvl w:val="9"/>
    </w:pPr>
    <w:rPr>
      <w:color w:val="376092" w:themeColor="accent1" w:themeShade="BF"/>
      <w:lang w:val="en-US" w:eastAsia="ja-JP"/>
    </w:rPr>
  </w:style>
  <w:style w:type="character" w:customStyle="1" w:styleId="30">
    <w:name w:val="Balloon Text Char"/>
    <w:basedOn w:val="18"/>
    <w:link w:val="12"/>
    <w:semiHidden/>
    <w:qFormat/>
    <w:uiPriority w:val="99"/>
    <w:rPr>
      <w:rFonts w:ascii="Tahoma" w:hAnsi="Tahoma" w:cs="Tahoma"/>
      <w:sz w:val="16"/>
      <w:szCs w:val="16"/>
    </w:rPr>
  </w:style>
  <w:style w:type="character" w:customStyle="1" w:styleId="31">
    <w:name w:val="Header Char"/>
    <w:basedOn w:val="18"/>
    <w:link w:val="14"/>
    <w:qFormat/>
    <w:uiPriority w:val="99"/>
  </w:style>
  <w:style w:type="character" w:customStyle="1" w:styleId="32">
    <w:name w:val="Footer Char"/>
    <w:basedOn w:val="18"/>
    <w:link w:val="13"/>
    <w:qFormat/>
    <w:uiPriority w:val="99"/>
  </w:style>
  <w:style w:type="paragraph" w:customStyle="1" w:styleId="33">
    <w:name w:val="List Paragraph"/>
    <w:basedOn w:val="1"/>
    <w:qFormat/>
    <w:uiPriority w:val="34"/>
    <w:pPr>
      <w:ind w:left="720"/>
    </w:p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18</Pages>
  <Words>3764</Words>
  <Characters>21459</Characters>
  <Lines>178</Lines>
  <Paragraphs>50</Paragraphs>
  <TotalTime>3</TotalTime>
  <ScaleCrop>false</ScaleCrop>
  <LinksUpToDate>false</LinksUpToDate>
  <CharactersWithSpaces>25173</CharactersWithSpaces>
  <Application>WPS Office_11.1.0.8500_F1E327BC-269C-435d-A152-05C5408002CA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2019-02-25T05:08:00Z</dcterms:created>
  <dcterms:modified xsi:type="dcterms:W3CDTF">2019-03-03T10:31:23Z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